
<file path=[Content_Types].xml><?xml version="1.0" encoding="utf-8"?>
<Types xmlns="http://schemas.openxmlformats.org/package/2006/content-types">
  <Default Extension="bin" ContentType="image/x-emf"/>
  <Default Extension="rels" ContentType="application/vnd.openxmlformats-package.relationships+xml"/>
  <Default Extension="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header144.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header147.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footer148.xml" ContentType="application/vnd.openxmlformats-officedocument.wordprocessingml.footer+xml"/>
  <Override PartName="/word/footer149.xml" ContentType="application/vnd.openxmlformats-officedocument.wordprocessingml.footer+xml"/>
  <Override PartName="/word/footer150.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header153.xml" ContentType="application/vnd.openxmlformats-officedocument.wordprocessingml.head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header155.xml" ContentType="application/vnd.openxmlformats-officedocument.wordprocessingml.header+xml"/>
  <Override PartName="/word/header156.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header159.xml" ContentType="application/vnd.openxmlformats-officedocument.wordprocessingml.header+xml"/>
  <Override PartName="/word/footer157.xml" ContentType="application/vnd.openxmlformats-officedocument.wordprocessingml.footer+xml"/>
  <Override PartName="/word/footer158.xml" ContentType="application/vnd.openxmlformats-officedocument.wordprocessingml.footer+xml"/>
  <Override PartName="/word/footer159.xml" ContentType="application/vnd.openxmlformats-officedocument.wordprocessingml.footer+xml"/>
  <Override PartName="/word/header160.xml" ContentType="application/vnd.openxmlformats-officedocument.wordprocessingml.header+xml"/>
  <Override PartName="/word/header161.xml" ContentType="application/vnd.openxmlformats-officedocument.wordprocessingml.header+xml"/>
  <Override PartName="/word/header162.xml" ContentType="application/vnd.openxmlformats-officedocument.wordprocessingml.header+xml"/>
  <Override PartName="/word/footer160.xml" ContentType="application/vnd.openxmlformats-officedocument.wordprocessingml.footer+xml"/>
  <Override PartName="/word/footer161.xml" ContentType="application/vnd.openxmlformats-officedocument.wordprocessingml.footer+xml"/>
  <Override PartName="/word/footer162.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header165.xml" ContentType="application/vnd.openxmlformats-officedocument.wordprocessingml.header+xml"/>
  <Override PartName="/word/footer163.xml" ContentType="application/vnd.openxmlformats-officedocument.wordprocessingml.footer+xml"/>
  <Override PartName="/word/footer164.xml" ContentType="application/vnd.openxmlformats-officedocument.wordprocessingml.footer+xml"/>
  <Override PartName="/word/footer165.xml" ContentType="application/vnd.openxmlformats-officedocument.wordprocessingml.footer+xml"/>
  <Override PartName="/word/header166.xml" ContentType="application/vnd.openxmlformats-officedocument.wordprocessingml.header+xml"/>
  <Override PartName="/word/header167.xml" ContentType="application/vnd.openxmlformats-officedocument.wordprocessingml.header+xml"/>
  <Override PartName="/word/header168.xml" ContentType="application/vnd.openxmlformats-officedocument.wordprocessingml.header+xml"/>
  <Override PartName="/word/footer166.xml" ContentType="application/vnd.openxmlformats-officedocument.wordprocessingml.footer+xml"/>
  <Override PartName="/word/footer167.xml" ContentType="application/vnd.openxmlformats-officedocument.wordprocessingml.footer+xml"/>
  <Override PartName="/word/footer168.xml" ContentType="application/vnd.openxmlformats-officedocument.wordprocessingml.footer+xml"/>
  <Override PartName="/word/header169.xml" ContentType="application/vnd.openxmlformats-officedocument.wordprocessingml.header+xml"/>
  <Override PartName="/word/header170.xml" ContentType="application/vnd.openxmlformats-officedocument.wordprocessingml.header+xml"/>
  <Override PartName="/word/header171.xml" ContentType="application/vnd.openxmlformats-officedocument.wordprocessingml.header+xml"/>
  <Override PartName="/word/footer169.xml" ContentType="application/vnd.openxmlformats-officedocument.wordprocessingml.footer+xml"/>
  <Override PartName="/word/footer170.xml" ContentType="application/vnd.openxmlformats-officedocument.wordprocessingml.footer+xml"/>
  <Override PartName="/word/footer171.xml" ContentType="application/vnd.openxmlformats-officedocument.wordprocessingml.footer+xml"/>
  <Override PartName="/word/header172.xml" ContentType="application/vnd.openxmlformats-officedocument.wordprocessingml.header+xml"/>
  <Override PartName="/word/header173.xml" ContentType="application/vnd.openxmlformats-officedocument.wordprocessingml.header+xml"/>
  <Override PartName="/word/header174.xml" ContentType="application/vnd.openxmlformats-officedocument.wordprocessingml.header+xml"/>
  <Override PartName="/word/footer172.xml" ContentType="application/vnd.openxmlformats-officedocument.wordprocessingml.footer+xml"/>
  <Override PartName="/word/footer173.xml" ContentType="application/vnd.openxmlformats-officedocument.wordprocessingml.footer+xml"/>
  <Override PartName="/word/footer174.xml" ContentType="application/vnd.openxmlformats-officedocument.wordprocessingml.footer+xml"/>
  <Override PartName="/word/header175.xml" ContentType="application/vnd.openxmlformats-officedocument.wordprocessingml.header+xml"/>
  <Override PartName="/word/header176.xml" ContentType="application/vnd.openxmlformats-officedocument.wordprocessingml.header+xml"/>
  <Override PartName="/word/header177.xml" ContentType="application/vnd.openxmlformats-officedocument.wordprocessingml.header+xml"/>
  <Override PartName="/word/footer175.xml" ContentType="application/vnd.openxmlformats-officedocument.wordprocessingml.footer+xml"/>
  <Override PartName="/word/footer176.xml" ContentType="application/vnd.openxmlformats-officedocument.wordprocessingml.footer+xml"/>
  <Override PartName="/word/footer177.xml" ContentType="application/vnd.openxmlformats-officedocument.wordprocessingml.footer+xml"/>
  <Override PartName="/word/header178.xml" ContentType="application/vnd.openxmlformats-officedocument.wordprocessingml.header+xml"/>
  <Override PartName="/word/header179.xml" ContentType="application/vnd.openxmlformats-officedocument.wordprocessingml.header+xml"/>
  <Override PartName="/word/header180.xml" ContentType="application/vnd.openxmlformats-officedocument.wordprocessingml.header+xml"/>
  <Override PartName="/word/footer178.xml" ContentType="application/vnd.openxmlformats-officedocument.wordprocessingml.footer+xml"/>
  <Override PartName="/word/footer179.xml" ContentType="application/vnd.openxmlformats-officedocument.wordprocessingml.footer+xml"/>
  <Override PartName="/word/footer180.xml" ContentType="application/vnd.openxmlformats-officedocument.wordprocessingml.footer+xml"/>
  <Override PartName="/word/header181.xml" ContentType="application/vnd.openxmlformats-officedocument.wordprocessingml.header+xml"/>
  <Override PartName="/word/header182.xml" ContentType="application/vnd.openxmlformats-officedocument.wordprocessingml.header+xml"/>
  <Override PartName="/word/header183.xml" ContentType="application/vnd.openxmlformats-officedocument.wordprocessingml.header+xml"/>
  <Override PartName="/word/footer181.xml" ContentType="application/vnd.openxmlformats-officedocument.wordprocessingml.footer+xml"/>
  <Override PartName="/word/footer182.xml" ContentType="application/vnd.openxmlformats-officedocument.wordprocessingml.footer+xml"/>
  <Override PartName="/word/footer183.xml" ContentType="application/vnd.openxmlformats-officedocument.wordprocessingml.footer+xml"/>
  <Override PartName="/word/header184.xml" ContentType="application/vnd.openxmlformats-officedocument.wordprocessingml.header+xml"/>
  <Override PartName="/word/header185.xml" ContentType="application/vnd.openxmlformats-officedocument.wordprocessingml.header+xml"/>
  <Override PartName="/word/header186.xml" ContentType="application/vnd.openxmlformats-officedocument.wordprocessingml.header+xml"/>
  <Override PartName="/word/footer184.xml" ContentType="application/vnd.openxmlformats-officedocument.wordprocessingml.footer+xml"/>
  <Override PartName="/word/footer185.xml" ContentType="application/vnd.openxmlformats-officedocument.wordprocessingml.footer+xml"/>
  <Override PartName="/word/footer186.xml" ContentType="application/vnd.openxmlformats-officedocument.wordprocessingml.footer+xml"/>
  <Override PartName="/word/header188.xml" ContentType="application/vnd.openxmlformats-officedocument.wordprocessingml.header+xml"/>
  <Override PartName="/word/header189.xml" ContentType="application/vnd.openxmlformats-officedocument.wordprocessingml.header+xml"/>
  <Override PartName="/word/footer188.xml" ContentType="application/vnd.openxmlformats-officedocument.wordprocessingml.footer+xml"/>
  <Override PartName="/word/footer189.xml" ContentType="application/vnd.openxmlformats-officedocument.wordprocessingml.footer+xml"/>
  <Override PartName="/word/header190.xml" ContentType="application/vnd.openxmlformats-officedocument.wordprocessingml.header+xml"/>
  <Override PartName="/word/header191.xml" ContentType="application/vnd.openxmlformats-officedocument.wordprocessingml.header+xml"/>
  <Override PartName="/word/header192.xml" ContentType="application/vnd.openxmlformats-officedocument.wordprocessingml.header+xml"/>
  <Override PartName="/word/footer190.xml" ContentType="application/vnd.openxmlformats-officedocument.wordprocessingml.footer+xml"/>
  <Override PartName="/word/footer191.xml" ContentType="application/vnd.openxmlformats-officedocument.wordprocessingml.footer+xml"/>
  <Override PartName="/word/footer192.xml" ContentType="application/vnd.openxmlformats-officedocument.wordprocessingml.footer+xml"/>
  <Override PartName="/word/header193.xml" ContentType="application/vnd.openxmlformats-officedocument.wordprocessingml.header+xml"/>
  <Override PartName="/word/header194.xml" ContentType="application/vnd.openxmlformats-officedocument.wordprocessingml.header+xml"/>
  <Override PartName="/word/header195.xml" ContentType="application/vnd.openxmlformats-officedocument.wordprocessingml.header+xml"/>
  <Override PartName="/word/footer193.xml" ContentType="application/vnd.openxmlformats-officedocument.wordprocessingml.footer+xml"/>
  <Override PartName="/word/footer194.xml" ContentType="application/vnd.openxmlformats-officedocument.wordprocessingml.footer+xml"/>
  <Override PartName="/word/footer195.xml" ContentType="application/vnd.openxmlformats-officedocument.wordprocessingml.footer+xml"/>
  <Override PartName="/word/header196.xml" ContentType="application/vnd.openxmlformats-officedocument.wordprocessingml.header+xml"/>
  <Override PartName="/word/header197.xml" ContentType="application/vnd.openxmlformats-officedocument.wordprocessingml.header+xml"/>
  <Override PartName="/word/header198.xml" ContentType="application/vnd.openxmlformats-officedocument.wordprocessingml.header+xml"/>
  <Override PartName="/word/footer196.xml" ContentType="application/vnd.openxmlformats-officedocument.wordprocessingml.footer+xml"/>
  <Override PartName="/word/footer197.xml" ContentType="application/vnd.openxmlformats-officedocument.wordprocessingml.footer+xml"/>
  <Override PartName="/word/footer198.xml" ContentType="application/vnd.openxmlformats-officedocument.wordprocessingml.footer+xml"/>
  <Override PartName="/word/header199.xml" ContentType="application/vnd.openxmlformats-officedocument.wordprocessingml.header+xml"/>
  <Override PartName="/word/header200.xml" ContentType="application/vnd.openxmlformats-officedocument.wordprocessingml.header+xml"/>
  <Override PartName="/word/header201.xml" ContentType="application/vnd.openxmlformats-officedocument.wordprocessingml.header+xml"/>
  <Override PartName="/word/footer199.xml" ContentType="application/vnd.openxmlformats-officedocument.wordprocessingml.footer+xml"/>
  <Override PartName="/word/footer200.xml" ContentType="application/vnd.openxmlformats-officedocument.wordprocessingml.footer+xml"/>
  <Override PartName="/word/footer201.xml" ContentType="application/vnd.openxmlformats-officedocument.wordprocessingml.footer+xml"/>
  <Override PartName="/word/header202.xml" ContentType="application/vnd.openxmlformats-officedocument.wordprocessingml.header+xml"/>
  <Override PartName="/word/header203.xml" ContentType="application/vnd.openxmlformats-officedocument.wordprocessingml.header+xml"/>
  <Override PartName="/word/header204.xml" ContentType="application/vnd.openxmlformats-officedocument.wordprocessingml.header+xml"/>
  <Override PartName="/word/footer202.xml" ContentType="application/vnd.openxmlformats-officedocument.wordprocessingml.footer+xml"/>
  <Override PartName="/word/footer203.xml" ContentType="application/vnd.openxmlformats-officedocument.wordprocessingml.footer+xml"/>
  <Override PartName="/word/footer204.xml" ContentType="application/vnd.openxmlformats-officedocument.wordprocessingml.footer+xml"/>
  <Override PartName="/word/header205.xml" ContentType="application/vnd.openxmlformats-officedocument.wordprocessingml.header+xml"/>
  <Override PartName="/word/header206.xml" ContentType="application/vnd.openxmlformats-officedocument.wordprocessingml.header+xml"/>
  <Override PartName="/word/header207.xml" ContentType="application/vnd.openxmlformats-officedocument.wordprocessingml.header+xml"/>
  <Override PartName="/word/footer205.xml" ContentType="application/vnd.openxmlformats-officedocument.wordprocessingml.footer+xml"/>
  <Override PartName="/word/footer206.xml" ContentType="application/vnd.openxmlformats-officedocument.wordprocessingml.footer+xml"/>
  <Override PartName="/word/footer207.xml" ContentType="application/vnd.openxmlformats-officedocument.wordprocessingml.footer+xml"/>
  <Override PartName="/word/header208.xml" ContentType="application/vnd.openxmlformats-officedocument.wordprocessingml.header+xml"/>
  <Override PartName="/word/header209.xml" ContentType="application/vnd.openxmlformats-officedocument.wordprocessingml.header+xml"/>
  <Override PartName="/word/header210.xml" ContentType="application/vnd.openxmlformats-officedocument.wordprocessingml.header+xml"/>
  <Override PartName="/word/footer208.xml" ContentType="application/vnd.openxmlformats-officedocument.wordprocessingml.footer+xml"/>
  <Override PartName="/word/footer209.xml" ContentType="application/vnd.openxmlformats-officedocument.wordprocessingml.footer+xml"/>
  <Override PartName="/word/footer210.xml" ContentType="application/vnd.openxmlformats-officedocument.wordprocessingml.footer+xml"/>
  <Override PartName="/word/header211.xml" ContentType="application/vnd.openxmlformats-officedocument.wordprocessingml.header+xml"/>
  <Override PartName="/word/header212.xml" ContentType="application/vnd.openxmlformats-officedocument.wordprocessingml.header+xml"/>
  <Override PartName="/word/header213.xml" ContentType="application/vnd.openxmlformats-officedocument.wordprocessingml.header+xml"/>
  <Override PartName="/word/footer211.xml" ContentType="application/vnd.openxmlformats-officedocument.wordprocessingml.footer+xml"/>
  <Override PartName="/word/footer212.xml" ContentType="application/vnd.openxmlformats-officedocument.wordprocessingml.footer+xml"/>
  <Override PartName="/word/footer213.xml" ContentType="application/vnd.openxmlformats-officedocument.wordprocessingml.footer+xml"/>
  <Override PartName="/word/header214.xml" ContentType="application/vnd.openxmlformats-officedocument.wordprocessingml.header+xml"/>
  <Override PartName="/word/header215.xml" ContentType="application/vnd.openxmlformats-officedocument.wordprocessingml.header+xml"/>
  <Override PartName="/word/header216.xml" ContentType="application/vnd.openxmlformats-officedocument.wordprocessingml.header+xml"/>
  <Override PartName="/word/footer214.xml" ContentType="application/vnd.openxmlformats-officedocument.wordprocessingml.footer+xml"/>
  <Override PartName="/word/footer215.xml" ContentType="application/vnd.openxmlformats-officedocument.wordprocessingml.footer+xml"/>
  <Override PartName="/word/footer216.xml" ContentType="application/vnd.openxmlformats-officedocument.wordprocessingml.footer+xml"/>
  <Override PartName="/word/header217.xml" ContentType="application/vnd.openxmlformats-officedocument.wordprocessingml.header+xml"/>
  <Override PartName="/word/header218.xml" ContentType="application/vnd.openxmlformats-officedocument.wordprocessingml.header+xml"/>
  <Override PartName="/word/header219.xml" ContentType="application/vnd.openxmlformats-officedocument.wordprocessingml.header+xml"/>
  <Override PartName="/word/footer217.xml" ContentType="application/vnd.openxmlformats-officedocument.wordprocessingml.footer+xml"/>
  <Override PartName="/word/footer218.xml" ContentType="application/vnd.openxmlformats-officedocument.wordprocessingml.footer+xml"/>
  <Override PartName="/word/footer219.xml" ContentType="application/vnd.openxmlformats-officedocument.wordprocessingml.footer+xml"/>
  <Override PartName="/word/header220.xml" ContentType="application/vnd.openxmlformats-officedocument.wordprocessingml.header+xml"/>
  <Override PartName="/word/header221.xml" ContentType="application/vnd.openxmlformats-officedocument.wordprocessingml.header+xml"/>
  <Override PartName="/word/header222.xml" ContentType="application/vnd.openxmlformats-officedocument.wordprocessingml.header+xml"/>
  <Override PartName="/word/footer220.xml" ContentType="application/vnd.openxmlformats-officedocument.wordprocessingml.footer+xml"/>
  <Override PartName="/word/footer221.xml" ContentType="application/vnd.openxmlformats-officedocument.wordprocessingml.footer+xml"/>
  <Override PartName="/word/footer222.xml" ContentType="application/vnd.openxmlformats-officedocument.wordprocessingml.footer+xml"/>
  <Override PartName="/word/header223.xml" ContentType="application/vnd.openxmlformats-officedocument.wordprocessingml.header+xml"/>
  <Override PartName="/word/header224.xml" ContentType="application/vnd.openxmlformats-officedocument.wordprocessingml.header+xml"/>
  <Override PartName="/word/header225.xml" ContentType="application/vnd.openxmlformats-officedocument.wordprocessingml.header+xml"/>
  <Override PartName="/word/footer223.xml" ContentType="application/vnd.openxmlformats-officedocument.wordprocessingml.footer+xml"/>
  <Override PartName="/word/footer224.xml" ContentType="application/vnd.openxmlformats-officedocument.wordprocessingml.footer+xml"/>
  <Override PartName="/word/footer225.xml" ContentType="application/vnd.openxmlformats-officedocument.wordprocessingml.footer+xml"/>
  <Override PartName="/word/header226.xml" ContentType="application/vnd.openxmlformats-officedocument.wordprocessingml.header+xml"/>
  <Override PartName="/word/header227.xml" ContentType="application/vnd.openxmlformats-officedocument.wordprocessingml.header+xml"/>
  <Override PartName="/word/header228.xml" ContentType="application/vnd.openxmlformats-officedocument.wordprocessingml.header+xml"/>
  <Override PartName="/word/footer226.xml" ContentType="application/vnd.openxmlformats-officedocument.wordprocessingml.footer+xml"/>
  <Override PartName="/word/footer227.xml" ContentType="application/vnd.openxmlformats-officedocument.wordprocessingml.footer+xml"/>
  <Override PartName="/word/footer228.xml" ContentType="application/vnd.openxmlformats-officedocument.wordprocessingml.footer+xml"/>
  <Override PartName="/word/header229.xml" ContentType="application/vnd.openxmlformats-officedocument.wordprocessingml.header+xml"/>
  <Override PartName="/word/header230.xml" ContentType="application/vnd.openxmlformats-officedocument.wordprocessingml.header+xml"/>
  <Override PartName="/word/header231.xml" ContentType="application/vnd.openxmlformats-officedocument.wordprocessingml.header+xml"/>
  <Override PartName="/word/footer229.xml" ContentType="application/vnd.openxmlformats-officedocument.wordprocessingml.footer+xml"/>
  <Override PartName="/word/footer230.xml" ContentType="application/vnd.openxmlformats-officedocument.wordprocessingml.footer+xml"/>
  <Override PartName="/word/footer231.xml" ContentType="application/vnd.openxmlformats-officedocument.wordprocessingml.footer+xml"/>
  <Override PartName="/word/header232.xml" ContentType="application/vnd.openxmlformats-officedocument.wordprocessingml.header+xml"/>
  <Override PartName="/word/header233.xml" ContentType="application/vnd.openxmlformats-officedocument.wordprocessingml.header+xml"/>
  <Override PartName="/word/header234.xml" ContentType="application/vnd.openxmlformats-officedocument.wordprocessingml.header+xml"/>
  <Override PartName="/word/footer232.xml" ContentType="application/vnd.openxmlformats-officedocument.wordprocessingml.footer+xml"/>
  <Override PartName="/word/footer233.xml" ContentType="application/vnd.openxmlformats-officedocument.wordprocessingml.footer+xml"/>
  <Override PartName="/word/footer234.xml" ContentType="application/vnd.openxmlformats-officedocument.wordprocessingml.footer+xml"/>
  <Override PartName="/word/header235.xml" ContentType="application/vnd.openxmlformats-officedocument.wordprocessingml.header+xml"/>
  <Override PartName="/word/header236.xml" ContentType="application/vnd.openxmlformats-officedocument.wordprocessingml.header+xml"/>
  <Override PartName="/word/header237.xml" ContentType="application/vnd.openxmlformats-officedocument.wordprocessingml.header+xml"/>
  <Override PartName="/word/footer235.xml" ContentType="application/vnd.openxmlformats-officedocument.wordprocessingml.footer+xml"/>
  <Override PartName="/word/footer236.xml" ContentType="application/vnd.openxmlformats-officedocument.wordprocessingml.footer+xml"/>
  <Override PartName="/word/footer237.xml" ContentType="application/vnd.openxmlformats-officedocument.wordprocessingml.footer+xml"/>
  <Override PartName="/word/header238.xml" ContentType="application/vnd.openxmlformats-officedocument.wordprocessingml.header+xml"/>
  <Override PartName="/word/header239.xml" ContentType="application/vnd.openxmlformats-officedocument.wordprocessingml.header+xml"/>
  <Override PartName="/word/header240.xml" ContentType="application/vnd.openxmlformats-officedocument.wordprocessingml.header+xml"/>
  <Override PartName="/word/footer238.xml" ContentType="application/vnd.openxmlformats-officedocument.wordprocessingml.footer+xml"/>
  <Override PartName="/word/footer239.xml" ContentType="application/vnd.openxmlformats-officedocument.wordprocessingml.footer+xml"/>
  <Override PartName="/word/footer240.xml" ContentType="application/vnd.openxmlformats-officedocument.wordprocessingml.footer+xml"/>
  <Override PartName="/word/header241.xml" ContentType="application/vnd.openxmlformats-officedocument.wordprocessingml.header+xml"/>
  <Override PartName="/word/header242.xml" ContentType="application/vnd.openxmlformats-officedocument.wordprocessingml.header+xml"/>
  <Override PartName="/word/header243.xml" ContentType="application/vnd.openxmlformats-officedocument.wordprocessingml.header+xml"/>
  <Override PartName="/word/footer241.xml" ContentType="application/vnd.openxmlformats-officedocument.wordprocessingml.footer+xml"/>
  <Override PartName="/word/footer242.xml" ContentType="application/vnd.openxmlformats-officedocument.wordprocessingml.footer+xml"/>
  <Override PartName="/word/footer243.xml" ContentType="application/vnd.openxmlformats-officedocument.wordprocessingml.footer+xml"/>
  <Override PartName="/word/header244.xml" ContentType="application/vnd.openxmlformats-officedocument.wordprocessingml.header+xml"/>
  <Override PartName="/word/header245.xml" ContentType="application/vnd.openxmlformats-officedocument.wordprocessingml.header+xml"/>
  <Override PartName="/word/header246.xml" ContentType="application/vnd.openxmlformats-officedocument.wordprocessingml.header+xml"/>
  <Override PartName="/word/footer244.xml" ContentType="application/vnd.openxmlformats-officedocument.wordprocessingml.footer+xml"/>
  <Override PartName="/word/footer245.xml" ContentType="application/vnd.openxmlformats-officedocument.wordprocessingml.footer+xml"/>
  <Override PartName="/word/footer246.xml" ContentType="application/vnd.openxmlformats-officedocument.wordprocessingml.footer+xml"/>
  <Override PartName="/word/header247.xml" ContentType="application/vnd.openxmlformats-officedocument.wordprocessingml.header+xml"/>
  <Override PartName="/word/header248.xml" ContentType="application/vnd.openxmlformats-officedocument.wordprocessingml.header+xml"/>
  <Override PartName="/word/header249.xml" ContentType="application/vnd.openxmlformats-officedocument.wordprocessingml.header+xml"/>
  <Override PartName="/word/footer247.xml" ContentType="application/vnd.openxmlformats-officedocument.wordprocessingml.footer+xml"/>
  <Override PartName="/word/footer248.xml" ContentType="application/vnd.openxmlformats-officedocument.wordprocessingml.footer+xml"/>
  <Override PartName="/word/footer249.xml" ContentType="application/vnd.openxmlformats-officedocument.wordprocessingml.footer+xml"/>
  <Override PartName="/word/header250.xml" ContentType="application/vnd.openxmlformats-officedocument.wordprocessingml.header+xml"/>
  <Override PartName="/word/header251.xml" ContentType="application/vnd.openxmlformats-officedocument.wordprocessingml.header+xml"/>
  <Override PartName="/word/header252.xml" ContentType="application/vnd.openxmlformats-officedocument.wordprocessingml.header+xml"/>
  <Override PartName="/word/footer250.xml" ContentType="application/vnd.openxmlformats-officedocument.wordprocessingml.footer+xml"/>
  <Override PartName="/word/footer251.xml" ContentType="application/vnd.openxmlformats-officedocument.wordprocessingml.footer+xml"/>
  <Override PartName="/word/footer252.xml" ContentType="application/vnd.openxmlformats-officedocument.wordprocessingml.footer+xml"/>
  <Override PartName="/word/header253.xml" ContentType="application/vnd.openxmlformats-officedocument.wordprocessingml.header+xml"/>
  <Override PartName="/word/header254.xml" ContentType="application/vnd.openxmlformats-officedocument.wordprocessingml.header+xml"/>
  <Override PartName="/word/header255.xml" ContentType="application/vnd.openxmlformats-officedocument.wordprocessingml.header+xml"/>
  <Override PartName="/word/footer253.xml" ContentType="application/vnd.openxmlformats-officedocument.wordprocessingml.footer+xml"/>
  <Override PartName="/word/footer254.xml" ContentType="application/vnd.openxmlformats-officedocument.wordprocessingml.footer+xml"/>
  <Override PartName="/word/footer255.xml" ContentType="application/vnd.openxmlformats-officedocument.wordprocessingml.footer+xml"/>
  <Override PartName="/word/header257.xml" ContentType="application/vnd.openxmlformats-officedocument.wordprocessingml.header+xml"/>
  <Override PartName="/word/header258.xml" ContentType="application/vnd.openxmlformats-officedocument.wordprocessingml.header+xml"/>
  <Override PartName="/word/footer257.xml" ContentType="application/vnd.openxmlformats-officedocument.wordprocessingml.footer+xml"/>
  <Override PartName="/word/footer258.xml" ContentType="application/vnd.openxmlformats-officedocument.wordprocessingml.footer+xml"/>
  <Override PartName="/word/header260.xml" ContentType="application/vnd.openxmlformats-officedocument.wordprocessingml.header+xml"/>
  <Override PartName="/word/header261.xml" ContentType="application/vnd.openxmlformats-officedocument.wordprocessingml.header+xml"/>
  <Override PartName="/word/footer260.xml" ContentType="application/vnd.openxmlformats-officedocument.wordprocessingml.footer+xml"/>
  <Override PartName="/word/footer261.xml" ContentType="application/vnd.openxmlformats-officedocument.wordprocessingml.footer+xml"/>
  <Override PartName="/word/header263.xml" ContentType="application/vnd.openxmlformats-officedocument.wordprocessingml.header+xml"/>
  <Override PartName="/word/header264.xml" ContentType="application/vnd.openxmlformats-officedocument.wordprocessingml.header+xml"/>
  <Override PartName="/word/footer263.xml" ContentType="application/vnd.openxmlformats-officedocument.wordprocessingml.footer+xml"/>
  <Override PartName="/word/footer264.xml" ContentType="application/vnd.openxmlformats-officedocument.wordprocessingml.footer+xml"/>
  <Override PartName="/word/glossary/document.xml" ContentType="application/vnd.openxmlformats-officedocument.wordprocessingml.document.glossary+xml"/>
  <Override PartName="/word/glossary/styles2.xml" ContentType="application/vnd.openxmlformats-officedocument.wordprocessingml.styles+xml"/>
  <Override PartName="/word/glossary/fontTable2.xml" ContentType="application/vnd.openxmlformats-officedocument.wordprocessingml.fontTable+xml"/>
  <Override PartName="/word/glossary/settings2.xml" ContentType="application/vnd.openxmlformats-officedocument.wordprocessingml.settings+xml"/>
  <Override PartName="/word/glossary/webSettings2.xml" ContentType="application/vnd.openxmlformats-officedocument.wordprocessingml.webSettings+xml"/>
  <Override PartName="/customXml/item1.xml" ContentType="application/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officeDocument" Target="/word/document.xml" Id="R91fa463c2f0145fe" /><Relationship Type="http://schemas.openxmlformats.org/package/2006/relationships/metadata/core-properties" Target="/docProps/core.xml" Id="R24c53377767741b1" /><Relationship Type="http://schemas.openxmlformats.org/officeDocument/2006/relationships/extended-properties" Target="/docProps/app.xml" Id="Rc081b32d382a4432" /><Relationship Type="http://schemas.openxmlformats.org/officeDocument/2006/relationships/custom-properties" Target="/docProps/custom.xml" Id="R3545b9b80ff644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echnicalBlock"/>
        <w:tag w:val="LCK:TechnicalBlock"/>
        <w:placeholder/>
        <w:lock w:val="sdtContentLocked"/>
      </w:sdtPr>
      <w:sdtEndPr/>
      <w:sdtContent>
        <w:tbl>
          <w:tblPr>
            <w:tblW w:w="11344" w:type="dxa"/>
            <w:tblLayout w:type="fixed"/>
            <w:tblCellMar>
              <w:left w:w="0" w:type="dxa"/>
              <w:right w:w="0" w:type="dxa"/>
            </w:tblCellMar>
            <w:tblLook w:val="0000" w:firstRow="0" w:lastRow="0" w:firstColumn="0" w:lastColumn="0" w:noHBand="0" w:noVBand="0"/>
            <w:jc w:val="center"/>
          </w:tblPr>
          <w:tblGrid>
            <w:gridCol w:w="850"/>
            <w:gridCol w:w="970"/>
            <w:gridCol w:w="2862"/>
            <w:gridCol w:w="1696"/>
            <w:gridCol w:w="147"/>
            <w:gridCol w:w="4819"/>
          </w:tblGrid>
          <w:tr w:rsidRPr="005F5A6B" w:rsidR="003558E4" w:rsidTr="00524601" w14:paraId="5F661EC3" w14:textId="77777777">
            <w:trPr>
              <w:cantSplit/>
              <w:trHeight w:val="510"/>
            </w:trPr>
            <w:tc>
              <w:tcPr>
                <w:tcW w:w="11344" w:type="dxa"/>
                <w:gridSpan w:val="6"/>
                <w:vAlign w:val="bottom"/>
              </w:tcPr>
              <w:p w:rsidRPr="005F5A6B" w:rsidR="003558E4" w:rsidP="00524601" w:rsidRDefault="003558E4" w14:paraId="0CA635AE" w14:textId="77777777">
                <w:pPr>
                  <w:pStyle w:val="TBNormalTechnicalBlock"/>
                  <w:jc w:val="right"/>
                  <w:rPr>
                    <w:b w:val="0"/>
                    <w:bCs/>
                  </w:rPr>
                </w:pPr>
              </w:p>
            </w:tc>
          </w:tr>
          <w:tr w:rsidRPr="006720F9" w:rsidR="003558E4" w:rsidTr="00524601" w14:paraId="770D6090" w14:textId="77777777">
            <w:trPr>
              <w:cantSplit/>
              <w:trHeight w:val="567"/>
            </w:trPr>
            <w:tc>
              <w:tcPr>
                <w:tcW w:w="1820" w:type="dxa"/>
                <w:gridSpan w:val="2"/>
                <w:vAlign w:val="bottom"/>
              </w:tcPr>
              <w:p w:rsidRPr="006C5D93" w:rsidR="003558E4" w:rsidP="00524601" w:rsidRDefault="003558E4" w14:paraId="6BB714C6" w14:textId="77777777">
                <w:pPr>
                  <w:pStyle w:val="TBEntInstit"/>
                </w:pPr>
                <w:r w:rsidRPr="006C5D93">
                  <w:rPr>
                    <w:noProof/>
                  </w:rPr>
                  <w:drawing>
                    <wp:inline distT="0" distB="0" distL="0" distR="0" wp14:anchorId="2332012A" wp14:editId="50637A3B">
                      <wp:extent cx="626400" cy="5220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e7b2f5f0aa1c4d12" cstate="print">
                                <a:extLst>
                                  <a:ext uri="{28A0092B-C50C-407E-A947-70E740481C1C}">
                                    <a14:useLocalDpi xmlns:a14="http://schemas.microsoft.com/office/drawing/2010/main" val="0"/>
                                  </a:ext>
                                </a:extLst>
                              </a:blip>
                              <a:stretch>
                                <a:fillRect/>
                              </a:stretch>
                            </pic:blipFill>
                            <pic:spPr bwMode="auto">
                              <a:xfrm>
                                <a:off x="0" y="0"/>
                                <a:ext cx="626400" cy="522000"/>
                              </a:xfrm>
                              <a:prstGeom prst="rect">
                                <a:avLst/>
                              </a:prstGeom>
                            </pic:spPr>
                          </pic:pic>
                        </a:graphicData>
                      </a:graphic>
                    </wp:inline>
                  </w:drawing>
                </w:r>
              </w:p>
            </w:tc>
            <w:tc>
              <w:tcPr>
                <w:tcW w:w="9524" w:type="dxa"/>
                <w:gridSpan w:val="4"/>
                <w:tcMar>
                  <w:left w:w="85" w:type="dxa"/>
                </w:tcMar>
                <w:vAlign w:val="bottom"/>
              </w:tcPr>
              <w:p w:rsidRPr="008414C3" w:rsidR="003558E4" w:rsidP="00524601" w:rsidRDefault="00000000" w14:paraId="69A4EC62" w14:textId="77777777">
                <w:pPr>
                  <w:pStyle w:val="TBInstitution"/>
                </w:pPr>
                <w:r>
                  <w:t xml:space="preserve">Council of the</w:t>
                  <w:br/>
                  <w:t xml:space="preserve">European Union</w:t>
                </w:r>
              </w:p>
            </w:tc>
          </w:tr>
          <w:tr w:rsidRPr="006720F9" w:rsidR="003558E4" w:rsidTr="00524601" w14:paraId="48CA9711" w14:textId="77777777">
            <w:trPr>
              <w:gridBefore w:val="2"/>
              <w:wBefore w:w="1820" w:type="dxa"/>
              <w:cantSplit/>
              <w:trHeight w:val="1191"/>
            </w:trPr>
            <w:tc>
              <w:tcPr>
                <w:tcW w:w="4558" w:type="dxa"/>
                <w:gridSpan w:val="2"/>
                <w:tcMar>
                  <w:top w:w="28" w:type="dxa"/>
                  <w:left w:w="85" w:type="dxa"/>
                </w:tcMar>
              </w:tcPr>
              <w:p w:rsidRPr="00327887" w:rsidR="003558E4" w:rsidP="00524601" w:rsidRDefault="00000000" w14:paraId="573E62E8" w14:textId="77777777">
                <w:pPr>
                  <w:pStyle w:val="TBInstitutionSubwordmark"/>
                </w:pPr>
              </w:p>
            </w:tc>
            <w:tc>
              <w:tcPr>
                <w:tcW w:w="147" w:type="dxa"/>
                <w:vAlign w:val="bottom"/>
              </w:tcPr>
              <w:p w:rsidRPr="00093255" w:rsidR="003558E4" w:rsidP="00524601" w:rsidRDefault="003558E4" w14:paraId="0F653C05" w14:textId="77777777">
                <w:pPr>
                  <w:pStyle w:val="TBNormalTechnicalBlock"/>
                  <w:jc w:val="right"/>
                  <w:rPr>
                    <w:b w:val="0"/>
                    <w:bCs/>
                  </w:rPr>
                </w:pPr>
              </w:p>
            </w:tc>
            <w:tc>
              <w:tcPr>
                <w:tcW w:w="4819" w:type="dxa"/>
                <w:vMerge w:val="restart"/>
                <w:tcMar>
                  <w:top w:w="0" w:type="dxa"/>
                </w:tcMar>
              </w:tcPr>
              <w:p w:rsidRPr="0012121B" w:rsidR="003558E4" w:rsidP="00524601" w:rsidRDefault="00000000" w14:paraId="39BC4836" w14:textId="77777777">
                <w:pPr>
                  <w:pStyle w:val="TBNormalTechnicalBlock"/>
                </w:pPr>
                <w:r>
                  <w:t xml:space="preserve">Brussels</w:t>
                </w:r>
                <w:r>
                  <w:t xml:space="preserve">, 9 December 2025</w:t>
                </w:r>
              </w:p>
              <w:p w:rsidRPr="00871A20" w:rsidR="003558E4" w:rsidP="00524601" w:rsidRDefault="003558E4" w14:paraId="072B0288" w14:textId="77777777">
                <w:pPr>
                  <w:pStyle w:val="TBNormalTechnicalBlock"/>
                  <w:rPr>
                    <w:bCs/>
                  </w:rPr>
                </w:pPr>
                <w:r w:rsidRPr="00E60683">
                  <w:rPr>
                    <w:bCs/>
                  </w:rPr>
                  <w:t xml:space="preserve">(OR. </w:t>
                </w:r>
                <w:r>
                  <w:rPr>
                    <w:bCs/>
                  </w:rPr>
                  <w:t xml:space="preserve">en</w:t>
                </w:r>
                <w:r w:rsidRPr="00871A20">
                  <w:rPr>
                    <w:bCs/>
                  </w:rPr>
                  <w:t>)</w:t>
                </w:r>
              </w:p>
              <w:p w:rsidRPr="00871A20" w:rsidR="003558E4" w:rsidP="00524601" w:rsidRDefault="003558E4" w14:paraId="180CD6C1" w14:textId="77777777">
                <w:pPr>
                  <w:pStyle w:val="TBNormalTechnicalBlock"/>
                  <w:jc w:val="right"/>
                </w:pPr>
              </w:p>
              <w:p w:rsidRPr="00871A20" w:rsidR="003558E4" w:rsidP="00524601" w:rsidRDefault="003558E4" w14:paraId="3F975832" w14:textId="77777777">
                <w:pPr>
                  <w:pStyle w:val="TBNormalTechnicalBlock"/>
                  <w:jc w:val="right"/>
                </w:pPr>
              </w:p>
              <w:p w:rsidRPr="00F65A71" w:rsidR="003558E4" w:rsidP="00524601" w:rsidRDefault="00000000" w14:paraId="2C1F44D7" w14:textId="77777777">
                <w:pPr>
                  <w:pStyle w:val="TBNormalTechnicalBlock"/>
                  <w:rPr>
                    <w:bCs/>
                    <w:lang w:val="en-US"/>
                  </w:rPr>
                </w:pPr>
                <w:r>
                  <w:rPr>
                    <w:bCs/>
                    <w:lang w:val="en-US"/>
                  </w:rPr>
                  <w:t xml:space="preserve">15755</w:t>
                </w:r>
                <w:r w:rsidRPr="00F65A71" w:rsidR="003558E4">
                  <w:rPr>
                    <w:bCs/>
                    <w:lang w:val="en-US"/>
                  </w:rPr>
                  <w:t>/</w:t>
                </w:r>
                <w:r>
                  <w:rPr>
                    <w:bCs/>
                    <w:lang w:val="en-US"/>
                  </w:rPr>
                  <w:t xml:space="preserve">25</w:t>
                </w:r>
              </w:p>
              <w:p w:rsidRPr="00F65A71" w:rsidR="003558E4" w:rsidP="00524601" w:rsidRDefault="00000000" w14:paraId="46A0BB4E" w14:textId="77777777">
                <w:pPr>
                  <w:pStyle w:val="TBNormalTechnicalBlock"/>
                  <w:rPr>
                    <w:lang w:val="en-US"/>
                  </w:rPr>
                </w:pPr>
                <w:r>
                  <w:rPr>
                    <w:lang w:val="en-US"/>
                  </w:rPr>
                  <w:t xml:space="preserve">ADD 1</w:t>
                </w:r>
              </w:p>
              <w:p w:rsidRPr="00F65A71" w:rsidR="003558E4" w:rsidP="00524601" w:rsidRDefault="003558E4" w14:paraId="1F3E78F4" w14:textId="77777777">
                <w:pPr>
                  <w:pStyle w:val="TBNormalTechnicalBlock"/>
                  <w:jc w:val="right"/>
                  <w:rPr>
                    <w:lang w:val="en-US"/>
                  </w:rPr>
                </w:pPr>
              </w:p>
              <w:p w:rsidR="003558E4" w:rsidP="00524601" w:rsidRDefault="00000000" w14:paraId="3AB2E568" w14:textId="77777777">
                <w:pPr>
                  <w:pStyle w:val="TBNormalTechnicalBlock"/>
                </w:pPr>
              </w:p>
              <w:p w:rsidR="003558E4" w:rsidP="00524601" w:rsidRDefault="003558E4" w14:paraId="7C17AC88" w14:textId="77777777">
                <w:pPr>
                  <w:pStyle w:val="TBNormalTechnicalBlock"/>
                  <w:jc w:val="right"/>
                </w:pPr>
              </w:p>
              <w:p>
                <w:pPr>
                  <w:pStyle w:val="TBEntRefer"/>
                  <w:tabs>
                    <w:tab w:val="left" w:pos="2265"/>
                  </w:tabs>
                </w:pPr>
                <w:r>
                  <w:t xml:space="preserve">ECOFIN 1576</w:t>
                </w:r>
              </w:p>
              <w:p>
                <w:pPr>
                  <w:pStyle w:val="TBEntRefer"/>
                  <w:tabs>
                    <w:tab w:val="left" w:pos="2265"/>
                  </w:tabs>
                </w:pPr>
                <w:r>
                  <w:t xml:space="preserve">UEM 574</w:t>
                </w:r>
              </w:p>
              <w:p>
                <w:pPr>
                  <w:pStyle w:val="TBEntRefer"/>
                  <w:tabs>
                    <w:tab w:val="left" w:pos="2265"/>
                  </w:tabs>
                </w:pPr>
                <w:r>
                  <w:t xml:space="preserve">FIN 1429</w:t>
                </w:r>
              </w:p>
              <w:p w:rsidRPr="00073AB8" w:rsidR="003558E4" w:rsidP="00524601" w:rsidRDefault="00000000" w14:paraId="2553D168" w14:textId="77777777">
                <w:pPr>
                  <w:pStyle w:val="TBEntRefer"/>
                  <w:tabs>
                    <w:tab w:val="left" w:pos="2262"/>
                  </w:tabs>
                  <w:rPr>
                    <w:sz w:val="4"/>
                    <w:szCs w:val="4"/>
                  </w:rPr>
                </w:pPr>
              </w:p>
              <w:p>
                <w:pPr>
                  <w:pStyle w:val="TBDistrbMarkers"/>
                </w:pPr>
                <w:r>
                  <w:t xml:space="preserve">ECB</w:t>
                </w:r>
              </w:p>
              <w:p>
                <w:pPr>
                  <w:pStyle w:val="TBDistrbMarkers"/>
                </w:pPr>
                <w:r>
                  <w:t xml:space="preserve">EIB</w:t>
                </w:r>
              </w:p>
            </w:tc>
          </w:tr>
          <w:tr w:rsidRPr="006720F9" w:rsidR="003558E4" w:rsidTr="00524601" w14:paraId="1D7B6A6F" w14:textId="77777777">
            <w:trPr>
              <w:gridBefore w:val="1"/>
              <w:wBefore w:w="850" w:type="dxa"/>
              <w:cantSplit/>
              <w:trHeight w:val="837"/>
            </w:trPr>
            <w:tc>
              <w:tcPr>
                <w:tcW w:w="3832" w:type="dxa"/>
                <w:gridSpan w:val="2"/>
                <w:vAlign w:val="center"/>
              </w:tcPr>
              <w:p>
                <w:pPr>
                  <w:pStyle w:val="TBEntReferNew"/>
                  <w:pBdr>
                    <w:top w:val="double" w:color="auto" w:sz="6" w:space="2"/>
                    <w:bottom w:val="double" w:color="auto" w:sz="6" w:space="2"/>
                  </w:pBdr>
                  <w:rPr>
                    <w:sz w:val="23"/>
                    <w:szCs w:val="23"/>
                  </w:rPr>
                </w:pPr>
                <w:r>
                  <w:rPr>
                    <w:sz w:val="23"/>
                    <w:szCs w:val="23"/>
                  </w:rPr>
                  <w:t xml:space="preserve">Interinstitutional File:</w:t>
                </w:r>
              </w:p>
              <w:p>
                <w:pPr>
                  <w:pStyle w:val="TBEntReferNew"/>
                  <w:pBdr>
                    <w:top w:val="double" w:color="auto" w:sz="6" w:space="2"/>
                    <w:bottom w:val="double" w:color="auto" w:sz="6" w:space="2"/>
                  </w:pBdr>
                  <w:rPr>
                    <w:sz w:val="23"/>
                    <w:szCs w:val="23"/>
                  </w:rPr>
                </w:pPr>
                <w:r>
                  <w:rPr>
                    <w:sz w:val="23"/>
                    <w:szCs w:val="23"/>
                  </w:rPr>
                  <w:t xml:space="preserve">2025/0374 (NLE)</w:t>
                </w:r>
              </w:p>
            </w:tc>
            <w:tc>
              <w:tcPr>
                <w:tcW w:w="1843" w:type="dxa"/>
                <w:gridSpan w:val="2"/>
                <w:vMerge w:val="restart"/>
                <w:vAlign w:val="bottom"/>
              </w:tcPr>
              <w:p w:rsidRPr="008F6E25" w:rsidR="003558E4" w:rsidP="00524601" w:rsidRDefault="003558E4" w14:paraId="1BC217B4" w14:textId="77777777">
                <w:pPr>
                  <w:pStyle w:val="TBNormalTechnicalBlock"/>
                  <w:jc w:val="right"/>
                  <w:rPr>
                    <w:b w:val="0"/>
                    <w:bCs/>
                  </w:rPr>
                </w:pPr>
              </w:p>
            </w:tc>
            <w:tc>
              <w:tcPr>
                <w:tcW w:w="4819" w:type="dxa"/>
                <w:vMerge/>
              </w:tcPr>
              <w:p w:rsidRPr="00F26BF3" w:rsidR="003558E4" w:rsidP="00524601" w:rsidRDefault="003558E4" w14:paraId="00141522" w14:textId="77777777">
                <w:pPr>
                  <w:pStyle w:val="TBEntRefer"/>
                  <w:rPr>
                    <w:szCs w:val="23"/>
                  </w:rPr>
                </w:pPr>
              </w:p>
            </w:tc>
          </w:tr>
          <w:tr w:rsidRPr="007D65B2" w:rsidR="003558E4" w:rsidTr="00524601" w14:paraId="5155D011" w14:textId="77777777">
            <w:trPr>
              <w:gridBefore w:val="1"/>
              <w:wBefore w:w="850" w:type="dxa"/>
              <w:cantSplit/>
              <w:trHeight w:val="998"/>
            </w:trPr>
            <w:tc>
              <w:tcPr>
                <w:tcW w:w="3832" w:type="dxa"/>
                <w:gridSpan w:val="2"/>
                <w:vAlign w:val="center"/>
              </w:tcPr>
              <w:p w:rsidRPr="007D65B2" w:rsidR="003558E4" w:rsidP="00524601" w:rsidRDefault="00000000" w14:paraId="22AED6D4" w14:textId="77777777">
                <w:pPr>
                  <w:pStyle w:val="TBSousEmbargo"/>
                </w:pPr>
              </w:p>
            </w:tc>
            <w:tc>
              <w:tcPr>
                <w:tcW w:w="1843" w:type="dxa"/>
                <w:gridSpan w:val="2"/>
                <w:vMerge/>
                <w:vAlign w:val="center"/>
              </w:tcPr>
              <w:p w:rsidRPr="008F6E25" w:rsidR="003558E4" w:rsidP="00524601" w:rsidRDefault="003558E4" w14:paraId="28745477" w14:textId="77777777">
                <w:pPr>
                  <w:pStyle w:val="TBNormalTechnicalBlock"/>
                  <w:rPr>
                    <w:b w:val="0"/>
                    <w:bCs/>
                  </w:rPr>
                </w:pPr>
              </w:p>
            </w:tc>
            <w:tc>
              <w:tcPr>
                <w:tcW w:w="4819" w:type="dxa"/>
                <w:vMerge/>
              </w:tcPr>
              <w:p w:rsidRPr="007D65B2" w:rsidR="003558E4" w:rsidP="00524601" w:rsidRDefault="003558E4" w14:paraId="11D91DB8" w14:textId="77777777">
                <w:pPr>
                  <w:pStyle w:val="TBEntRefer"/>
                  <w:rPr>
                    <w:szCs w:val="23"/>
                  </w:rPr>
                </w:pPr>
              </w:p>
            </w:tc>
          </w:tr>
        </w:tbl>
        <w:p w:rsidRPr="007D65B2" w:rsidR="003558E4" w:rsidP="003558E4" w:rsidRDefault="003558E4" w14:paraId="641C0D2A" w14:textId="77777777">
          <w:pPr>
            <w:pStyle w:val="TBEntRefer"/>
            <w:rPr>
              <w:sz w:val="2"/>
              <w:szCs w:val="2"/>
            </w:rPr>
          </w:pPr>
        </w:p>
        <w:tbl>
          <w:tblPr>
            <w:tblW w:w="9640" w:type="dxa"/>
            <w:tblInd w:w="851" w:type="dxa"/>
            <w:tblLayout w:type="fixed"/>
            <w:tblCellMar>
              <w:left w:w="0" w:type="dxa"/>
              <w:right w:w="0" w:type="dxa"/>
            </w:tblCellMar>
            <w:tblLook w:val="0000" w:firstRow="0" w:lastRow="0" w:firstColumn="0" w:lastColumn="0" w:noHBand="0" w:noVBand="0"/>
            <w:jc w:val="center"/>
          </w:tblPr>
          <w:tblGrid>
            <w:gridCol w:w="9640"/>
          </w:tblGrid>
          <w:tr xmlns:w14="http://schemas.microsoft.com/office/word/2010/wordml" xmlns:w="http://schemas.openxmlformats.org/wordprocessingml/2006/main" w:rsidRPr="008C093D" w:rsidR="002D3C08" w:rsidTr="00072A32" w14:paraId="53BBC257" w14:textId="77777777">
            <w:tc>
              <w:tcPr>
                <w:tcW w:w="9640" w:type="dxa"/>
              </w:tcPr>
              <w:p w:rsidRPr="008C093D" w:rsidR="002D3C08" w:rsidP="00072A32" w:rsidRDefault="00000000" w14:paraId="14E296B1" w14:textId="77777777">
                <w:pPr>
                  <w:pStyle w:val="TBHeadingTable"/>
                </w:pPr>
                <w:r>
                  <w:t xml:space="preserve">NOTE</w:t>
                </w:r>
              </w:p>
            </w:tc>
          </w:tr>
        </w:tbl>
        <w:tbl>
          <w:tblPr>
            <w:tblW w:w="9645" w:type="dxa"/>
            <w:tblInd w:w="851" w:type="dxa"/>
            <w:tblLayout w:type="fixed"/>
            <w:tblCellMar>
              <w:left w:w="0" w:type="dxa"/>
              <w:right w:w="0" w:type="dxa"/>
            </w:tblCellMar>
            <w:tblLook w:val="0000" w:firstRow="0" w:lastRow="0" w:firstColumn="0" w:lastColumn="0" w:noHBand="0" w:noVBand="0"/>
            <w:jc w:val="center"/>
          </w:tblPr>
          <w:tblGrid>
            <w:gridCol w:w="1985"/>
            <w:gridCol w:w="7660"/>
          </w:tblGrid>
          <w:tr xmlns:w14="http://schemas.microsoft.com/office/word/2010/wordml" xmlns:w="http://schemas.openxmlformats.org/wordprocessingml/2006/main" w:rsidRPr="00F13D39" w:rsidR="002D3C08" w:rsidTr="00072A32" w14:paraId="374A8075" w14:textId="77777777">
            <w:tc>
              <w:tcPr>
                <w:tcW w:w="1985" w:type="dxa"/>
                <w:tcBorders>
                  <w:top w:val="single" w:color="auto" w:sz="4" w:space="0"/>
                  <w:bottom w:val="nil"/>
                </w:tcBorders>
              </w:tcPr>
              <w:p w:rsidRPr="00F13D39" w:rsidR="002D3C08" w:rsidP="00072A32" w:rsidRDefault="00000000" w14:paraId="2E7D0831" w14:textId="77777777">
                <w:pPr>
                  <w:pStyle w:val="TBSubjectTable"/>
                </w:pPr>
                <w:r>
                  <w:t xml:space="preserve">From:</w:t>
                </w:r>
              </w:p>
            </w:tc>
            <w:tc>
              <w:tcPr>
                <w:tcW w:w="7660" w:type="dxa"/>
                <w:tcBorders>
                  <w:top w:val="single" w:color="auto" w:sz="4" w:space="0"/>
                  <w:bottom w:val="nil"/>
                </w:tcBorders>
              </w:tcPr>
              <w:p w:rsidRPr="00F13D39" w:rsidR="002D3C08" w:rsidP="00072A32" w:rsidRDefault="00000000" w14:paraId="0DB0160C" w14:textId="77777777">
                <w:pPr>
                  <w:pStyle w:val="TBSubjectTable"/>
                </w:pPr>
                <w:r>
                  <w:t xml:space="preserve">General Secretariat of the Council</w:t>
                </w:r>
              </w:p>
            </w:tc>
          </w:tr>
          <w:tr xmlns:w14="http://schemas.microsoft.com/office/word/2010/wordml" xmlns:w="http://schemas.openxmlformats.org/wordprocessingml/2006/main" w:rsidRPr="00F13D39" w:rsidR="002D3C08" w:rsidTr="00072A32" w14:paraId="3DF3CACF" w14:textId="77777777">
            <w:tc>
              <w:tcPr>
                <w:tcW w:w="1985" w:type="dxa"/>
                <w:tcBorders>
                  <w:bottom w:val="single" w:color="auto" w:sz="4" w:space="0"/>
                </w:tcBorders>
              </w:tcPr>
              <w:p w:rsidRPr="00F13D39" w:rsidR="002D3C08" w:rsidP="00072A32" w:rsidRDefault="00000000" w14:paraId="54062E45" w14:textId="77777777">
                <w:pPr>
                  <w:pStyle w:val="TBSubjectTable"/>
                </w:pPr>
                <w:r>
                  <w:t xml:space="preserve">To:</w:t>
                </w:r>
              </w:p>
            </w:tc>
            <w:tc>
              <w:tcPr>
                <w:tcW w:w="7660" w:type="dxa"/>
                <w:tcBorders>
                  <w:bottom w:val="single" w:color="auto" w:sz="4" w:space="0"/>
                </w:tcBorders>
              </w:tcPr>
              <w:p w:rsidRPr="00F13D39" w:rsidR="002D3C08" w:rsidP="00072A32" w:rsidRDefault="00000000" w14:paraId="0C29E2F0" w14:textId="77777777">
                <w:pPr>
                  <w:pStyle w:val="TBSubjectTable"/>
                </w:pPr>
                <w:r>
                  <w:t xml:space="preserve">Delegations</w:t>
                </w:r>
              </w:p>
            </w:tc>
          </w:tr>
          <w:tr xmlns:w14="http://schemas.microsoft.com/office/word/2010/wordml" xmlns:w="http://schemas.openxmlformats.org/wordprocessingml/2006/main" w:rsidRPr="00F13D39" w:rsidR="002D3C08" w:rsidTr="00072A32" w14:paraId="08715429" w14:textId="77777777">
            <w:tc>
              <w:tcPr>
                <w:tcW w:w="1985" w:type="dxa"/>
                <w:tcBorders>
                  <w:top w:val="single" w:color="auto" w:sz="4" w:space="0"/>
                  <w:bottom w:val="single" w:color="auto" w:sz="4" w:space="0"/>
                </w:tcBorders>
              </w:tcPr>
              <w:p w:rsidRPr="00F13D39" w:rsidR="002D3C08" w:rsidP="00072A32" w:rsidRDefault="00000000" w14:paraId="7676D586" w14:textId="77777777">
                <w:pPr>
                  <w:pStyle w:val="TBSubjectTable"/>
                </w:pPr>
                <w:r>
                  <w:t xml:space="preserve">Subject:</w:t>
                </w:r>
              </w:p>
            </w:tc>
            <w:bookmarkStart w:name="SplitParasInCell_1" w:id="1"/>
            <w:bookmarkEnd w:id="1"/>
            <w:tc>
              <w:tcPr>
                <w:tcW w:w="7660" w:type="dxa"/>
                <w:tcBorders>
                  <w:top w:val="single" w:color="auto" w:sz="4" w:space="0"/>
                  <w:bottom w:val="single" w:color="auto" w:sz="4" w:space="0"/>
                </w:tcBorders>
              </w:tcPr>
              <w:p w:rsidRPr="00F13D39" w:rsidR="002D3C08" w:rsidP="00072A32" w:rsidRDefault="00000000" w14:paraId="47EA7402" w14:textId="77777777">
                <w:pPr>
                  <w:pStyle w:val="TBSubjectText"/>
                </w:pPr>
                <w:r>
                  <w:t xml:space="preserve">ANNEX to the COUNCIL IMPLEMENTING DECISION amending Implementing Decision of 8 September 2021 on the approval of the assessment of the recovery and resilience plan for Czechia</w:t>
                </w:r>
              </w:p>
            </w:tc>
          </w:tr>
        </w:tbl>
        <w:p w:rsidRPr="002D3C08" w:rsidR="002D3C08" w:rsidP="002D3C08" w:rsidRDefault="002D3C08" w14:paraId="2DF89B2C" w14:textId="77777777">
          <w:pPr>
            <w:spacing w:before="20" w:after="240" w:line="20" w:lineRule="exact"/>
            <w:rPr>
              <w:sz w:val="2"/>
              <w:szCs w:val="2"/>
              <w:lang w:val="fr-FR"/>
            </w:rPr>
          </w:pPr>
        </w:p>
      </w:sdtContent>
    </w:sdt>
    <w:p w:rsidRPr="006C5441" w:rsidR="00D87E44" w:rsidP="00C16C1F" w:rsidRDefault="00D87E44" w14:paraId="1545761D" w14:textId="77777777">
      <w:pPr>
        <w:rPr>
          <w:rFonts w:asciiTheme="majorBidi" w:hAnsiTheme="majorBidi" w:cstheme="majorBidi"/>
          <w:szCs w:val="24"/>
        </w:rPr>
      </w:pPr>
      <w:bookmarkStart w:name="_Hlk215750277" w:id="2"/>
      <w:r w:rsidRPr="006C5441">
        <w:rPr>
          <w:rFonts w:asciiTheme="majorBidi" w:hAnsiTheme="majorBidi" w:cstheme="majorBidi"/>
          <w:szCs w:val="24"/>
        </w:rPr>
        <w:t xml:space="preserve">Delegations will find attached the above-mentioned annex to the </w:t>
      </w:r>
      <w:r w:rsidRPr="006C5441">
        <w:rPr>
          <w:rFonts w:asciiTheme="majorBidi" w:hAnsiTheme="majorBidi" w:cstheme="majorBidi"/>
          <w:szCs w:val="24"/>
        </w:rPr>
        <w:t>amending Council Implementing Decision.</w:t>
      </w:r>
    </w:p>
    <w:p w:rsidRPr="005F65E5" w:rsidR="00D87E44" w:rsidP="00C16C1F" w:rsidRDefault="00D87E44" w14:paraId="1545761E" w14:textId="77777777">
      <w:pPr>
        <w:pStyle w:val="Lignefinal"/>
      </w:pPr>
    </w:p>
    <w:p w:rsidRPr="005F65E5" w:rsidR="00D87E44" w:rsidP="00C16C1F" w:rsidRDefault="00D87E44" w14:paraId="1545761F" w14:textId="77777777">
      <w:pPr>
        <w:pStyle w:val="pj"/>
        <w:spacing w:before="120"/>
      </w:pPr>
    </w:p>
    <w:bookmarkEnd w:id="2"/>
    <w:p w:rsidR="00D87E44" w:rsidRDefault="00D87E44" w14:paraId="15457620" w14:textId="77777777">
      <w:pPr>
        <w:sectPr w:rsidR="004518F6" w:rsidSect="007F499B">
          <w:headerReference w:type="even" r:id="Ra82d95f801534ee7"/>
          <w:headerReference w:type="default" r:id="Rc3f2f5432e3241bb"/>
          <w:footerReference w:type="even" r:id="R500895981bb04636"/>
          <w:footerReference w:type="default" r:id="R96c253865d1e447c"/>
          <w:headerReference w:type="first" r:id="R7631c1ae818e452e"/>
          <w:footerReference w:type="first" r:id="R800b1c4862e74343"/>
          <w:pgSz w:w="11907" w:h="16840" w:code="9"/>
          <w:pgMar w:top="624" w:right="1134" w:bottom="1134" w:left="1134" w:header="567" w:footer="567" w:gutter="0"/>
          <w:pgNumType w:start="1"/>
          <w:cols w:space="708"/>
          <w:titlePg/>
          <w:docGrid w:linePitch="360"/>
          <w:pgSz w:w="11907" w:h="16840" w:code="9"/>
          <w:pgSz w:w="11907" w:h="16840" w:code="9"/>
          <w:pgSz w:w="11907" w:h="16840" w:code="9"/>
        </w:sectPr>
      </w:pPr>
    </w:p>
    <w:p w:rsidRPr="002B5F4C" w:rsidR="00D87E44" w:rsidP="00F05799" w:rsidRDefault="00D87E44" w14:paraId="15457621" w14:textId="77777777">
      <w:pPr>
        <w:keepNext/>
        <w:tabs>
          <w:tab w:val="left" w:pos="850"/>
        </w:tabs>
        <w:spacing w:line="240" w:lineRule="auto"/>
        <w:jc w:val="center"/>
        <w:outlineLvl w:val="0"/>
        <w:rPr>
          <w:b/>
          <w:bCs/>
          <w:smallCaps/>
          <w:noProof/>
          <w:szCs w:val="24"/>
          <w:u w:val="single"/>
          <w:lang w:val="en-IE"/>
        </w:rPr>
      </w:pPr>
      <w:r w:rsidRPr="002B5F4C">
        <w:rPr>
          <w:b/>
          <w:bCs/>
          <w:smallCaps/>
          <w:noProof/>
          <w:szCs w:val="24"/>
          <w:u w:val="single"/>
          <w:lang w:val="en-IE"/>
        </w:rPr>
        <w:lastRenderedPageBreak/>
        <w:t>ANNEX</w:t>
      </w:r>
    </w:p>
    <w:p w:rsidRPr="00A210BB" w:rsidR="00D87E44" w:rsidP="00F80BEA" w:rsidRDefault="00D87E44" w14:paraId="15457622" w14:textId="77777777">
      <w:pPr>
        <w:keepNext/>
        <w:tabs>
          <w:tab w:val="left" w:pos="850"/>
        </w:tabs>
        <w:spacing w:line="240" w:lineRule="auto"/>
        <w:jc w:val="both"/>
        <w:outlineLvl w:val="0"/>
        <w:rPr>
          <w:b/>
          <w:bCs/>
          <w:smallCaps/>
          <w:noProof/>
          <w:szCs w:val="24"/>
          <w:lang w:val="en-IE"/>
        </w:rPr>
      </w:pPr>
      <w:r w:rsidRPr="00A210BB">
        <w:rPr>
          <w:b/>
          <w:bCs/>
          <w:smallCaps/>
          <w:noProof/>
          <w:szCs w:val="24"/>
          <w:lang w:val="en-IE"/>
        </w:rPr>
        <w:t xml:space="preserve">SECTION 1: </w:t>
      </w:r>
      <w:r w:rsidRPr="00A210BB">
        <w:rPr>
          <w:b/>
          <w:bCs/>
          <w:smallCaps/>
          <w:noProof/>
          <w:szCs w:val="24"/>
          <w:lang w:val="en-IE"/>
        </w:rPr>
        <w:t>REFORMS AND INVESTMENTS UNDER THE RECOVERY AND RESILIENCE PLAN</w:t>
      </w:r>
    </w:p>
    <w:p w:rsidRPr="00D627E5" w:rsidR="00D87E44" w:rsidRDefault="00D87E44" w14:paraId="15457623" w14:textId="77777777">
      <w:pPr>
        <w:keepNext/>
        <w:tabs>
          <w:tab w:val="left" w:pos="850"/>
        </w:tabs>
        <w:spacing w:line="240" w:lineRule="auto"/>
        <w:jc w:val="both"/>
        <w:outlineLvl w:val="0"/>
        <w:rPr>
          <w:b/>
          <w:bCs/>
          <w:smallCaps/>
          <w:noProof/>
          <w:color w:val="4F81BD"/>
          <w:lang w:val="en-IE"/>
        </w:rPr>
      </w:pPr>
      <w:r w:rsidRPr="1DEAA1FD">
        <w:rPr>
          <w:b/>
          <w:bCs/>
          <w:smallCaps/>
          <w:noProof/>
          <w:lang w:val="en-IE"/>
        </w:rPr>
        <w:t>A. COMPONENT 1.1: Digital Services to Citizens and Businesses</w:t>
      </w:r>
    </w:p>
    <w:p w:rsidRPr="00D627E5" w:rsidR="00D87E44" w:rsidRDefault="00D87E44" w14:paraId="15457624" w14:textId="77777777">
      <w:pPr>
        <w:spacing w:line="240" w:lineRule="auto"/>
        <w:jc w:val="both"/>
        <w:rPr>
          <w:noProof/>
          <w:lang w:val="en-IE"/>
        </w:rPr>
      </w:pPr>
      <w:r w:rsidRPr="00D627E5">
        <w:rPr>
          <w:noProof/>
          <w:lang w:val="en-IE"/>
        </w:rPr>
        <w:t xml:space="preserve">This </w:t>
      </w:r>
      <w:r w:rsidRPr="2C78972F">
        <w:rPr>
          <w:noProof/>
          <w:lang w:val="en-IE"/>
        </w:rPr>
        <w:t>component</w:t>
      </w:r>
      <w:r w:rsidRPr="00D627E5">
        <w:rPr>
          <w:noProof/>
          <w:lang w:val="en-IE"/>
        </w:rPr>
        <w:t xml:space="preserve"> of the Czech plan shall support addressing the challenge of the incipient provision of digital public services, by increasing the number and user-friendliness of digital public services provided to citizens and businesses, and ensuring consistent, high-quality data management in the public administration. According to the results of the Digital Economy and Society Index (DESI 2020), Czechia presents a below average level of provision of digital public servi</w:t>
      </w:r>
      <w:r>
        <w:rPr>
          <w:noProof/>
          <w:lang w:val="en-IE"/>
        </w:rPr>
        <w:t>ces to citizens and businesses.</w:t>
      </w:r>
    </w:p>
    <w:p w:rsidRPr="00D627E5" w:rsidR="00D87E44" w:rsidRDefault="00D87E44" w14:paraId="15457625" w14:textId="77777777">
      <w:pPr>
        <w:spacing w:line="240" w:lineRule="auto"/>
        <w:jc w:val="both"/>
        <w:rPr>
          <w:rFonts w:eastAsia="Times New Roman"/>
          <w:noProof/>
          <w:szCs w:val="24"/>
          <w:lang w:val="en-IE"/>
        </w:rPr>
      </w:pPr>
      <w:r w:rsidRPr="00D627E5">
        <w:rPr>
          <w:rFonts w:eastAsia="Times New Roman"/>
          <w:noProof/>
          <w:szCs w:val="24"/>
          <w:lang w:val="en-IE"/>
        </w:rPr>
        <w:t>The aim of this component is to create client orientated portals (Citizens, Justice, Entrepreneur, Healthcare) and promote the facilitation of data sharing and management within the administration to align with the once-only principle.</w:t>
      </w:r>
    </w:p>
    <w:p w:rsidRPr="00D627E5" w:rsidR="00D87E44" w:rsidRDefault="00D87E44" w14:paraId="15457626" w14:textId="77777777">
      <w:pPr>
        <w:spacing w:line="240" w:lineRule="auto"/>
        <w:jc w:val="both"/>
        <w:rPr>
          <w:rFonts w:eastAsia="Times New Roman"/>
          <w:noProof/>
          <w:szCs w:val="24"/>
          <w:lang w:val="en-IE"/>
        </w:rPr>
      </w:pPr>
      <w:r w:rsidRPr="00D627E5">
        <w:rPr>
          <w:rFonts w:eastAsia="Times New Roman"/>
          <w:noProof/>
          <w:szCs w:val="24"/>
          <w:lang w:val="en-IE"/>
        </w:rPr>
        <w:t>The implementation of the reforms under this component shall ensure the conditions for the sound management of databases and for controlled access to data. They shall also facilitate the provision of eHealth solutions, including the development of an eHealth portal, increased interconnectivity and interoperability of healthcare providers and central records, telemedicine and secondary use of health data.</w:t>
      </w:r>
    </w:p>
    <w:p w:rsidRPr="00D627E5" w:rsidR="00D87E44" w:rsidRDefault="00D87E44" w14:paraId="15457627" w14:textId="77777777">
      <w:pPr>
        <w:spacing w:line="256" w:lineRule="auto"/>
        <w:jc w:val="both"/>
        <w:rPr>
          <w:rFonts w:eastAsia="Times New Roman"/>
          <w:noProof/>
          <w:lang w:val="en-IE" w:eastAsia="en-IE"/>
        </w:rPr>
      </w:pPr>
      <w:r w:rsidRPr="00D627E5">
        <w:rPr>
          <w:rFonts w:eastAsia="Times New Roman"/>
          <w:noProof/>
          <w:lang w:val="en-IE"/>
        </w:rPr>
        <w:t xml:space="preserve">The investments aim at implementing 22 projects improving eGovernment services provided </w:t>
      </w:r>
      <w:r w:rsidRPr="00213C99">
        <w:rPr>
          <w:rFonts w:eastAsia="Times New Roman"/>
          <w:noProof/>
          <w:lang w:val="en-IE"/>
        </w:rPr>
        <w:t>to end users and five projects increasing access to open data in public admin</w:t>
      </w:r>
      <w:r w:rsidRPr="00D627E5">
        <w:rPr>
          <w:rFonts w:eastAsia="Times New Roman"/>
          <w:noProof/>
          <w:lang w:val="en-IE"/>
        </w:rPr>
        <w:t xml:space="preserve">istration. The component shall also increase the digitalisation of the justice system by </w:t>
      </w:r>
      <w:r w:rsidRPr="00D627E5">
        <w:rPr>
          <w:rFonts w:eastAsia="Times New Roman"/>
          <w:noProof/>
          <w:lang w:val="en-IE"/>
        </w:rPr>
        <w:t>equipping courts with audio-visual recording and data production facilities and by creating a Justice Portal providing easy access and digital services to concerned parties.</w:t>
      </w:r>
    </w:p>
    <w:p w:rsidRPr="00D627E5" w:rsidR="00D87E44" w:rsidRDefault="00D87E44" w14:paraId="15457628" w14:textId="77777777">
      <w:pPr>
        <w:spacing w:line="240" w:lineRule="auto"/>
        <w:jc w:val="both"/>
        <w:rPr>
          <w:noProof/>
          <w:lang w:val="en-IE"/>
        </w:rPr>
      </w:pPr>
      <w:r w:rsidRPr="00D627E5">
        <w:rPr>
          <w:rFonts w:eastAsia="Times New Roman"/>
          <w:noProof/>
          <w:color w:val="000000"/>
          <w:lang w:val="en-IE" w:eastAsia="en-IE"/>
        </w:rPr>
        <w:t xml:space="preserve">The component </w:t>
      </w:r>
      <w:r w:rsidRPr="00D627E5">
        <w:rPr>
          <w:rFonts w:eastAsia="Times New Roman"/>
          <w:noProof/>
          <w:lang w:val="en-IE" w:eastAsia="en-GB"/>
        </w:rPr>
        <w:t xml:space="preserve">supports addressing </w:t>
      </w:r>
      <w:r w:rsidRPr="00D627E5">
        <w:rPr>
          <w:noProof/>
          <w:lang w:val="en-IE"/>
        </w:rPr>
        <w:t xml:space="preserve">Country Specific Recommendation 3 </w:t>
      </w:r>
      <w:r w:rsidRPr="00D627E5">
        <w:rPr>
          <w:rFonts w:eastAsia="Times New Roman"/>
          <w:noProof/>
          <w:lang w:val="en-IE" w:eastAsia="en-GB"/>
        </w:rPr>
        <w:t>2019, according to which Czechia shall</w:t>
      </w:r>
      <w:r w:rsidRPr="00D627E5">
        <w:rPr>
          <w:noProof/>
          <w:lang w:val="en-IE"/>
        </w:rPr>
        <w:t xml:space="preserve"> focus investment-related economic policy on digital infrastructure, Country Specific Recommendation 1 2020</w:t>
      </w:r>
      <w:r w:rsidRPr="00D627E5">
        <w:rPr>
          <w:rFonts w:eastAsia="Times New Roman"/>
          <w:noProof/>
          <w:color w:val="000000"/>
          <w:lang w:val="en-IE" w:eastAsia="en-IE"/>
        </w:rPr>
        <w:t xml:space="preserve">, according to which Czechia shall </w:t>
      </w:r>
      <w:r w:rsidRPr="00D627E5">
        <w:rPr>
          <w:i/>
          <w:iCs/>
          <w:noProof/>
          <w:color w:val="000000"/>
          <w:lang w:val="en-IE"/>
        </w:rPr>
        <w:t xml:space="preserve">strengthen the deployment of </w:t>
      </w:r>
      <w:r w:rsidRPr="007250C8">
        <w:rPr>
          <w:i/>
          <w:iCs/>
          <w:noProof/>
          <w:color w:val="000000"/>
          <w:lang w:val="en-IE"/>
        </w:rPr>
        <w:t>e-health</w:t>
      </w:r>
      <w:r w:rsidRPr="00D627E5">
        <w:rPr>
          <w:i/>
          <w:iCs/>
          <w:noProof/>
          <w:color w:val="000000"/>
          <w:lang w:val="en-IE"/>
        </w:rPr>
        <w:t xml:space="preserve"> services, and </w:t>
      </w:r>
      <w:r w:rsidRPr="00D627E5">
        <w:rPr>
          <w:noProof/>
          <w:lang w:val="en-IE"/>
        </w:rPr>
        <w:t xml:space="preserve">Country Specific Recommendation 3 </w:t>
      </w:r>
      <w:r w:rsidRPr="00D627E5">
        <w:rPr>
          <w:rFonts w:eastAsia="Times New Roman"/>
          <w:noProof/>
          <w:lang w:val="en-IE" w:eastAsia="en-GB"/>
        </w:rPr>
        <w:t>2020</w:t>
      </w:r>
      <w:r w:rsidRPr="00D627E5">
        <w:rPr>
          <w:rFonts w:eastAsia="Times New Roman"/>
          <w:noProof/>
          <w:color w:val="000000"/>
          <w:lang w:val="en-IE" w:eastAsia="en-IE"/>
        </w:rPr>
        <w:t>, according to which Czechia shall</w:t>
      </w:r>
      <w:r w:rsidRPr="00D627E5">
        <w:rPr>
          <w:i/>
          <w:iCs/>
          <w:noProof/>
          <w:color w:val="000000"/>
          <w:lang w:val="en-IE"/>
        </w:rPr>
        <w:t xml:space="preserve"> </w:t>
      </w:r>
      <w:r w:rsidRPr="00D627E5">
        <w:rPr>
          <w:noProof/>
          <w:lang w:val="en-IE"/>
        </w:rPr>
        <w:t>support small and medium-sized enterprises by reducing the administrative burden and focus investment on the digital transition.</w:t>
      </w:r>
    </w:p>
    <w:p w:rsidRPr="004F1648" w:rsidR="00D87E44" w:rsidRDefault="00D87E44" w14:paraId="15457629" w14:textId="77777777">
      <w:pPr>
        <w:spacing w:line="276" w:lineRule="auto"/>
        <w:jc w:val="both"/>
        <w:rPr>
          <w:rFonts w:eastAsia="Times New Roman"/>
          <w:noProof/>
          <w:color w:val="000000"/>
          <w:lang w:val="en-IE" w:eastAsia="en-IE"/>
        </w:rPr>
      </w:pPr>
      <w:r w:rsidRPr="004F1648">
        <w:rPr>
          <w:rFonts w:eastAsia="Times New Roman"/>
          <w:noProof/>
          <w:color w:val="000000"/>
          <w:lang w:val="en-IE" w:eastAsia="en-IE"/>
        </w:rPr>
        <w:t xml:space="preserve">It is expected that no measure in this component does significant harm to </w:t>
      </w:r>
      <w:r w:rsidRPr="004F1648">
        <w:rPr>
          <w:rFonts w:eastAsia="Times New Roman"/>
          <w:noProof/>
          <w:color w:val="000000"/>
          <w:lang w:val="en-IE" w:eastAsia="en-IE"/>
        </w:rPr>
        <w:t>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D627E5" w:rsidR="00D87E44" w:rsidRDefault="00D87E44" w14:paraId="1545762A" w14:textId="77777777">
      <w:pPr>
        <w:spacing w:line="240" w:lineRule="auto"/>
        <w:jc w:val="both"/>
        <w:rPr>
          <w:b/>
          <w:bCs/>
          <w:noProof/>
          <w:u w:val="single"/>
          <w:lang w:val="en-IE"/>
        </w:rPr>
      </w:pPr>
      <w:r w:rsidRPr="00D627E5">
        <w:rPr>
          <w:b/>
          <w:bCs/>
          <w:noProof/>
          <w:u w:val="single"/>
          <w:lang w:val="en-IE"/>
        </w:rPr>
        <w:t>A.1. Description of the reforms and investments for non-repayable financial support</w:t>
      </w:r>
    </w:p>
    <w:p w:rsidRPr="00D627E5" w:rsidR="00D87E44" w:rsidRDefault="00D87E44" w14:paraId="1545762B" w14:textId="77777777">
      <w:pPr>
        <w:spacing w:line="240" w:lineRule="auto"/>
        <w:rPr>
          <w:b/>
          <w:bCs/>
          <w:noProof/>
          <w:lang w:val="en-IE"/>
        </w:rPr>
      </w:pPr>
      <w:r w:rsidRPr="00D627E5">
        <w:rPr>
          <w:b/>
          <w:bCs/>
          <w:noProof/>
          <w:lang w:val="en-IE"/>
        </w:rPr>
        <w:t>Reform 1: Conditions for quality data pool management and ensuring controlled data access</w:t>
      </w:r>
    </w:p>
    <w:p w:rsidRPr="00FF1320" w:rsidR="00D87E44" w:rsidP="00FF1320" w:rsidRDefault="00D87E44" w14:paraId="1545762C" w14:textId="77777777">
      <w:pPr>
        <w:spacing w:line="240" w:lineRule="auto"/>
        <w:jc w:val="both"/>
        <w:rPr>
          <w:highlight w:val="yellow"/>
          <w:lang w:val="en-IE"/>
        </w:rPr>
      </w:pPr>
      <w:r w:rsidRPr="5A8C7C52">
        <w:rPr>
          <w:noProof/>
          <w:lang w:val="en-IE"/>
        </w:rPr>
        <w:t xml:space="preserve">The objective of this measure is to establish a higher </w:t>
      </w:r>
      <w:r w:rsidRPr="5A8C7C52">
        <w:rPr>
          <w:noProof/>
          <w:lang w:val="en-IE"/>
        </w:rPr>
        <w:t>quality framework for public administration data management. The reform consists in concluding a data audit of the central government bodies and adopting a strategy on controlled access to data</w:t>
      </w:r>
      <w:r w:rsidRPr="008C7FAF">
        <w:rPr>
          <w:noProof/>
          <w:lang w:val="en-IE"/>
        </w:rPr>
        <w:t>.</w:t>
      </w:r>
    </w:p>
    <w:p w:rsidRPr="00D627E5" w:rsidR="00D87E44" w:rsidRDefault="00D87E44" w14:paraId="1545762D" w14:textId="77777777">
      <w:pPr>
        <w:spacing w:line="240" w:lineRule="auto"/>
        <w:jc w:val="both"/>
        <w:rPr>
          <w:b/>
          <w:bCs/>
          <w:noProof/>
          <w:lang w:val="en-IE"/>
        </w:rPr>
      </w:pPr>
      <w:r w:rsidRPr="00D627E5">
        <w:rPr>
          <w:b/>
          <w:bCs/>
          <w:noProof/>
          <w:lang w:val="en-IE"/>
        </w:rPr>
        <w:t>Reform 2: eHealth services</w:t>
      </w:r>
    </w:p>
    <w:p w:rsidRPr="00D627E5" w:rsidR="00D87E44" w:rsidP="00FF1320" w:rsidRDefault="00D87E44" w14:paraId="1545762E" w14:textId="77777777">
      <w:pPr>
        <w:spacing w:line="240" w:lineRule="auto"/>
        <w:jc w:val="both"/>
        <w:rPr>
          <w:noProof/>
          <w:lang w:val="en-IE"/>
        </w:rPr>
      </w:pPr>
      <w:r w:rsidRPr="4A45BCA2">
        <w:rPr>
          <w:noProof/>
          <w:lang w:val="en-IE"/>
        </w:rPr>
        <w:lastRenderedPageBreak/>
        <w:t>The objective of this measure is to further digitalise the health sector. The measure consists in introducing new or upgraded telemedicine or eHealth services and connecting healthcare providers to the interoperability system.</w:t>
      </w:r>
    </w:p>
    <w:p w:rsidR="00D87E44" w:rsidRDefault="00D87E44" w14:paraId="1545762F" w14:textId="77777777">
      <w:pPr>
        <w:spacing w:before="0" w:after="160" w:line="259" w:lineRule="auto"/>
        <w:rPr>
          <w:b/>
          <w:bCs/>
          <w:noProof/>
          <w:lang w:val="en-IE"/>
        </w:rPr>
      </w:pPr>
      <w:r>
        <w:rPr>
          <w:b/>
          <w:bCs/>
          <w:noProof/>
          <w:lang w:val="en-IE"/>
        </w:rPr>
        <w:br w:type="page"/>
      </w:r>
    </w:p>
    <w:p w:rsidRPr="00D627E5" w:rsidR="00D87E44" w:rsidRDefault="00D87E44" w14:paraId="15457630" w14:textId="77777777">
      <w:pPr>
        <w:spacing w:line="240" w:lineRule="auto"/>
        <w:jc w:val="both"/>
        <w:rPr>
          <w:b/>
          <w:bCs/>
          <w:noProof/>
          <w:lang w:val="en-IE"/>
        </w:rPr>
      </w:pPr>
      <w:r w:rsidRPr="00D627E5">
        <w:rPr>
          <w:b/>
          <w:bCs/>
          <w:noProof/>
          <w:lang w:val="en-IE"/>
        </w:rPr>
        <w:lastRenderedPageBreak/>
        <w:t xml:space="preserve">Investment 1: Digital services </w:t>
      </w:r>
      <w:r w:rsidRPr="00213C99">
        <w:rPr>
          <w:b/>
          <w:bCs/>
          <w:noProof/>
          <w:lang w:val="en-IE"/>
        </w:rPr>
        <w:t>for end users</w:t>
      </w:r>
    </w:p>
    <w:p w:rsidRPr="00D627E5" w:rsidR="00D87E44" w:rsidRDefault="00D87E44" w14:paraId="15457631" w14:textId="77777777">
      <w:pPr>
        <w:spacing w:line="240" w:lineRule="auto"/>
        <w:jc w:val="both"/>
        <w:rPr>
          <w:noProof/>
          <w:lang w:val="en-IE"/>
        </w:rPr>
      </w:pPr>
      <w:r w:rsidRPr="67FAC61F">
        <w:rPr>
          <w:noProof/>
          <w:lang w:val="en-IE"/>
        </w:rPr>
        <w:t xml:space="preserve">The </w:t>
      </w:r>
      <w:r>
        <w:rPr>
          <w:noProof/>
          <w:lang w:val="en-IE"/>
        </w:rPr>
        <w:t xml:space="preserve">objective of this measure is </w:t>
      </w:r>
      <w:r w:rsidRPr="67FAC61F">
        <w:rPr>
          <w:noProof/>
          <w:lang w:val="en-IE"/>
        </w:rPr>
        <w:t xml:space="preserve">to simplify access for citizens and business to digital public services. The investment </w:t>
      </w:r>
      <w:r w:rsidRPr="44D41F6E">
        <w:rPr>
          <w:noProof/>
          <w:lang w:val="en-IE"/>
        </w:rPr>
        <w:t>consist</w:t>
      </w:r>
      <w:r>
        <w:rPr>
          <w:noProof/>
          <w:lang w:val="en-IE"/>
        </w:rPr>
        <w:t>s</w:t>
      </w:r>
      <w:r w:rsidRPr="44D41F6E">
        <w:rPr>
          <w:noProof/>
          <w:lang w:val="en-IE"/>
        </w:rPr>
        <w:t xml:space="preserve"> </w:t>
      </w:r>
      <w:r>
        <w:rPr>
          <w:noProof/>
          <w:lang w:val="en-IE"/>
        </w:rPr>
        <w:t>in accepting projects which build</w:t>
      </w:r>
      <w:r w:rsidRPr="44D41F6E">
        <w:rPr>
          <w:noProof/>
          <w:lang w:val="en-IE"/>
        </w:rPr>
        <w:t xml:space="preserve"> the Single Digital Gateway and digitalisation</w:t>
      </w:r>
      <w:r w:rsidRPr="67FAC61F">
        <w:rPr>
          <w:noProof/>
          <w:lang w:val="en-IE"/>
        </w:rPr>
        <w:t xml:space="preserve"> projects </w:t>
      </w:r>
      <w:r>
        <w:rPr>
          <w:noProof/>
          <w:lang w:val="en-IE"/>
        </w:rPr>
        <w:t>which</w:t>
      </w:r>
      <w:r w:rsidRPr="67FAC61F">
        <w:rPr>
          <w:noProof/>
          <w:lang w:val="en-IE"/>
        </w:rPr>
        <w:t xml:space="preserve"> </w:t>
      </w:r>
      <w:r>
        <w:rPr>
          <w:noProof/>
          <w:lang w:val="en-IE"/>
        </w:rPr>
        <w:t>simplify access for citizens and businesses to digital public services  and to the connection of information system.</w:t>
      </w:r>
    </w:p>
    <w:p w:rsidRPr="00A82958" w:rsidR="00D87E44" w:rsidRDefault="00D87E44" w14:paraId="15457632" w14:textId="77777777">
      <w:pPr>
        <w:spacing w:line="240" w:lineRule="auto"/>
        <w:jc w:val="both"/>
        <w:rPr>
          <w:b/>
          <w:bCs/>
          <w:noProof/>
          <w:lang w:val="en-IE"/>
        </w:rPr>
      </w:pPr>
      <w:r w:rsidRPr="00A82958">
        <w:rPr>
          <w:b/>
          <w:bCs/>
          <w:noProof/>
          <w:lang w:val="en-IE"/>
        </w:rPr>
        <w:t>Investment 2: Development of open data and a public data fund</w:t>
      </w:r>
    </w:p>
    <w:p w:rsidRPr="00D627E5" w:rsidR="00D87E44" w:rsidRDefault="00D87E44" w14:paraId="15457633" w14:textId="77777777">
      <w:pPr>
        <w:spacing w:line="240" w:lineRule="auto"/>
        <w:jc w:val="both"/>
        <w:rPr>
          <w:noProof/>
          <w:lang w:val="en-IE"/>
        </w:rPr>
      </w:pPr>
      <w:r w:rsidRPr="00D627E5">
        <w:rPr>
          <w:noProof/>
          <w:lang w:val="en-IE"/>
        </w:rPr>
        <w:t xml:space="preserve">The investment </w:t>
      </w:r>
      <w:r>
        <w:rPr>
          <w:noProof/>
          <w:lang w:val="en-IE"/>
        </w:rPr>
        <w:t xml:space="preserve">finances </w:t>
      </w:r>
      <w:r w:rsidRPr="00D627E5">
        <w:rPr>
          <w:noProof/>
          <w:lang w:val="en-IE"/>
        </w:rPr>
        <w:t xml:space="preserve">projects aimed at </w:t>
      </w:r>
      <w:r w:rsidRPr="61B1C192">
        <w:rPr>
          <w:noProof/>
          <w:lang w:val="en-IE"/>
        </w:rPr>
        <w:t>improving the quality of the National Open Data Catalogue:</w:t>
      </w:r>
      <w:r w:rsidRPr="00D627E5">
        <w:rPr>
          <w:noProof/>
          <w:lang w:val="en-IE"/>
        </w:rPr>
        <w:t xml:space="preserve"> the publication of code lists used in public administration in public databases</w:t>
      </w:r>
      <w:r w:rsidRPr="00D627E5" w:rsidDel="2FBB8620">
        <w:rPr>
          <w:noProof/>
          <w:lang w:val="en-IE"/>
        </w:rPr>
        <w:t>,</w:t>
      </w:r>
      <w:r w:rsidRPr="00D627E5">
        <w:rPr>
          <w:noProof/>
          <w:lang w:val="en-IE"/>
        </w:rPr>
        <w:t xml:space="preserve"> the development of a national open data catalogue</w:t>
      </w:r>
      <w:r w:rsidRPr="381E5ECB">
        <w:rPr>
          <w:noProof/>
          <w:lang w:val="en-IE"/>
        </w:rPr>
        <w:t xml:space="preserve"> and</w:t>
      </w:r>
      <w:r w:rsidRPr="00D627E5">
        <w:rPr>
          <w:noProof/>
          <w:lang w:val="en-IE"/>
        </w:rPr>
        <w:t xml:space="preserve"> the improvement of tools for </w:t>
      </w:r>
      <w:r w:rsidRPr="61B1C192">
        <w:rPr>
          <w:noProof/>
          <w:lang w:val="en-IE"/>
        </w:rPr>
        <w:t xml:space="preserve">increasing the number of open data producers in the public </w:t>
      </w:r>
      <w:r w:rsidRPr="1C18879B">
        <w:rPr>
          <w:noProof/>
          <w:lang w:val="en-IE"/>
        </w:rPr>
        <w:t>administration</w:t>
      </w:r>
      <w:r>
        <w:rPr>
          <w:noProof/>
          <w:lang w:val="en-IE"/>
        </w:rPr>
        <w:t xml:space="preserve"> publishing open data in the National Open Data Catalogue.</w:t>
      </w:r>
    </w:p>
    <w:p w:rsidRPr="00D627E5" w:rsidR="00D87E44" w:rsidRDefault="00D87E44" w14:paraId="15457634" w14:textId="77777777">
      <w:pPr>
        <w:spacing w:line="240" w:lineRule="auto"/>
        <w:jc w:val="both"/>
        <w:rPr>
          <w:noProof/>
          <w:lang w:val="en-IE"/>
        </w:rPr>
      </w:pPr>
      <w:r w:rsidRPr="008759AB">
        <w:rPr>
          <w:noProof/>
          <w:lang w:val="en-IE"/>
        </w:rPr>
        <w:t>This investment shall be implemented by 31 December 2024.</w:t>
      </w:r>
    </w:p>
    <w:p w:rsidRPr="00A82958" w:rsidR="00D87E44" w:rsidRDefault="00D87E44" w14:paraId="15457635" w14:textId="77777777">
      <w:pPr>
        <w:spacing w:line="240" w:lineRule="auto"/>
        <w:jc w:val="both"/>
        <w:rPr>
          <w:b/>
          <w:bCs/>
          <w:noProof/>
          <w:lang w:val="en-IE"/>
        </w:rPr>
      </w:pPr>
      <w:r w:rsidRPr="00A82958">
        <w:rPr>
          <w:b/>
          <w:bCs/>
          <w:noProof/>
          <w:lang w:val="en-IE"/>
        </w:rPr>
        <w:t>Investment 3: Digital services for justice</w:t>
      </w:r>
    </w:p>
    <w:p w:rsidRPr="00D627E5" w:rsidR="00D87E44" w:rsidRDefault="00D87E44" w14:paraId="15457636" w14:textId="77777777">
      <w:pPr>
        <w:spacing w:line="240" w:lineRule="auto"/>
        <w:jc w:val="both"/>
        <w:rPr>
          <w:noProof/>
          <w:lang w:val="en-IE"/>
        </w:rPr>
      </w:pPr>
      <w:r w:rsidRPr="00D627E5">
        <w:rPr>
          <w:noProof/>
          <w:lang w:val="en-IE"/>
        </w:rPr>
        <w:t xml:space="preserve">The investment has the objective to increase transparency of the national justice system by creating an </w:t>
      </w:r>
      <w:r w:rsidRPr="00213C99">
        <w:rPr>
          <w:noProof/>
          <w:lang w:val="en-IE"/>
        </w:rPr>
        <w:t>Justice Portal</w:t>
      </w:r>
      <w:r w:rsidRPr="00D627E5">
        <w:rPr>
          <w:noProof/>
          <w:lang w:val="en-IE"/>
        </w:rPr>
        <w:t xml:space="preserve"> that meets cybersecurity </w:t>
      </w:r>
      <w:r w:rsidRPr="00213C99">
        <w:rPr>
          <w:noProof/>
          <w:lang w:val="en-IE"/>
        </w:rPr>
        <w:t>requirements</w:t>
      </w:r>
      <w:r w:rsidRPr="00D627E5">
        <w:rPr>
          <w:noProof/>
          <w:lang w:val="en-IE"/>
        </w:rPr>
        <w:t xml:space="preserve"> and provides online services and access to information to </w:t>
      </w:r>
      <w:r w:rsidRPr="00213C99">
        <w:rPr>
          <w:noProof/>
          <w:lang w:val="en-IE"/>
        </w:rPr>
        <w:t>end users</w:t>
      </w:r>
      <w:r w:rsidRPr="00D627E5">
        <w:rPr>
          <w:noProof/>
          <w:lang w:val="en-IE"/>
        </w:rPr>
        <w:t xml:space="preserve">. This portal shall be interconnected with the Citizen’s Portal. Moreover, transparency and </w:t>
      </w:r>
      <w:r w:rsidRPr="63503832">
        <w:rPr>
          <w:noProof/>
          <w:lang w:val="en-IE"/>
        </w:rPr>
        <w:t>efficiency</w:t>
      </w:r>
      <w:r w:rsidRPr="00D627E5">
        <w:rPr>
          <w:noProof/>
          <w:lang w:val="en-IE"/>
        </w:rPr>
        <w:t xml:space="preserve"> shall be further increased by equipping court hearing rooms with audio-visual data recorders</w:t>
      </w:r>
      <w:r>
        <w:rPr>
          <w:noProof/>
          <w:lang w:val="en-IE"/>
        </w:rPr>
        <w:t xml:space="preserve"> in order to enable digitalising the records of court hearings</w:t>
      </w:r>
      <w:r w:rsidRPr="00D627E5">
        <w:rPr>
          <w:noProof/>
          <w:lang w:val="en-IE"/>
        </w:rPr>
        <w:t>.</w:t>
      </w:r>
    </w:p>
    <w:p w:rsidR="00D87E44" w:rsidRDefault="00D87E44" w14:paraId="15457637" w14:textId="77777777">
      <w:pPr>
        <w:pBdr>
          <w:top w:val="nil"/>
          <w:left w:val="nil"/>
          <w:bottom w:val="nil"/>
          <w:right w:val="nil"/>
          <w:between w:val="nil"/>
        </w:pBdr>
        <w:spacing w:line="240" w:lineRule="auto"/>
        <w:rPr>
          <w:rFonts w:eastAsia="Times New Roman"/>
          <w:b/>
          <w:bCs/>
          <w:noProof/>
          <w:szCs w:val="24"/>
          <w:lang w:val="en-IE"/>
        </w:rPr>
      </w:pPr>
      <w:r w:rsidRPr="008759AB">
        <w:rPr>
          <w:noProof/>
          <w:lang w:val="en-IE"/>
        </w:rPr>
        <w:t>This investment shall be implemented by 31 December 2023.</w:t>
      </w:r>
    </w:p>
    <w:p w:rsidR="00D87E44" w:rsidRDefault="00D87E44" w14:paraId="15457638" w14:textId="77777777">
      <w:pPr>
        <w:pBdr>
          <w:top w:val="nil"/>
          <w:left w:val="nil"/>
          <w:bottom w:val="nil"/>
          <w:right w:val="nil"/>
          <w:between w:val="nil"/>
        </w:pBdr>
        <w:spacing w:line="240" w:lineRule="auto"/>
        <w:rPr>
          <w:rFonts w:eastAsia="Times New Roman"/>
          <w:b/>
          <w:bCs/>
          <w:noProof/>
          <w:szCs w:val="24"/>
          <w:lang w:val="en-IE"/>
        </w:rPr>
      </w:pPr>
      <w:r w:rsidRPr="00CC2BFE">
        <w:rPr>
          <w:rFonts w:eastAsia="Times New Roman"/>
          <w:b/>
          <w:bCs/>
          <w:noProof/>
          <w:szCs w:val="24"/>
          <w:lang w:val="en-IE"/>
        </w:rPr>
        <w:t xml:space="preserve">Investment 4: Digital services for end users in social area </w:t>
      </w:r>
    </w:p>
    <w:p w:rsidRPr="00D627E5" w:rsidR="00D87E44" w:rsidP="00D46E74" w:rsidRDefault="00D87E44" w14:paraId="15457639" w14:textId="77777777">
      <w:pPr>
        <w:pBdr>
          <w:top w:val="nil"/>
          <w:left w:val="nil"/>
          <w:bottom w:val="nil"/>
          <w:right w:val="nil"/>
          <w:between w:val="nil"/>
        </w:pBdr>
        <w:spacing w:line="240" w:lineRule="auto"/>
        <w:rPr>
          <w:b/>
          <w:noProof/>
          <w:lang w:val="en-IE"/>
        </w:rPr>
        <w:sectPr w:rsidRPr="00D627E5" w:rsidR="00C16C1F" w:rsidSect="00E3458A">
          <w:headerReference w:type="even" r:id="R203b0a9596a544d4"/>
          <w:headerReference w:type="default" r:id="R924b4393fb044e8f"/>
          <w:footerReference w:type="even" r:id="Rdd58552b4cc54a36"/>
          <w:headerReference w:type="first" r:id="Re1e2418dc30b4b73"/>
          <w:footerReference w:type="first" r:id="Rb2969b84600d4502"/>
          <w:pgSz w:w="11907" w:h="16840" w:code="9"/>
          <w:pgMar w:top="1134" w:right="1134" w:bottom="1134" w:left="1134" w:header="567" w:footer="567" w:gutter="0"/>
          <w:cols w:space="720"/>
          <w:docGrid w:linePitch="360"/>
        </w:sectPr>
      </w:pPr>
      <w:r w:rsidRPr="2E58AA54">
        <w:rPr>
          <w:rFonts w:eastAsia="Times New Roman"/>
          <w:noProof/>
          <w:lang w:val="en-IE"/>
        </w:rPr>
        <w:t xml:space="preserve">The objective of the measure is to support online application for housing benefits and full electronic exchange of data with end users in the </w:t>
      </w:r>
      <w:r>
        <w:rPr>
          <w:rFonts w:eastAsia="Times New Roman"/>
          <w:noProof/>
          <w:lang w:val="en-IE"/>
        </w:rPr>
        <w:t xml:space="preserve">areas of </w:t>
      </w:r>
      <w:r w:rsidRPr="2E58AA54">
        <w:rPr>
          <w:rFonts w:eastAsia="Times New Roman"/>
          <w:noProof/>
          <w:lang w:val="en-IE"/>
        </w:rPr>
        <w:t xml:space="preserve">social services and </w:t>
      </w:r>
      <w:r w:rsidRPr="00A82958">
        <w:rPr>
          <w:rFonts w:eastAsia="Times New Roman"/>
          <w:noProof/>
          <w:lang w:val="en-IE"/>
        </w:rPr>
        <w:t>employment</w:t>
      </w:r>
      <w:r w:rsidRPr="2E58AA54">
        <w:rPr>
          <w:rFonts w:eastAsia="Times New Roman"/>
          <w:noProof/>
          <w:lang w:val="en-IE"/>
        </w:rPr>
        <w:t xml:space="preserve">. The investment consists of upgrading the self-service portal for the Labour Office. </w:t>
      </w:r>
    </w:p>
    <w:p w:rsidRPr="00D627E5" w:rsidR="00D87E44" w:rsidRDefault="00D87E44" w14:paraId="1545763A" w14:textId="77777777">
      <w:pPr>
        <w:pBdr>
          <w:top w:val="nil"/>
          <w:left w:val="nil"/>
          <w:bottom w:val="nil"/>
          <w:right w:val="nil"/>
          <w:between w:val="nil"/>
        </w:pBdr>
        <w:tabs>
          <w:tab w:val="left" w:pos="993"/>
        </w:tabs>
        <w:spacing w:line="240" w:lineRule="auto"/>
        <w:rPr>
          <w:rFonts w:ascii="Calibri" w:hAnsi="Calibri"/>
          <w:noProof/>
          <w:color w:val="000000"/>
          <w:sz w:val="22"/>
          <w:lang w:val="en-IE"/>
        </w:rPr>
      </w:pPr>
      <w:r w:rsidRPr="00D627E5">
        <w:rPr>
          <w:b/>
          <w:noProof/>
          <w:color w:val="000000"/>
          <w:szCs w:val="24"/>
          <w:u w:val="single"/>
          <w:lang w:val="en-IE"/>
        </w:rPr>
        <w:lastRenderedPageBreak/>
        <w:t xml:space="preserve">A.2. Milestones, targets, indicators, and timetable for monitoring and implementation for non-repayable financial support </w:t>
      </w:r>
    </w:p>
    <w:tbl>
      <w:tblPr>
        <w:tblW w:w="1501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left w:w="0" w:type="dxa"/>
          <w:right w:w="0" w:type="dxa"/>
        </w:tblCellMar>
        <w:tblLook w:val="0400" w:firstRow="0" w:lastRow="0" w:firstColumn="0" w:lastColumn="0" w:noHBand="0" w:noVBand="1"/>
      </w:tblPr>
      <w:tblGrid>
        <w:gridCol w:w="688"/>
        <w:gridCol w:w="1306"/>
        <w:gridCol w:w="995"/>
        <w:gridCol w:w="1687"/>
        <w:gridCol w:w="1259"/>
        <w:gridCol w:w="1415"/>
        <w:gridCol w:w="1350"/>
        <w:gridCol w:w="916"/>
        <w:gridCol w:w="850"/>
        <w:gridCol w:w="728"/>
        <w:gridCol w:w="3802"/>
        <w:gridCol w:w="20"/>
      </w:tblGrid>
      <w:tr w:rsidRPr="00FE48E2" w:rsidR="00E3458A" w:rsidTr="004A6335" w14:paraId="15457643" w14:textId="77777777">
        <w:trPr>
          <w:gridAfter w:val="1"/>
          <w:wAfter w:w="20" w:type="dxa"/>
          <w:trHeight w:val="300"/>
          <w:tblHeader/>
          <w:jc w:val="center"/>
        </w:trPr>
        <w:tc>
          <w:tcPr>
            <w:tcW w:w="688" w:type="dxa"/>
            <w:vMerge w:val="restart"/>
            <w:tcBorders>
              <w:top w:val="single" w:color="000000" w:themeColor="text1" w:sz="8" w:space="0"/>
              <w:left w:val="single" w:color="000000" w:themeColor="text1" w:sz="8" w:space="0"/>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3B"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Seq. Num.</w:t>
            </w:r>
          </w:p>
        </w:tc>
        <w:tc>
          <w:tcPr>
            <w:tcW w:w="1306" w:type="dxa"/>
            <w:vMerge w:val="restart"/>
            <w:tcBorders>
              <w:top w:val="single" w:color="000000" w:themeColor="text1" w:sz="8" w:space="0"/>
              <w:left w:val="single" w:color="000000" w:themeColor="text1" w:sz="8" w:space="0"/>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3C"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Related measure (Reform or Investment) </w:t>
            </w:r>
          </w:p>
        </w:tc>
        <w:tc>
          <w:tcPr>
            <w:tcW w:w="995" w:type="dxa"/>
            <w:vMerge w:val="restart"/>
            <w:tcBorders>
              <w:top w:val="single" w:color="000000" w:themeColor="text1" w:sz="8" w:space="0"/>
              <w:left w:val="single" w:color="000000" w:themeColor="text1" w:sz="8" w:space="0"/>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3D"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Milestone / Target </w:t>
            </w:r>
          </w:p>
        </w:tc>
        <w:tc>
          <w:tcPr>
            <w:tcW w:w="1687" w:type="dxa"/>
            <w:vMerge w:val="restart"/>
            <w:tcBorders>
              <w:top w:val="single" w:color="000000" w:themeColor="text1" w:sz="8" w:space="0"/>
              <w:left w:val="single" w:color="000000" w:themeColor="text1" w:sz="8" w:space="0"/>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3E"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Name </w:t>
            </w:r>
          </w:p>
        </w:tc>
        <w:tc>
          <w:tcPr>
            <w:tcW w:w="1259" w:type="dxa"/>
            <w:vMerge w:val="restart"/>
            <w:tcBorders>
              <w:top w:val="single" w:color="000000" w:themeColor="text1" w:sz="8" w:space="0"/>
              <w:left w:val="single" w:color="000000" w:themeColor="text1" w:sz="8" w:space="0"/>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3F"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Qualitative indicators</w:t>
            </w:r>
            <w:r w:rsidRPr="00D627E5">
              <w:rPr>
                <w:rFonts w:eastAsia="Times New Roman"/>
                <w:noProof/>
                <w:sz w:val="18"/>
                <w:szCs w:val="18"/>
                <w:lang w:val="en-IE"/>
              </w:rPr>
              <w:br/>
            </w:r>
            <w:r w:rsidRPr="00D627E5">
              <w:rPr>
                <w:rFonts w:eastAsia="Times New Roman"/>
                <w:b/>
                <w:noProof/>
                <w:sz w:val="18"/>
                <w:szCs w:val="18"/>
                <w:lang w:val="en-IE"/>
              </w:rPr>
              <w:t xml:space="preserve"> (for milestones)</w:t>
            </w:r>
          </w:p>
        </w:tc>
        <w:tc>
          <w:tcPr>
            <w:tcW w:w="3681"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D627E5" w:rsidR="00D87E44" w:rsidRDefault="00D87E44" w14:paraId="15457640"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Quantitative indicators</w:t>
            </w:r>
            <w:r w:rsidRPr="00D627E5">
              <w:rPr>
                <w:rFonts w:eastAsia="Times New Roman"/>
                <w:noProof/>
                <w:sz w:val="18"/>
                <w:szCs w:val="18"/>
                <w:lang w:val="en-IE"/>
              </w:rPr>
              <w:br/>
            </w:r>
            <w:r w:rsidRPr="00D627E5">
              <w:rPr>
                <w:rFonts w:eastAsia="Times New Roman"/>
                <w:b/>
                <w:noProof/>
                <w:sz w:val="18"/>
                <w:szCs w:val="18"/>
                <w:lang w:val="en-IE"/>
              </w:rPr>
              <w:t xml:space="preserve"> (for targets)</w:t>
            </w:r>
          </w:p>
        </w:tc>
        <w:tc>
          <w:tcPr>
            <w:tcW w:w="1578" w:type="dxa"/>
            <w:gridSpan w:val="2"/>
            <w:tcBorders>
              <w:top w:val="single" w:color="000000" w:themeColor="text1" w:sz="8" w:space="0"/>
              <w:left w:val="nil"/>
              <w:bottom w:val="single" w:color="000000" w:themeColor="text1" w:sz="8" w:space="0"/>
              <w:right w:val="single" w:color="000000" w:themeColor="text1" w:sz="8" w:space="0"/>
            </w:tcBorders>
            <w:shd w:val="clear" w:color="auto" w:fill="BDD7EE"/>
            <w:vAlign w:val="center"/>
            <w:hideMark/>
          </w:tcPr>
          <w:p w:rsidRPr="00D627E5" w:rsidR="00D87E44" w:rsidRDefault="00D87E44" w14:paraId="15457641"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Indicative timeline for completion </w:t>
            </w:r>
          </w:p>
        </w:tc>
        <w:tc>
          <w:tcPr>
            <w:tcW w:w="3802" w:type="dxa"/>
            <w:vMerge w:val="restart"/>
            <w:tcBorders>
              <w:top w:val="single" w:color="000000" w:themeColor="text1" w:sz="8" w:space="0"/>
              <w:left w:val="nil"/>
              <w:bottom w:val="single" w:color="000000" w:themeColor="text1" w:sz="4" w:space="0"/>
              <w:right w:val="single" w:color="000000" w:themeColor="text1" w:sz="8" w:space="0"/>
            </w:tcBorders>
            <w:shd w:val="clear" w:color="auto" w:fill="BDD7EE"/>
            <w:vAlign w:val="center"/>
            <w:hideMark/>
          </w:tcPr>
          <w:p w:rsidRPr="00D627E5" w:rsidR="00D87E44" w:rsidRDefault="00D87E44" w14:paraId="15457642"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Description and clear definition of each milestone and target</w:t>
            </w:r>
          </w:p>
        </w:tc>
      </w:tr>
      <w:tr w:rsidRPr="00FE48E2" w:rsidR="00E3458A" w:rsidTr="004A6335" w14:paraId="1545764F" w14:textId="77777777">
        <w:trPr>
          <w:gridAfter w:val="1"/>
          <w:wAfter w:w="20" w:type="dxa"/>
          <w:trHeight w:val="300"/>
          <w:tblHeader/>
          <w:jc w:val="center"/>
        </w:trPr>
        <w:tc>
          <w:tcPr>
            <w:tcW w:w="688" w:type="dxa"/>
            <w:vMerge/>
            <w:vAlign w:val="center"/>
            <w:hideMark/>
          </w:tcPr>
          <w:p w:rsidRPr="00D627E5" w:rsidR="00D87E44" w:rsidRDefault="00D87E44" w14:paraId="15457644" w14:textId="77777777">
            <w:pPr>
              <w:spacing w:before="0" w:after="0" w:line="240" w:lineRule="auto"/>
              <w:rPr>
                <w:rFonts w:eastAsia="Times New Roman"/>
                <w:noProof/>
                <w:sz w:val="18"/>
                <w:szCs w:val="18"/>
                <w:lang w:val="en-IE"/>
              </w:rPr>
            </w:pPr>
          </w:p>
        </w:tc>
        <w:tc>
          <w:tcPr>
            <w:tcW w:w="1306" w:type="dxa"/>
            <w:vMerge/>
            <w:vAlign w:val="center"/>
            <w:hideMark/>
          </w:tcPr>
          <w:p w:rsidRPr="00D627E5" w:rsidR="00D87E44" w:rsidRDefault="00D87E44" w14:paraId="15457645" w14:textId="77777777">
            <w:pPr>
              <w:spacing w:before="0" w:after="0" w:line="240" w:lineRule="auto"/>
              <w:rPr>
                <w:rFonts w:eastAsia="Times New Roman"/>
                <w:noProof/>
                <w:sz w:val="18"/>
                <w:szCs w:val="18"/>
                <w:lang w:val="en-IE"/>
              </w:rPr>
            </w:pPr>
          </w:p>
        </w:tc>
        <w:tc>
          <w:tcPr>
            <w:tcW w:w="995" w:type="dxa"/>
            <w:vMerge/>
            <w:vAlign w:val="center"/>
            <w:hideMark/>
          </w:tcPr>
          <w:p w:rsidRPr="00D627E5" w:rsidR="00D87E44" w:rsidRDefault="00D87E44" w14:paraId="15457646" w14:textId="77777777">
            <w:pPr>
              <w:spacing w:before="0" w:after="0" w:line="240" w:lineRule="auto"/>
              <w:rPr>
                <w:rFonts w:eastAsia="Times New Roman"/>
                <w:noProof/>
                <w:sz w:val="18"/>
                <w:szCs w:val="18"/>
                <w:lang w:val="en-IE"/>
              </w:rPr>
            </w:pPr>
          </w:p>
        </w:tc>
        <w:tc>
          <w:tcPr>
            <w:tcW w:w="1687" w:type="dxa"/>
            <w:vMerge/>
            <w:vAlign w:val="center"/>
            <w:hideMark/>
          </w:tcPr>
          <w:p w:rsidRPr="00D627E5" w:rsidR="00D87E44" w:rsidRDefault="00D87E44" w14:paraId="15457647" w14:textId="77777777">
            <w:pPr>
              <w:spacing w:before="0" w:after="0" w:line="240" w:lineRule="auto"/>
              <w:rPr>
                <w:rFonts w:eastAsia="Times New Roman"/>
                <w:noProof/>
                <w:sz w:val="18"/>
                <w:szCs w:val="18"/>
                <w:lang w:val="en-IE"/>
              </w:rPr>
            </w:pPr>
          </w:p>
        </w:tc>
        <w:tc>
          <w:tcPr>
            <w:tcW w:w="1259" w:type="dxa"/>
            <w:vMerge/>
            <w:vAlign w:val="center"/>
            <w:hideMark/>
          </w:tcPr>
          <w:p w:rsidRPr="00D627E5" w:rsidR="00D87E44" w:rsidRDefault="00D87E44" w14:paraId="15457648" w14:textId="77777777">
            <w:pPr>
              <w:spacing w:before="0" w:after="0" w:line="240" w:lineRule="auto"/>
              <w:rPr>
                <w:rFonts w:eastAsia="Times New Roman"/>
                <w:noProof/>
                <w:sz w:val="18"/>
                <w:szCs w:val="18"/>
                <w:lang w:val="en-IE"/>
              </w:rPr>
            </w:pP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275E81" w:rsidR="00D87E44" w:rsidRDefault="00D87E44" w14:paraId="15457649" w14:textId="77777777">
            <w:pPr>
              <w:spacing w:line="240" w:lineRule="auto"/>
              <w:jc w:val="center"/>
              <w:rPr>
                <w:rFonts w:eastAsia="Times New Roman"/>
                <w:noProof/>
                <w:sz w:val="18"/>
                <w:szCs w:val="18"/>
                <w:lang w:val="en-IE"/>
              </w:rPr>
            </w:pPr>
            <w:r w:rsidRPr="00275E81">
              <w:rPr>
                <w:rFonts w:eastAsia="Times New Roman"/>
                <w:b/>
                <w:noProof/>
                <w:sz w:val="18"/>
                <w:szCs w:val="18"/>
                <w:lang w:val="en-IE"/>
              </w:rPr>
              <w:t>Unit of measure</w:t>
            </w:r>
          </w:p>
        </w:tc>
        <w:tc>
          <w:tcPr>
            <w:tcW w:w="1350"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275E81" w:rsidR="00D87E44" w:rsidRDefault="00D87E44" w14:paraId="1545764A" w14:textId="77777777">
            <w:pPr>
              <w:spacing w:line="240" w:lineRule="auto"/>
              <w:jc w:val="center"/>
              <w:rPr>
                <w:rFonts w:eastAsia="Times New Roman"/>
                <w:noProof/>
                <w:sz w:val="18"/>
                <w:szCs w:val="18"/>
                <w:lang w:val="en-IE"/>
              </w:rPr>
            </w:pPr>
            <w:r w:rsidRPr="00275E81">
              <w:rPr>
                <w:rFonts w:eastAsia="Times New Roman"/>
                <w:b/>
                <w:noProof/>
                <w:sz w:val="18"/>
                <w:szCs w:val="18"/>
                <w:lang w:val="en-IE"/>
              </w:rPr>
              <w:t>Baseline</w:t>
            </w:r>
          </w:p>
        </w:tc>
        <w:tc>
          <w:tcPr>
            <w:tcW w:w="916"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275E81" w:rsidR="00D87E44" w:rsidRDefault="00D87E44" w14:paraId="1545764B" w14:textId="77777777">
            <w:pPr>
              <w:spacing w:line="240" w:lineRule="auto"/>
              <w:jc w:val="center"/>
              <w:rPr>
                <w:rFonts w:eastAsia="Times New Roman"/>
                <w:noProof/>
                <w:sz w:val="18"/>
                <w:szCs w:val="18"/>
                <w:lang w:val="en-IE"/>
              </w:rPr>
            </w:pPr>
            <w:r w:rsidRPr="00275E81">
              <w:rPr>
                <w:rFonts w:eastAsia="Times New Roman"/>
                <w:b/>
                <w:noProof/>
                <w:sz w:val="18"/>
                <w:szCs w:val="18"/>
                <w:lang w:val="en-IE"/>
              </w:rPr>
              <w:t>Goal</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275E81" w:rsidR="00D87E44" w:rsidRDefault="00D87E44" w14:paraId="1545764C" w14:textId="77777777">
            <w:pPr>
              <w:spacing w:line="240" w:lineRule="auto"/>
              <w:jc w:val="center"/>
              <w:rPr>
                <w:rFonts w:eastAsia="Times New Roman"/>
                <w:noProof/>
                <w:sz w:val="18"/>
                <w:szCs w:val="18"/>
                <w:lang w:val="en-IE"/>
              </w:rPr>
            </w:pPr>
            <w:r w:rsidRPr="00275E81">
              <w:rPr>
                <w:rFonts w:eastAsia="Times New Roman"/>
                <w:b/>
                <w:noProof/>
                <w:sz w:val="18"/>
                <w:szCs w:val="18"/>
                <w:lang w:val="en-IE"/>
              </w:rPr>
              <w:t>Quarter</w:t>
            </w:r>
          </w:p>
        </w:tc>
        <w:tc>
          <w:tcPr>
            <w:tcW w:w="728"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hideMark/>
          </w:tcPr>
          <w:p w:rsidRPr="00275E81" w:rsidR="00D87E44" w:rsidRDefault="00D87E44" w14:paraId="1545764D" w14:textId="77777777">
            <w:pPr>
              <w:spacing w:line="240" w:lineRule="auto"/>
              <w:jc w:val="center"/>
              <w:rPr>
                <w:rFonts w:eastAsia="Times New Roman"/>
                <w:noProof/>
                <w:sz w:val="18"/>
                <w:szCs w:val="18"/>
                <w:lang w:val="en-IE"/>
              </w:rPr>
            </w:pPr>
            <w:r w:rsidRPr="00275E81">
              <w:rPr>
                <w:rFonts w:eastAsia="Times New Roman"/>
                <w:b/>
                <w:noProof/>
                <w:sz w:val="18"/>
                <w:szCs w:val="18"/>
                <w:lang w:val="en-IE"/>
              </w:rPr>
              <w:t>Year</w:t>
            </w:r>
          </w:p>
        </w:tc>
        <w:tc>
          <w:tcPr>
            <w:tcW w:w="3802" w:type="dxa"/>
            <w:vMerge/>
            <w:vAlign w:val="center"/>
            <w:hideMark/>
          </w:tcPr>
          <w:p w:rsidRPr="00D627E5" w:rsidR="00D87E44" w:rsidRDefault="00D87E44" w14:paraId="1545764E" w14:textId="77777777">
            <w:pPr>
              <w:spacing w:before="0" w:after="0" w:line="240" w:lineRule="auto"/>
              <w:rPr>
                <w:rFonts w:eastAsia="Times New Roman"/>
                <w:noProof/>
                <w:sz w:val="18"/>
                <w:szCs w:val="18"/>
                <w:lang w:val="en-IE"/>
              </w:rPr>
            </w:pPr>
          </w:p>
        </w:tc>
      </w:tr>
      <w:tr w:rsidRPr="00FE48E2" w:rsidR="00E3458A" w:rsidTr="004A6335" w14:paraId="1545765B"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0"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1</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1"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Reform 1: Conditions for quality data pool management and ensuring controlled data access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2"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3"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 xml:space="preserve">Finalisation of data audit at the levels of the central government, and adoption of the conceptual document “Strategy of controlled access to data to ensure conditions for quality management of the public administration data collection” by the </w:t>
            </w:r>
            <w:r w:rsidRPr="0013041D">
              <w:rPr>
                <w:rFonts w:eastAsia="Times New Roman"/>
                <w:noProof/>
                <w:color w:val="006100"/>
                <w:sz w:val="18"/>
                <w:szCs w:val="18"/>
                <w:lang w:val="en-IE" w:eastAsia="en-GB"/>
              </w:rPr>
              <w:t>Government</w:t>
            </w:r>
            <w:r w:rsidRPr="00AE0427" w:rsidDel="00424B93">
              <w:rPr>
                <w:rFonts w:eastAsia="Times New Roman"/>
                <w:noProof/>
                <w:color w:val="006100"/>
                <w:sz w:val="18"/>
                <w:szCs w:val="18"/>
                <w:lang w:val="en-IE" w:eastAsia="en-GB"/>
              </w:rPr>
              <w:t>, forming a basis for new data management legislation</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Conclusion of data audit of central government bodies (a total of 32 institutions), and adoption of the strategy conceptual document by the government</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55" w14:textId="77777777">
            <w:pPr>
              <w:spacing w:line="240" w:lineRule="auto"/>
              <w:rPr>
                <w:rFonts w:eastAsia="Times New Roman"/>
                <w:noProof/>
                <w:color w:val="006100"/>
                <w:sz w:val="18"/>
                <w:szCs w:val="18"/>
                <w:lang w:val="en-IE"/>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56" w14:textId="77777777">
            <w:pPr>
              <w:spacing w:line="240" w:lineRule="auto"/>
              <w:rPr>
                <w:rFonts w:eastAsia="Times New Roman"/>
                <w:noProof/>
                <w:color w:val="006100"/>
                <w:sz w:val="18"/>
                <w:szCs w:val="18"/>
                <w:lang w:val="en-IE"/>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57" w14:textId="77777777">
            <w:pPr>
              <w:spacing w:line="240" w:lineRule="auto"/>
              <w:rPr>
                <w:rFonts w:eastAsia="Times New Roman"/>
                <w:noProof/>
                <w:color w:val="006100"/>
                <w:sz w:val="18"/>
                <w:szCs w:val="18"/>
                <w:lang w:val="en-IE"/>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8"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9"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rPr>
              <w:t>2023</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A" w14:textId="77777777">
            <w:pPr>
              <w:spacing w:before="0" w:line="240" w:lineRule="auto"/>
              <w:rPr>
                <w:rFonts w:eastAsia="Times New Roman"/>
                <w:noProof/>
                <w:color w:val="006100"/>
                <w:sz w:val="18"/>
                <w:szCs w:val="18"/>
                <w:lang w:val="en-IE"/>
              </w:rPr>
            </w:pPr>
            <w:r w:rsidRPr="2E0A61C4" w:rsidDel="00516D21">
              <w:rPr>
                <w:rFonts w:eastAsia="Times New Roman"/>
                <w:noProof/>
                <w:color w:val="006100"/>
                <w:sz w:val="18"/>
                <w:szCs w:val="18"/>
                <w:lang w:val="en-IE" w:eastAsia="en-GB"/>
              </w:rPr>
              <w:t>T</w:t>
            </w:r>
            <w:r w:rsidRPr="2E0A61C4">
              <w:rPr>
                <w:rFonts w:eastAsia="Times New Roman"/>
                <w:noProof/>
                <w:color w:val="006100"/>
                <w:sz w:val="18"/>
                <w:szCs w:val="18"/>
                <w:lang w:val="en-IE" w:eastAsia="en-GB"/>
              </w:rPr>
              <w:t>he data audit</w:t>
            </w:r>
            <w:r w:rsidRPr="2E0A61C4" w:rsidDel="00516D21">
              <w:rPr>
                <w:rFonts w:eastAsia="Times New Roman"/>
                <w:noProof/>
                <w:color w:val="006100"/>
                <w:sz w:val="18"/>
                <w:szCs w:val="18"/>
                <w:lang w:val="en-IE" w:eastAsia="en-GB"/>
              </w:rPr>
              <w:t xml:space="preserve"> and the consequent strategy shall serve as a basis for the preparation of legislative changes to incorporate good data management in public administration </w:t>
            </w:r>
            <w:r w:rsidRPr="2E0A61C4">
              <w:rPr>
                <w:rFonts w:eastAsia="Times New Roman"/>
                <w:noProof/>
                <w:color w:val="006100"/>
                <w:sz w:val="18"/>
                <w:szCs w:val="18"/>
                <w:lang w:val="en-IE" w:eastAsia="en-GB"/>
              </w:rPr>
              <w:t>in line with the FAIR principles and in line with the envisaged European Data Governance Act.</w:t>
            </w:r>
          </w:p>
        </w:tc>
      </w:tr>
      <w:tr w:rsidRPr="00FE48E2" w:rsidR="00E3458A" w:rsidTr="004A6335" w14:paraId="15457667"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C"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3</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D"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Reform 2: eHealth</w:t>
            </w:r>
            <w:r>
              <w:rPr>
                <w:rFonts w:eastAsia="Times New Roman"/>
                <w:noProof/>
                <w:color w:val="006100"/>
                <w:sz w:val="18"/>
                <w:szCs w:val="18"/>
                <w:lang w:val="en-IE" w:eastAsia="en-GB"/>
              </w:rPr>
              <w:t xml:space="preserve"> </w:t>
            </w:r>
            <w:r w:rsidRPr="00213C99">
              <w:rPr>
                <w:rFonts w:eastAsia="Times New Roman"/>
                <w:noProof/>
                <w:color w:val="006100"/>
                <w:sz w:val="18"/>
                <w:szCs w:val="18"/>
                <w:lang w:val="en-IE" w:eastAsia="en-GB"/>
              </w:rPr>
              <w:t>services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5F"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Definition of interoperability standards in accordance with the European Interoperability Framework for eHealth and definition of rules governing telemedicine</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60"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Adoption of standards and rules by the Ministry of Health</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61" w14:textId="77777777">
            <w:pPr>
              <w:spacing w:line="240" w:lineRule="auto"/>
              <w:rPr>
                <w:rFonts w:eastAsia="Times New Roman"/>
                <w:noProof/>
                <w:color w:val="006100"/>
                <w:sz w:val="18"/>
                <w:szCs w:val="18"/>
                <w:lang w:val="en-IE"/>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62" w14:textId="77777777">
            <w:pPr>
              <w:spacing w:line="240" w:lineRule="auto"/>
              <w:rPr>
                <w:rFonts w:eastAsia="Times New Roman"/>
                <w:noProof/>
                <w:color w:val="006100"/>
                <w:sz w:val="18"/>
                <w:szCs w:val="18"/>
                <w:lang w:val="en-IE"/>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63" w14:textId="77777777">
            <w:pPr>
              <w:spacing w:line="240" w:lineRule="auto"/>
              <w:rPr>
                <w:rFonts w:eastAsia="Times New Roman"/>
                <w:noProof/>
                <w:color w:val="006100"/>
                <w:sz w:val="18"/>
                <w:szCs w:val="18"/>
                <w:lang w:val="en-IE"/>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64"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rPr>
              <w:t>Q1</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65"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rPr>
              <w:t>2022</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66" w14:textId="77777777">
            <w:pPr>
              <w:spacing w:before="0" w:line="240" w:lineRule="auto"/>
              <w:rPr>
                <w:rFonts w:eastAsia="Times New Roman"/>
                <w:noProof/>
                <w:color w:val="006100"/>
                <w:sz w:val="18"/>
                <w:szCs w:val="18"/>
                <w:lang w:val="en-IE"/>
              </w:rPr>
            </w:pPr>
            <w:r w:rsidRPr="00D627E5">
              <w:rPr>
                <w:rFonts w:eastAsia="Times New Roman"/>
                <w:noProof/>
                <w:color w:val="006100"/>
                <w:sz w:val="18"/>
                <w:szCs w:val="18"/>
                <w:lang w:val="en-IE" w:eastAsia="en-GB"/>
              </w:rPr>
              <w:t xml:space="preserve">The measure shall lay down the standards, rules and requirements governing interoperability by healthcare providers and shall serve as a basis for adaptation of the health systems. Rules governing telemedicine services shall be laid down to define the conditions of providing such services. </w:t>
            </w:r>
          </w:p>
        </w:tc>
      </w:tr>
      <w:tr w:rsidRPr="00FE48E2" w:rsidR="00E3458A" w:rsidTr="004A6335" w14:paraId="15457673" w14:textId="77777777">
        <w:trPr>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68"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4</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69"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Reform 2: eHealth services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6A"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P="00FF1320" w:rsidRDefault="00D87E44" w14:paraId="1545766B" w14:textId="77777777">
            <w:pPr>
              <w:spacing w:before="0" w:line="259"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Acceptance of projects delivering new telemedicine and eHealth services</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A82958" w:rsidR="00D87E44" w:rsidRDefault="00D87E44" w14:paraId="1545766C" w14:textId="77777777">
            <w:pPr>
              <w:spacing w:before="0" w:line="240" w:lineRule="auto"/>
              <w:rPr>
                <w:rFonts w:eastAsia="Times New Roman"/>
                <w:noProof/>
                <w:color w:val="006100"/>
                <w:sz w:val="18"/>
                <w:szCs w:val="18"/>
                <w:lang w:val="en-IE" w:eastAsia="en-GB"/>
              </w:rPr>
            </w:pP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6D"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 xml:space="preserve">Accepted telemedicine and eHealth projects </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6E"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0</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6F" w14:textId="77777777">
            <w:pPr>
              <w:spacing w:before="0" w:line="240" w:lineRule="auto"/>
              <w:rPr>
                <w:rFonts w:eastAsia="Times New Roman"/>
                <w:noProof/>
                <w:color w:val="006100"/>
                <w:sz w:val="18"/>
                <w:szCs w:val="18"/>
                <w:lang w:val="en-IE" w:eastAsia="en-GB"/>
              </w:rPr>
            </w:pPr>
            <w:r w:rsidRPr="4A45BCA2">
              <w:rPr>
                <w:rFonts w:eastAsia="Times New Roman"/>
                <w:noProof/>
                <w:color w:val="006100"/>
                <w:sz w:val="18"/>
                <w:szCs w:val="18"/>
                <w:lang w:val="en-IE" w:eastAsia="en-GB"/>
              </w:rPr>
              <w:t>5</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70"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71"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2025</w:t>
            </w:r>
          </w:p>
        </w:tc>
        <w:tc>
          <w:tcPr>
            <w:tcW w:w="3822"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P="00FF1320" w:rsidRDefault="00D87E44" w14:paraId="15457672" w14:textId="77777777">
            <w:pPr>
              <w:spacing w:before="0" w:line="259" w:lineRule="auto"/>
              <w:rPr>
                <w:rFonts w:eastAsia="Times New Roman"/>
                <w:noProof/>
                <w:color w:val="006100"/>
                <w:sz w:val="18"/>
                <w:szCs w:val="18"/>
                <w:lang w:val="en-IE" w:eastAsia="en-GB"/>
              </w:rPr>
            </w:pPr>
            <w:r w:rsidRPr="4A45BCA2">
              <w:rPr>
                <w:rFonts w:eastAsia="Times New Roman"/>
                <w:noProof/>
                <w:color w:val="006100"/>
                <w:sz w:val="18"/>
                <w:szCs w:val="18"/>
                <w:lang w:val="en-IE" w:eastAsia="en-GB"/>
              </w:rPr>
              <w:t xml:space="preserve">Acceptance of five projects for new </w:t>
            </w:r>
            <w:r w:rsidRPr="4A45BCA2">
              <w:rPr>
                <w:rFonts w:eastAsia="Times New Roman"/>
                <w:noProof/>
                <w:color w:val="006100"/>
                <w:sz w:val="18"/>
                <w:szCs w:val="18"/>
                <w:lang w:val="en-IE" w:eastAsia="en-GB"/>
              </w:rPr>
              <w:t>telemedicine and eHealth services by the contracting authority or authorities.</w:t>
            </w:r>
          </w:p>
        </w:tc>
      </w:tr>
      <w:tr w:rsidRPr="00FE48E2" w:rsidR="00E3458A" w:rsidTr="004A6335" w14:paraId="1545767F"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74"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lastRenderedPageBreak/>
              <w:t>6</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75"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Reform 2: eHealth services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76"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8C7FAF" w:rsidR="00D87E44" w:rsidRDefault="00D87E44" w14:paraId="15457677" w14:textId="77777777">
            <w:pPr>
              <w:spacing w:before="0" w:line="240" w:lineRule="auto"/>
              <w:rPr>
                <w:rFonts w:eastAsia="Times New Roman"/>
                <w:noProof/>
                <w:color w:val="006100"/>
                <w:sz w:val="18"/>
                <w:szCs w:val="18"/>
                <w:lang w:val="en-IE" w:eastAsia="en-GB"/>
              </w:rPr>
            </w:pPr>
            <w:r w:rsidRPr="00A82958">
              <w:rPr>
                <w:rFonts w:eastAsia="Times New Roman"/>
                <w:noProof/>
                <w:color w:val="006100"/>
                <w:sz w:val="18"/>
                <w:szCs w:val="18"/>
                <w:lang w:val="en-IE" w:eastAsia="en-GB"/>
              </w:rPr>
              <w:t>Connection of healthcare providers to the interoperability system</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78" w14:textId="77777777">
            <w:pPr>
              <w:spacing w:before="0" w:line="240" w:lineRule="auto"/>
              <w:rPr>
                <w:rFonts w:eastAsia="Times New Roman"/>
                <w:noProof/>
                <w:color w:val="006100"/>
                <w:sz w:val="18"/>
                <w:szCs w:val="18"/>
                <w:lang w:val="en-IE" w:eastAsia="en-GB"/>
              </w:rPr>
            </w:pP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8C7FAF" w:rsidR="00D87E44" w:rsidRDefault="00D87E44" w14:paraId="15457679"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8C7FAF" w:rsidR="00D87E44" w:rsidRDefault="00D87E44" w14:paraId="1545767A"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0</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8C7FAF" w:rsidR="00D87E44" w:rsidRDefault="00D87E44" w14:paraId="1545767B"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10</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7C"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8C7FAF" w:rsidR="00D87E44" w:rsidRDefault="00D87E44" w14:paraId="1545767D"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2025</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A82958" w:rsidR="00D87E44" w:rsidRDefault="00D87E44" w14:paraId="1545767E"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C</w:t>
            </w:r>
            <w:r w:rsidRPr="008C7FAF" w:rsidDel="003B5593">
              <w:rPr>
                <w:rFonts w:eastAsia="Times New Roman"/>
                <w:noProof/>
                <w:color w:val="006100"/>
                <w:sz w:val="18"/>
                <w:szCs w:val="18"/>
                <w:lang w:val="en-IE" w:eastAsia="en-GB"/>
              </w:rPr>
              <w:t>onnect</w:t>
            </w:r>
            <w:r w:rsidRPr="008C7FAF" w:rsidDel="00E66A34">
              <w:rPr>
                <w:rFonts w:eastAsia="Times New Roman"/>
                <w:noProof/>
                <w:color w:val="006100"/>
                <w:sz w:val="18"/>
                <w:szCs w:val="18"/>
                <w:lang w:val="en-IE" w:eastAsia="en-GB"/>
              </w:rPr>
              <w:t>i</w:t>
            </w:r>
            <w:r w:rsidRPr="00A82958">
              <w:rPr>
                <w:rFonts w:eastAsia="Times New Roman"/>
                <w:noProof/>
                <w:color w:val="006100"/>
                <w:sz w:val="18"/>
                <w:szCs w:val="18"/>
                <w:lang w:val="en-IE" w:eastAsia="en-GB"/>
              </w:rPr>
              <w:t>on of</w:t>
            </w:r>
            <w:r w:rsidRPr="00A82958" w:rsidDel="003B5593">
              <w:rPr>
                <w:rFonts w:eastAsia="Times New Roman"/>
                <w:noProof/>
                <w:color w:val="006100"/>
                <w:sz w:val="18"/>
                <w:szCs w:val="18"/>
                <w:lang w:val="en-IE" w:eastAsia="en-GB"/>
              </w:rPr>
              <w:t xml:space="preserve"> </w:t>
            </w:r>
            <w:r w:rsidRPr="00A82958">
              <w:rPr>
                <w:rFonts w:eastAsia="Times New Roman"/>
                <w:noProof/>
                <w:color w:val="006100"/>
                <w:sz w:val="18"/>
                <w:szCs w:val="18"/>
                <w:lang w:val="en-IE" w:eastAsia="en-GB"/>
              </w:rPr>
              <w:t>at least 10</w:t>
            </w:r>
            <w:r w:rsidRPr="00A82958" w:rsidDel="003B5593">
              <w:rPr>
                <w:rFonts w:eastAsia="Times New Roman"/>
                <w:noProof/>
                <w:color w:val="006100"/>
                <w:sz w:val="18"/>
                <w:szCs w:val="18"/>
                <w:lang w:val="en-IE" w:eastAsia="en-GB"/>
              </w:rPr>
              <w:t xml:space="preserve"> </w:t>
            </w:r>
            <w:r w:rsidRPr="00A82958">
              <w:rPr>
                <w:rFonts w:eastAsia="Times New Roman"/>
                <w:noProof/>
                <w:color w:val="006100"/>
                <w:sz w:val="18"/>
                <w:szCs w:val="18"/>
                <w:lang w:val="en-IE" w:eastAsia="en-GB"/>
              </w:rPr>
              <w:t>healthcare providers to an interoperable system according to interoperability rules for eHealth services.</w:t>
            </w:r>
          </w:p>
        </w:tc>
      </w:tr>
      <w:tr w:rsidRPr="00FE48E2" w:rsidR="00E3458A" w:rsidTr="004A6335" w14:paraId="1545768B"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0"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7</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1: Digital services for end users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2"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3"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Full operation of the Single Digital Gateway</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Entry into operation of the Single Digital Gateway providing the services to citizens and businesses </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85"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86" w14:textId="77777777">
            <w:pPr>
              <w:spacing w:before="0" w:line="240" w:lineRule="auto"/>
              <w:rPr>
                <w:rFonts w:eastAsia="Times New Roman"/>
                <w:noProof/>
                <w:color w:val="006100"/>
                <w:sz w:val="18"/>
                <w:szCs w:val="18"/>
                <w:lang w:val="en-IE" w:eastAsia="en-GB"/>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87"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8" w14:textId="77777777">
            <w:pPr>
              <w:spacing w:before="0" w:line="240" w:lineRule="auto"/>
              <w:rPr>
                <w:rFonts w:eastAsia="Times New Roman"/>
                <w:noProof/>
                <w:color w:val="006100"/>
                <w:sz w:val="18"/>
                <w:szCs w:val="18"/>
                <w:lang w:val="en-IE" w:eastAsia="en-GB"/>
              </w:rPr>
            </w:pPr>
            <w:r w:rsidRPr="4F789E36">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2023</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A"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A single platform for citizens and businesses enabling at least: submission of an initial application for admission to a public higher education institution; application for designation of applicable legislation in accordance with Title II of Regulation (EC) No 883/2004 on the coordination of social security systems; application for a pension from compulsory schemes; application for funding for higher education, for example in the form of a scholarship and loan from a public authority or institution.</w:t>
            </w:r>
          </w:p>
        </w:tc>
      </w:tr>
      <w:tr w:rsidRPr="00FE48E2" w:rsidR="00E3458A" w:rsidTr="004A6335" w14:paraId="15457697"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C"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8</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D"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1: Digital services for end users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8F" w14:textId="77777777">
            <w:pPr>
              <w:spacing w:before="0" w:line="240" w:lineRule="auto"/>
              <w:rPr>
                <w:rFonts w:eastAsia="Times New Roman"/>
                <w:noProof/>
                <w:color w:val="006100"/>
                <w:sz w:val="18"/>
                <w:szCs w:val="18"/>
                <w:lang w:val="en-IE" w:eastAsia="en-GB"/>
              </w:rPr>
            </w:pPr>
            <w:r w:rsidRPr="4DDDAE84">
              <w:rPr>
                <w:rFonts w:eastAsia="Times New Roman"/>
                <w:noProof/>
                <w:color w:val="006100"/>
                <w:sz w:val="18"/>
                <w:szCs w:val="18"/>
                <w:lang w:val="en-IE" w:eastAsia="en-GB"/>
              </w:rPr>
              <w:t xml:space="preserve">Completion of </w:t>
            </w:r>
            <w:r w:rsidRPr="6B004FF2">
              <w:rPr>
                <w:rFonts w:eastAsia="Times New Roman"/>
                <w:noProof/>
                <w:color w:val="006100"/>
                <w:sz w:val="18"/>
                <w:szCs w:val="18"/>
                <w:lang w:val="en-IE" w:eastAsia="en-GB"/>
              </w:rPr>
              <w:t>new</w:t>
            </w:r>
            <w:r w:rsidRPr="4DDDAE84">
              <w:rPr>
                <w:rFonts w:eastAsia="Times New Roman"/>
                <w:noProof/>
                <w:color w:val="006100"/>
                <w:sz w:val="18"/>
                <w:szCs w:val="18"/>
                <w:lang w:val="en-IE" w:eastAsia="en-GB"/>
              </w:rPr>
              <w:t xml:space="preserve"> </w:t>
            </w:r>
            <w:r w:rsidRPr="594DF625">
              <w:rPr>
                <w:rFonts w:eastAsia="Times New Roman"/>
                <w:noProof/>
                <w:color w:val="006100"/>
                <w:sz w:val="18"/>
                <w:szCs w:val="18"/>
                <w:lang w:val="en-IE" w:eastAsia="en-GB"/>
              </w:rPr>
              <w:t xml:space="preserve">information </w:t>
            </w:r>
            <w:r w:rsidRPr="4DDDAE84">
              <w:rPr>
                <w:rFonts w:eastAsia="Times New Roman"/>
                <w:noProof/>
                <w:color w:val="006100"/>
                <w:sz w:val="18"/>
                <w:szCs w:val="18"/>
                <w:lang w:val="en-IE" w:eastAsia="en-GB"/>
              </w:rPr>
              <w:t>systems</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0"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Successful </w:t>
            </w:r>
            <w:r w:rsidRPr="49EED92B">
              <w:rPr>
                <w:rFonts w:eastAsia="Times New Roman"/>
                <w:noProof/>
                <w:color w:val="006100"/>
                <w:sz w:val="18"/>
                <w:szCs w:val="18"/>
                <w:lang w:val="en-IE" w:eastAsia="en-GB"/>
              </w:rPr>
              <w:t xml:space="preserve">upgrade </w:t>
            </w:r>
            <w:r w:rsidRPr="00D627E5">
              <w:rPr>
                <w:rFonts w:eastAsia="Times New Roman"/>
                <w:noProof/>
                <w:color w:val="006100"/>
                <w:sz w:val="18"/>
                <w:szCs w:val="18"/>
                <w:lang w:val="en-IE" w:eastAsia="en-GB"/>
              </w:rPr>
              <w:t>of existing systems and development of new systems</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1"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2" w14:textId="77777777">
            <w:pPr>
              <w:spacing w:before="0" w:line="240" w:lineRule="auto"/>
              <w:rPr>
                <w:rFonts w:eastAsia="Times New Roman"/>
                <w:noProof/>
                <w:color w:val="006100"/>
                <w:sz w:val="18"/>
                <w:szCs w:val="18"/>
                <w:lang w:val="en-IE" w:eastAsia="en-GB"/>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3"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5"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2023</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6" w14:textId="77777777">
            <w:pPr>
              <w:spacing w:before="0" w:line="240" w:lineRule="auto"/>
              <w:rPr>
                <w:rFonts w:eastAsia="Times New Roman"/>
                <w:noProof/>
                <w:color w:val="006100"/>
                <w:sz w:val="18"/>
                <w:szCs w:val="18"/>
                <w:lang w:val="en-IE" w:eastAsia="en-GB"/>
              </w:rPr>
            </w:pPr>
            <w:r w:rsidRPr="19C04FBB">
              <w:rPr>
                <w:rFonts w:eastAsia="Times New Roman"/>
                <w:noProof/>
                <w:color w:val="006100"/>
                <w:sz w:val="18"/>
                <w:szCs w:val="18"/>
                <w:lang w:val="en-IE" w:eastAsia="en-GB"/>
              </w:rPr>
              <w:t xml:space="preserve">Completion of new information systems </w:t>
            </w:r>
            <w:r w:rsidRPr="30789B0A">
              <w:rPr>
                <w:rFonts w:eastAsia="Times New Roman"/>
                <w:noProof/>
                <w:color w:val="006100"/>
                <w:sz w:val="18"/>
                <w:szCs w:val="18"/>
                <w:lang w:val="en-IE" w:eastAsia="en-GB"/>
              </w:rPr>
              <w:t>for the following projects</w:t>
            </w:r>
            <w:r w:rsidRPr="00D627E5">
              <w:rPr>
                <w:rFonts w:eastAsia="Times New Roman"/>
                <w:noProof/>
                <w:color w:val="006100"/>
                <w:sz w:val="18"/>
                <w:szCs w:val="18"/>
                <w:lang w:val="en-IE" w:eastAsia="en-GB"/>
              </w:rPr>
              <w:t>: DIP – Information Obligations Database, List of forensic experts and interpreters, Client zone, Creation of registration authority at the Ministry of Interior.</w:t>
            </w:r>
          </w:p>
        </w:tc>
      </w:tr>
      <w:tr w:rsidRPr="00FE48E2" w:rsidR="00E3458A" w:rsidTr="004A6335" w14:paraId="154576A3"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8"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9</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1: Digital services for end users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A"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B" w14:textId="77777777">
            <w:pPr>
              <w:spacing w:before="0" w:line="240" w:lineRule="auto"/>
              <w:rPr>
                <w:rFonts w:eastAsia="Times New Roman"/>
                <w:noProof/>
                <w:color w:val="006100"/>
                <w:sz w:val="18"/>
                <w:szCs w:val="18"/>
                <w:lang w:val="en-IE" w:eastAsia="en-GB"/>
              </w:rPr>
            </w:pPr>
            <w:r w:rsidRPr="00960C10">
              <w:rPr>
                <w:rFonts w:eastAsia="Times New Roman"/>
                <w:noProof/>
                <w:color w:val="006100"/>
                <w:sz w:val="18"/>
                <w:szCs w:val="18"/>
                <w:lang w:val="en-IE" w:eastAsia="en-GB"/>
              </w:rPr>
              <w:t xml:space="preserve">Entry into </w:t>
            </w:r>
            <w:r w:rsidRPr="00A97067">
              <w:rPr>
                <w:rFonts w:eastAsia="Times New Roman"/>
                <w:noProof/>
                <w:color w:val="006100"/>
                <w:sz w:val="18"/>
                <w:szCs w:val="18"/>
                <w:lang w:val="en-IE" w:eastAsia="en-GB"/>
              </w:rPr>
              <w:t xml:space="preserve">operation </w:t>
            </w:r>
            <w:r w:rsidRPr="00062C72">
              <w:rPr>
                <w:rFonts w:eastAsia="Times New Roman"/>
                <w:noProof/>
                <w:color w:val="006100"/>
                <w:sz w:val="18"/>
                <w:szCs w:val="18"/>
                <w:lang w:val="en-IE" w:eastAsia="en-GB"/>
              </w:rPr>
              <w:t>of 4 information sy</w:t>
            </w:r>
            <w:r w:rsidRPr="00A97067">
              <w:rPr>
                <w:rFonts w:eastAsia="Times New Roman"/>
                <w:noProof/>
                <w:color w:val="006100"/>
                <w:sz w:val="18"/>
                <w:szCs w:val="18"/>
                <w:lang w:val="en-IE" w:eastAsia="en-GB"/>
              </w:rPr>
              <w:t>stems</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9C"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Entry into operation of the four developed information systems providing services to </w:t>
            </w:r>
            <w:r w:rsidRPr="0010754C">
              <w:rPr>
                <w:rFonts w:eastAsia="Times New Roman"/>
                <w:noProof/>
                <w:color w:val="006100"/>
                <w:sz w:val="18"/>
                <w:szCs w:val="18"/>
                <w:lang w:val="en-IE" w:eastAsia="en-GB"/>
              </w:rPr>
              <w:t>end users</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D"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E" w14:textId="77777777">
            <w:pPr>
              <w:spacing w:before="0" w:line="240" w:lineRule="auto"/>
              <w:rPr>
                <w:rFonts w:eastAsia="Times New Roman"/>
                <w:noProof/>
                <w:color w:val="006100"/>
                <w:sz w:val="18"/>
                <w:szCs w:val="18"/>
                <w:lang w:val="en-IE" w:eastAsia="en-GB"/>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9F"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0"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2024</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2" w14:textId="77777777">
            <w:pPr>
              <w:spacing w:before="0" w:line="259" w:lineRule="auto"/>
              <w:rPr>
                <w:rFonts w:eastAsia="Times New Roman"/>
                <w:noProof/>
                <w:color w:val="006100"/>
                <w:sz w:val="18"/>
                <w:szCs w:val="18"/>
                <w:lang w:val="en-IE" w:eastAsia="en-GB"/>
              </w:rPr>
            </w:pPr>
            <w:r w:rsidRPr="64F069CB">
              <w:rPr>
                <w:rFonts w:eastAsia="Times New Roman"/>
                <w:noProof/>
                <w:color w:val="006100"/>
                <w:sz w:val="18"/>
                <w:szCs w:val="18"/>
                <w:lang w:val="en-IE" w:eastAsia="en-GB"/>
              </w:rPr>
              <w:t xml:space="preserve">At least the following projects shall be completed: Digital Registry development; Single Control Record Portal (JePEK); SIS_2 Tools for the Central Processing of Statistical </w:t>
            </w:r>
            <w:r w:rsidRPr="00633CA2">
              <w:rPr>
                <w:rFonts w:eastAsia="Times New Roman"/>
                <w:noProof/>
                <w:color w:val="006100"/>
                <w:sz w:val="18"/>
                <w:szCs w:val="18"/>
                <w:lang w:val="en-IE" w:eastAsia="en-GB"/>
              </w:rPr>
              <w:t xml:space="preserve">Task; </w:t>
            </w:r>
            <w:r w:rsidRPr="00960C10">
              <w:rPr>
                <w:rFonts w:eastAsia="Times New Roman"/>
                <w:noProof/>
                <w:color w:val="006100"/>
                <w:sz w:val="18"/>
                <w:szCs w:val="18"/>
                <w:lang w:val="en-IE" w:eastAsia="en-GB"/>
              </w:rPr>
              <w:t>the public part (phase 1) of the</w:t>
            </w:r>
            <w:r w:rsidRPr="00633CA2">
              <w:rPr>
                <w:rFonts w:eastAsia="Times New Roman"/>
                <w:noProof/>
                <w:color w:val="006100"/>
                <w:sz w:val="18"/>
                <w:szCs w:val="18"/>
                <w:lang w:val="en-IE" w:eastAsia="en-GB"/>
              </w:rPr>
              <w:t xml:space="preserve"> NUKIB P</w:t>
            </w:r>
            <w:r w:rsidRPr="64F069CB">
              <w:rPr>
                <w:rFonts w:eastAsia="Times New Roman"/>
                <w:noProof/>
                <w:color w:val="006100"/>
                <w:sz w:val="18"/>
                <w:szCs w:val="18"/>
                <w:lang w:val="en-IE" w:eastAsia="en-GB"/>
              </w:rPr>
              <w:t>ortal.</w:t>
            </w:r>
          </w:p>
        </w:tc>
      </w:tr>
      <w:tr w:rsidRPr="00FE48E2" w:rsidR="00E3458A" w:rsidTr="004A6335" w14:paraId="154576B0"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10</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5"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1: Digital services for end users</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6"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7" w14:textId="77777777">
            <w:pPr>
              <w:spacing w:before="0" w:line="240" w:lineRule="auto"/>
              <w:rPr>
                <w:rFonts w:eastAsia="Times New Roman"/>
                <w:noProof/>
                <w:color w:val="006100"/>
                <w:sz w:val="18"/>
                <w:szCs w:val="18"/>
                <w:lang w:val="en-IE" w:eastAsia="en-GB"/>
              </w:rPr>
            </w:pPr>
            <w:r>
              <w:rPr>
                <w:rFonts w:eastAsia="Times New Roman"/>
                <w:noProof/>
                <w:color w:val="006100"/>
                <w:sz w:val="18"/>
                <w:szCs w:val="18"/>
                <w:lang w:val="en-IE" w:eastAsia="en-GB"/>
              </w:rPr>
              <w:t>Accepted d</w:t>
            </w:r>
            <w:r w:rsidRPr="44D41F6E">
              <w:rPr>
                <w:rFonts w:eastAsia="Times New Roman"/>
                <w:noProof/>
                <w:color w:val="006100"/>
                <w:sz w:val="18"/>
                <w:szCs w:val="18"/>
                <w:lang w:val="en-IE" w:eastAsia="en-GB"/>
              </w:rPr>
              <w:t>igitalisation projects</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8"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Number</w:t>
            </w:r>
            <w:r>
              <w:rPr>
                <w:rFonts w:eastAsia="Times New Roman"/>
                <w:noProof/>
                <w:color w:val="006100"/>
                <w:sz w:val="18"/>
                <w:szCs w:val="18"/>
                <w:lang w:val="en-IE" w:eastAsia="en-GB"/>
              </w:rPr>
              <w:t xml:space="preserve"> of projects</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A" w14:textId="77777777">
            <w:pPr>
              <w:spacing w:before="0" w:line="240" w:lineRule="auto"/>
              <w:rPr>
                <w:rFonts w:eastAsia="Times New Roman"/>
                <w:noProof/>
                <w:color w:val="006100"/>
                <w:sz w:val="18"/>
                <w:szCs w:val="18"/>
                <w:lang w:val="en-IE" w:eastAsia="en-GB"/>
              </w:rPr>
            </w:pPr>
            <w:r w:rsidRPr="78232BEA">
              <w:rPr>
                <w:rFonts w:eastAsia="Times New Roman"/>
                <w:noProof/>
                <w:color w:val="006100"/>
                <w:sz w:val="18"/>
                <w:szCs w:val="18"/>
                <w:lang w:val="en-IE" w:eastAsia="en-GB"/>
              </w:rPr>
              <w:t>0</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P="008759AB" w:rsidRDefault="00D87E44" w14:paraId="154576AB" w14:textId="77777777">
            <w:pPr>
              <w:spacing w:before="0" w:line="240" w:lineRule="auto"/>
              <w:rPr>
                <w:rFonts w:eastAsia="Times New Roman"/>
                <w:noProof/>
                <w:color w:val="006100"/>
                <w:sz w:val="18"/>
                <w:szCs w:val="18"/>
                <w:lang w:val="en-IE" w:eastAsia="en-GB"/>
              </w:rPr>
            </w:pPr>
            <w:r>
              <w:rPr>
                <w:rFonts w:eastAsia="Times New Roman"/>
                <w:noProof/>
                <w:color w:val="006100"/>
                <w:sz w:val="18"/>
                <w:szCs w:val="18"/>
                <w:lang w:val="en-IE" w:eastAsia="en-GB"/>
              </w:rPr>
              <w:t>10</w:t>
            </w:r>
          </w:p>
          <w:p w:rsidRPr="00D627E5" w:rsidR="00D87E44" w:rsidP="00C0368C" w:rsidRDefault="00D87E44" w14:paraId="154576AC"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D"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w:t>
            </w:r>
            <w:r>
              <w:rPr>
                <w:rFonts w:eastAsia="Times New Roman"/>
                <w:noProof/>
                <w:color w:val="006100"/>
                <w:sz w:val="18"/>
                <w:szCs w:val="18"/>
                <w:lang w:val="en-IE" w:eastAsia="en-GB"/>
              </w:rPr>
              <w:t>4</w:t>
            </w:r>
            <w:r w:rsidRPr="00D627E5">
              <w:rPr>
                <w:rFonts w:eastAsia="Times New Roman"/>
                <w:noProof/>
                <w:color w:val="006100"/>
                <w:sz w:val="18"/>
                <w:szCs w:val="18"/>
                <w:lang w:val="en-IE" w:eastAsia="en-GB"/>
              </w:rPr>
              <w:t> </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w:t>
            </w:r>
            <w:r>
              <w:rPr>
                <w:rFonts w:eastAsia="Times New Roman"/>
                <w:noProof/>
                <w:color w:val="006100"/>
                <w:sz w:val="18"/>
                <w:szCs w:val="18"/>
                <w:lang w:val="en-IE" w:eastAsia="en-GB"/>
              </w:rPr>
              <w:t>5</w:t>
            </w:r>
            <w:r w:rsidRPr="00D627E5">
              <w:rPr>
                <w:rFonts w:eastAsia="Times New Roman"/>
                <w:noProof/>
                <w:color w:val="006100"/>
                <w:sz w:val="18"/>
                <w:szCs w:val="18"/>
                <w:lang w:val="en-IE" w:eastAsia="en-GB"/>
              </w:rPr>
              <w:t> </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AF" w14:textId="77777777">
            <w:pPr>
              <w:spacing w:before="0" w:line="240" w:lineRule="auto"/>
              <w:rPr>
                <w:rFonts w:eastAsia="Times New Roman"/>
                <w:noProof/>
                <w:color w:val="006100"/>
                <w:sz w:val="18"/>
                <w:szCs w:val="18"/>
                <w:lang w:val="en-IE" w:eastAsia="en-GB"/>
              </w:rPr>
            </w:pPr>
            <w:r w:rsidRPr="008C7FAF">
              <w:rPr>
                <w:rFonts w:eastAsia="Times New Roman"/>
                <w:noProof/>
                <w:color w:val="006100"/>
                <w:sz w:val="18"/>
                <w:szCs w:val="18"/>
                <w:lang w:val="en-IE" w:eastAsia="en-GB"/>
              </w:rPr>
              <w:t>At least 10 projects</w:t>
            </w:r>
            <w:r w:rsidRPr="00CA245F">
              <w:rPr>
                <w:rFonts w:eastAsia="Times New Roman"/>
                <w:noProof/>
                <w:sz w:val="18"/>
                <w:szCs w:val="18"/>
                <w:lang w:val="en-IE"/>
              </w:rPr>
              <w:t xml:space="preserve"> </w:t>
            </w:r>
            <w:r w:rsidRPr="008C7FAF">
              <w:rPr>
                <w:rFonts w:eastAsia="Times New Roman"/>
                <w:noProof/>
                <w:color w:val="006100"/>
                <w:sz w:val="18"/>
                <w:szCs w:val="18"/>
                <w:lang w:val="en-IE" w:eastAsia="en-GB"/>
              </w:rPr>
              <w:t>accepted by the contracting authority or authorities</w:t>
            </w:r>
            <w:r>
              <w:rPr>
                <w:rFonts w:eastAsia="Times New Roman"/>
                <w:noProof/>
                <w:color w:val="006100"/>
                <w:sz w:val="18"/>
                <w:szCs w:val="18"/>
                <w:lang w:val="en-IE" w:eastAsia="en-GB"/>
              </w:rPr>
              <w:t xml:space="preserve"> </w:t>
            </w:r>
            <w:r w:rsidRPr="008C7FAF">
              <w:rPr>
                <w:rFonts w:eastAsia="Times New Roman"/>
                <w:noProof/>
                <w:color w:val="006100"/>
                <w:sz w:val="18"/>
                <w:szCs w:val="18"/>
                <w:lang w:val="en-IE" w:eastAsia="en-GB"/>
              </w:rPr>
              <w:t xml:space="preserve">shall </w:t>
            </w:r>
            <w:r>
              <w:rPr>
                <w:rFonts w:eastAsia="Times New Roman"/>
                <w:noProof/>
                <w:color w:val="006100"/>
                <w:sz w:val="18"/>
                <w:szCs w:val="18"/>
                <w:lang w:val="en-IE" w:eastAsia="en-GB"/>
              </w:rPr>
              <w:t>aim to simplify access for citizens and businesses to digital public services and to the connection of information systems.</w:t>
            </w:r>
          </w:p>
        </w:tc>
      </w:tr>
      <w:tr w:rsidRPr="00FE48E2" w:rsidR="00E3458A" w:rsidTr="004A6335" w14:paraId="154576BC"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11</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2"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Investment 2: Development of </w:t>
            </w:r>
            <w:r w:rsidRPr="00D627E5">
              <w:rPr>
                <w:rFonts w:eastAsia="Times New Roman"/>
                <w:noProof/>
                <w:color w:val="006100"/>
                <w:sz w:val="18"/>
                <w:szCs w:val="18"/>
                <w:lang w:val="en-IE" w:eastAsia="en-GB"/>
              </w:rPr>
              <w:lastRenderedPageBreak/>
              <w:t xml:space="preserve">open data </w:t>
            </w:r>
            <w:r w:rsidRPr="0010754C">
              <w:rPr>
                <w:rFonts w:eastAsia="Times New Roman"/>
                <w:noProof/>
                <w:color w:val="006100"/>
                <w:sz w:val="18"/>
                <w:szCs w:val="18"/>
                <w:lang w:val="en-IE" w:eastAsia="en-GB"/>
              </w:rPr>
              <w:t>and a public data fund</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3"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lastRenderedPageBreak/>
              <w:t> 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062C72" w:rsidR="00D87E44" w:rsidRDefault="00D87E44" w14:paraId="154576B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Extension of National Open Data Catalogue </w:t>
            </w:r>
            <w:r w:rsidRPr="00D627E5">
              <w:rPr>
                <w:rFonts w:eastAsia="Times New Roman"/>
                <w:noProof/>
                <w:color w:val="006100"/>
                <w:sz w:val="18"/>
                <w:szCs w:val="18"/>
                <w:lang w:val="en-IE" w:eastAsia="en-GB"/>
              </w:rPr>
              <w:lastRenderedPageBreak/>
              <w:t xml:space="preserve">with advanced functionalities </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633CA2" w:rsidR="00D87E44" w:rsidRDefault="00D87E44" w14:paraId="154576B5" w14:textId="77777777">
            <w:pPr>
              <w:spacing w:before="0" w:line="240" w:lineRule="auto"/>
              <w:rPr>
                <w:rFonts w:eastAsia="Times New Roman"/>
                <w:noProof/>
                <w:color w:val="006100"/>
                <w:sz w:val="18"/>
                <w:szCs w:val="18"/>
                <w:lang w:val="en-IE" w:eastAsia="en-GB"/>
              </w:rPr>
            </w:pPr>
            <w:r w:rsidRPr="00111744">
              <w:rPr>
                <w:rFonts w:eastAsia="Times New Roman"/>
                <w:noProof/>
                <w:color w:val="006100"/>
                <w:sz w:val="18"/>
                <w:szCs w:val="18"/>
                <w:lang w:val="en-IE" w:eastAsia="en-GB"/>
              </w:rPr>
              <w:lastRenderedPageBreak/>
              <w:t>Extended</w:t>
            </w:r>
            <w:r w:rsidRPr="00062C72">
              <w:rPr>
                <w:rFonts w:eastAsia="Times New Roman"/>
                <w:noProof/>
                <w:color w:val="006100"/>
                <w:sz w:val="18"/>
                <w:szCs w:val="18"/>
                <w:lang w:val="en-IE" w:eastAsia="en-GB"/>
              </w:rPr>
              <w:t xml:space="preserve"> </w:t>
            </w:r>
            <w:r w:rsidRPr="00633CA2">
              <w:rPr>
                <w:rFonts w:eastAsia="Times New Roman"/>
                <w:noProof/>
                <w:color w:val="006100"/>
                <w:sz w:val="18"/>
                <w:szCs w:val="18"/>
                <w:lang w:val="en-IE" w:eastAsia="en-GB"/>
              </w:rPr>
              <w:t xml:space="preserve">National Open </w:t>
            </w:r>
            <w:r w:rsidRPr="00633CA2">
              <w:rPr>
                <w:rFonts w:eastAsia="Times New Roman"/>
                <w:noProof/>
                <w:color w:val="006100"/>
                <w:sz w:val="18"/>
                <w:szCs w:val="18"/>
                <w:lang w:val="en-IE" w:eastAsia="en-GB"/>
              </w:rPr>
              <w:lastRenderedPageBreak/>
              <w:t xml:space="preserve">Data Catalogue with advanced functionalities and services </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6"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lastRenderedPageBreak/>
              <w:t> </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7"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8"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A"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2024 </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B" w14:textId="77777777">
            <w:pPr>
              <w:spacing w:before="0" w:line="259"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The National catalogue of open data shall register and publish open and public data and information </w:t>
            </w:r>
            <w:r w:rsidRPr="00D627E5">
              <w:rPr>
                <w:rFonts w:eastAsia="Times New Roman"/>
                <w:noProof/>
                <w:color w:val="006100"/>
                <w:sz w:val="18"/>
                <w:szCs w:val="18"/>
                <w:lang w:val="en-IE" w:eastAsia="en-GB"/>
              </w:rPr>
              <w:lastRenderedPageBreak/>
              <w:t>from the whole public administration in one place. It shall have advanced functionalities for searching and services</w:t>
            </w:r>
            <w:r w:rsidRPr="6575CD71">
              <w:rPr>
                <w:rFonts w:eastAsia="Times New Roman"/>
                <w:noProof/>
                <w:color w:val="006100"/>
                <w:sz w:val="18"/>
                <w:szCs w:val="18"/>
                <w:lang w:val="en-IE" w:eastAsia="en-GB"/>
              </w:rPr>
              <w:t>,</w:t>
            </w:r>
            <w:r w:rsidRPr="00D627E5">
              <w:rPr>
                <w:rFonts w:eastAsia="Times New Roman"/>
                <w:noProof/>
                <w:color w:val="006100"/>
                <w:sz w:val="18"/>
                <w:szCs w:val="18"/>
                <w:lang w:val="en-IE" w:eastAsia="en-GB"/>
              </w:rPr>
              <w:t xml:space="preserve"> including the publication of code lists in a public data fund.</w:t>
            </w:r>
          </w:p>
        </w:tc>
      </w:tr>
      <w:tr w:rsidRPr="00FE48E2" w:rsidR="00E3458A" w:rsidTr="004A6335" w14:paraId="154576C8"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D"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lastRenderedPageBreak/>
              <w:t> 12</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Investment 2: Development of open data and </w:t>
            </w:r>
            <w:r w:rsidRPr="0010754C">
              <w:rPr>
                <w:rFonts w:eastAsia="Times New Roman"/>
                <w:noProof/>
                <w:color w:val="006100"/>
                <w:sz w:val="18"/>
                <w:szCs w:val="18"/>
                <w:lang w:val="en-IE" w:eastAsia="en-GB"/>
              </w:rPr>
              <w:t>a public data fund</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BF"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0"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Increase in the number of open data producers in the public administration publishing open data in the </w:t>
            </w:r>
            <w:r w:rsidRPr="00D627E5">
              <w:rPr>
                <w:rFonts w:eastAsia="Times New Roman"/>
                <w:noProof/>
                <w:color w:val="006100"/>
                <w:sz w:val="18"/>
                <w:szCs w:val="18"/>
                <w:lang w:val="en-IE" w:eastAsia="en-GB"/>
              </w:rPr>
              <w:t>National Open Data Catalogue</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2"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Number of new public entities</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3"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23 </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100</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5"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6"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2022</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C7"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The target shall lead to an increase of 77 new entities publishing open data in the public administration.</w:t>
            </w:r>
          </w:p>
        </w:tc>
      </w:tr>
      <w:tr w:rsidRPr="00FE48E2" w:rsidR="00E3458A" w:rsidTr="004A6335" w14:paraId="154576D4"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6C9" w14:textId="77777777">
            <w:pPr>
              <w:spacing w:before="0" w:line="240" w:lineRule="auto"/>
              <w:rPr>
                <w:rFonts w:eastAsia="Times New Roman"/>
                <w:noProof/>
                <w:color w:val="006100"/>
                <w:sz w:val="18"/>
                <w:szCs w:val="18"/>
                <w:lang w:val="en-IE" w:eastAsia="en-GB"/>
              </w:rPr>
            </w:pPr>
            <w:r w:rsidRPr="0EC00C30">
              <w:rPr>
                <w:rFonts w:eastAsia="Times New Roman"/>
                <w:noProof/>
                <w:color w:val="006100"/>
                <w:sz w:val="18"/>
                <w:szCs w:val="18"/>
                <w:lang w:val="en-IE" w:eastAsia="en-GB"/>
              </w:rPr>
              <w:t>245</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6CA"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Investment 2: Development of open data and </w:t>
            </w:r>
            <w:r w:rsidRPr="0010754C">
              <w:rPr>
                <w:rFonts w:eastAsia="Times New Roman"/>
                <w:noProof/>
                <w:color w:val="006100"/>
                <w:sz w:val="18"/>
                <w:szCs w:val="18"/>
                <w:lang w:val="en-IE" w:eastAsia="en-GB"/>
              </w:rPr>
              <w:t>a public data fund</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CB"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CC"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Increase in the number of </w:t>
            </w:r>
            <w:r w:rsidRPr="4295E5A6">
              <w:rPr>
                <w:rFonts w:eastAsia="Times New Roman"/>
                <w:noProof/>
                <w:color w:val="006100"/>
                <w:sz w:val="18"/>
                <w:szCs w:val="18"/>
                <w:lang w:val="en-IE" w:eastAsia="en-GB"/>
              </w:rPr>
              <w:t xml:space="preserve">new or improved </w:t>
            </w:r>
            <w:r w:rsidRPr="00D627E5">
              <w:rPr>
                <w:rFonts w:eastAsia="Times New Roman"/>
                <w:noProof/>
                <w:color w:val="006100"/>
                <w:sz w:val="18"/>
                <w:szCs w:val="18"/>
                <w:lang w:val="en-IE" w:eastAsia="en-GB"/>
              </w:rPr>
              <w:t xml:space="preserve">open data sets published in the National Open Data Catalogue </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CD" w14:textId="77777777">
            <w:pPr>
              <w:spacing w:before="0" w:line="240" w:lineRule="auto"/>
              <w:rPr>
                <w:rFonts w:eastAsia="Times New Roman"/>
                <w:noProof/>
                <w:color w:val="006100"/>
                <w:sz w:val="18"/>
                <w:szCs w:val="18"/>
                <w:lang w:val="en-IE" w:eastAsia="en-GB"/>
              </w:rPr>
            </w:pP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C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Number of data sets</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CF"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0</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0"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125</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2"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2024</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3" w14:textId="77777777">
            <w:pPr>
              <w:spacing w:before="0" w:line="240" w:lineRule="auto"/>
              <w:rPr>
                <w:rFonts w:eastAsia="Times New Roman"/>
                <w:noProof/>
                <w:color w:val="006100"/>
                <w:sz w:val="18"/>
                <w:szCs w:val="18"/>
                <w:lang w:val="en-IE" w:eastAsia="en-GB"/>
              </w:rPr>
            </w:pPr>
            <w:bookmarkStart w:name="_Hlk136249708" w:id="3"/>
            <w:r w:rsidRPr="67FAC61F">
              <w:rPr>
                <w:rFonts w:eastAsia="Times New Roman"/>
                <w:noProof/>
                <w:color w:val="006100"/>
                <w:sz w:val="18"/>
                <w:szCs w:val="18"/>
                <w:lang w:val="en-IE" w:eastAsia="en-GB"/>
              </w:rPr>
              <w:t>125 new or improved open data sets (</w:t>
            </w:r>
            <w:r>
              <w:rPr>
                <w:rFonts w:eastAsia="Times New Roman"/>
                <w:noProof/>
                <w:color w:val="006100"/>
                <w:sz w:val="18"/>
                <w:szCs w:val="18"/>
                <w:lang w:val="en-IE" w:eastAsia="en-GB"/>
              </w:rPr>
              <w:t xml:space="preserve">for </w:t>
            </w:r>
            <w:r>
              <w:rPr>
                <w:rFonts w:eastAsia="Times New Roman"/>
                <w:noProof/>
                <w:color w:val="006100"/>
                <w:sz w:val="18"/>
                <w:szCs w:val="18"/>
                <w:lang w:val="en-IE" w:eastAsia="en-GB"/>
              </w:rPr>
              <w:t>example</w:t>
            </w:r>
            <w:r w:rsidRPr="67FAC61F">
              <w:rPr>
                <w:rFonts w:eastAsia="Times New Roman"/>
                <w:noProof/>
                <w:color w:val="006100"/>
                <w:sz w:val="18"/>
                <w:szCs w:val="18"/>
                <w:lang w:val="en-IE" w:eastAsia="en-GB"/>
              </w:rPr>
              <w:t xml:space="preserve"> code lists, data binding</w:t>
            </w:r>
            <w:r>
              <w:rPr>
                <w:rFonts w:eastAsia="Times New Roman"/>
                <w:noProof/>
                <w:color w:val="006100"/>
                <w:sz w:val="18"/>
                <w:szCs w:val="18"/>
                <w:lang w:val="en-IE" w:eastAsia="en-GB"/>
              </w:rPr>
              <w:t xml:space="preserve"> or</w:t>
            </w:r>
            <w:r w:rsidRPr="67FAC61F">
              <w:rPr>
                <w:rFonts w:eastAsia="Times New Roman"/>
                <w:noProof/>
                <w:color w:val="006100"/>
                <w:sz w:val="18"/>
                <w:szCs w:val="18"/>
                <w:lang w:val="en-IE" w:eastAsia="en-GB"/>
              </w:rPr>
              <w:t xml:space="preserve"> statistical data) published in the National Open Data Catalogue.</w:t>
            </w:r>
            <w:bookmarkEnd w:id="3"/>
          </w:p>
        </w:tc>
      </w:tr>
      <w:tr w:rsidRPr="00FE48E2" w:rsidR="00E3458A" w:rsidTr="004A6335" w14:paraId="154576E0"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5"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13</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6"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3: Digital service</w:t>
            </w:r>
            <w:r w:rsidRPr="0010754C">
              <w:rPr>
                <w:rFonts w:eastAsia="Times New Roman"/>
                <w:noProof/>
                <w:color w:val="006100"/>
                <w:sz w:val="18"/>
                <w:szCs w:val="18"/>
                <w:lang w:val="en-IE" w:eastAsia="en-GB"/>
              </w:rPr>
              <w:t>s</w:t>
            </w:r>
            <w:r w:rsidRPr="00D627E5">
              <w:rPr>
                <w:rFonts w:eastAsia="Times New Roman"/>
                <w:noProof/>
                <w:color w:val="006100"/>
                <w:sz w:val="18"/>
                <w:szCs w:val="18"/>
                <w:lang w:val="en-IE" w:eastAsia="en-GB"/>
              </w:rPr>
              <w:t xml:space="preserve"> for justice</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7"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8"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Deployment of a new technology platform of the Justice Portal, which shall make digital </w:t>
            </w:r>
            <w:r w:rsidRPr="00D627E5">
              <w:rPr>
                <w:rFonts w:eastAsia="Times New Roman"/>
                <w:noProof/>
                <w:color w:val="006100"/>
                <w:sz w:val="18"/>
                <w:szCs w:val="18"/>
                <w:lang w:val="en-IE" w:eastAsia="en-GB"/>
              </w:rPr>
              <w:t>services available to citizens and shall be connected to the central Citizen’s Portal</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The update and full operation of the Justice Portal with extended functionalities</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A"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B" w14:textId="77777777">
            <w:pPr>
              <w:spacing w:before="0" w:line="240" w:lineRule="auto"/>
              <w:rPr>
                <w:rFonts w:eastAsia="Times New Roman"/>
                <w:noProof/>
                <w:color w:val="006100"/>
                <w:sz w:val="18"/>
                <w:szCs w:val="18"/>
                <w:lang w:val="en-IE" w:eastAsia="en-GB"/>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DC"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D"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DE"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2023</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062C72" w:rsidR="00D87E44" w:rsidRDefault="00D87E44" w14:paraId="154576DF"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The measure shall create a new Justice portal connected to the Citizen’s portal. Functionalities and design shall be defined following needs assessment and user surveys. The redesign of justice.cz portal shall be implemented in 8 packages of thematically similar sites. Each package </w:t>
            </w:r>
            <w:r w:rsidRPr="6978C292">
              <w:rPr>
                <w:rFonts w:eastAsia="Times New Roman"/>
                <w:noProof/>
                <w:color w:val="006100"/>
                <w:sz w:val="18"/>
                <w:szCs w:val="18"/>
                <w:lang w:val="en-IE" w:eastAsia="en-GB"/>
              </w:rPr>
              <w:t>is expected to</w:t>
            </w:r>
            <w:r>
              <w:rPr>
                <w:rFonts w:eastAsia="Times New Roman"/>
                <w:noProof/>
                <w:color w:val="006100"/>
                <w:sz w:val="18"/>
                <w:szCs w:val="18"/>
                <w:lang w:val="en-IE" w:eastAsia="en-GB"/>
              </w:rPr>
              <w:t xml:space="preserve"> be composed of</w:t>
            </w:r>
            <w:r w:rsidRPr="00D627E5">
              <w:rPr>
                <w:rFonts w:eastAsia="Times New Roman"/>
                <w:noProof/>
                <w:color w:val="006100"/>
                <w:sz w:val="18"/>
                <w:szCs w:val="18"/>
                <w:lang w:val="en-IE" w:eastAsia="en-GB"/>
              </w:rPr>
              <w:t xml:space="preserve"> a user-oriented survey phase and design phase of the content. </w:t>
            </w:r>
          </w:p>
        </w:tc>
      </w:tr>
      <w:tr w:rsidRPr="00FE48E2" w:rsidR="00E3458A" w:rsidTr="004A6335" w14:paraId="154576EC"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1"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14</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2"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Investment 3: Digital service</w:t>
            </w:r>
            <w:r w:rsidRPr="0010754C">
              <w:rPr>
                <w:rFonts w:eastAsia="Times New Roman"/>
                <w:noProof/>
                <w:color w:val="006100"/>
                <w:sz w:val="18"/>
                <w:szCs w:val="18"/>
                <w:lang w:val="en-IE" w:eastAsia="en-GB"/>
              </w:rPr>
              <w:t>s</w:t>
            </w:r>
            <w:r w:rsidRPr="00D627E5">
              <w:rPr>
                <w:rFonts w:eastAsia="Times New Roman"/>
                <w:noProof/>
                <w:color w:val="006100"/>
                <w:sz w:val="18"/>
                <w:szCs w:val="18"/>
                <w:lang w:val="en-IE" w:eastAsia="en-GB"/>
              </w:rPr>
              <w:t xml:space="preserve"> for justice</w:t>
            </w: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3"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Target</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4"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Equipment of courtrooms with audio-visual data recorders</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627E5" w:rsidR="00D87E44" w:rsidRDefault="00D87E44" w14:paraId="154576E5" w14:textId="77777777">
            <w:pPr>
              <w:spacing w:before="0" w:line="240" w:lineRule="auto"/>
              <w:rPr>
                <w:rFonts w:eastAsia="Times New Roman"/>
                <w:noProof/>
                <w:color w:val="006100"/>
                <w:sz w:val="18"/>
                <w:szCs w:val="18"/>
                <w:lang w:val="en-IE" w:eastAsia="en-GB"/>
              </w:rPr>
            </w:pP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6"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 xml:space="preserve">Number of </w:t>
            </w:r>
            <w:r w:rsidRPr="00D627E5">
              <w:rPr>
                <w:rFonts w:eastAsia="Times New Roman"/>
                <w:noProof/>
                <w:color w:val="006100"/>
                <w:sz w:val="18"/>
                <w:szCs w:val="18"/>
                <w:lang w:val="en-IE" w:eastAsia="en-GB"/>
              </w:rPr>
              <w:t>courtrooms</w:t>
            </w: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7"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370</w:t>
            </w: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8"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1</w:t>
            </w:r>
            <w:r>
              <w:rPr>
                <w:rFonts w:eastAsia="Times New Roman"/>
                <w:noProof/>
                <w:color w:val="006100"/>
                <w:sz w:val="18"/>
                <w:szCs w:val="18"/>
                <w:lang w:val="en-IE" w:eastAsia="en-GB"/>
              </w:rPr>
              <w:t> </w:t>
            </w:r>
            <w:r w:rsidRPr="00D627E5">
              <w:rPr>
                <w:rFonts w:eastAsia="Times New Roman"/>
                <w:noProof/>
                <w:color w:val="006100"/>
                <w:sz w:val="18"/>
                <w:szCs w:val="18"/>
                <w:lang w:val="en-IE" w:eastAsia="en-GB"/>
              </w:rPr>
              <w:t>100</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9"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A"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2023</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Pr="00D627E5" w:rsidR="00D87E44" w:rsidRDefault="00D87E44" w14:paraId="154576EB" w14:textId="77777777">
            <w:pPr>
              <w:spacing w:before="0" w:line="240" w:lineRule="auto"/>
              <w:rPr>
                <w:rFonts w:eastAsia="Times New Roman"/>
                <w:noProof/>
                <w:color w:val="006100"/>
                <w:sz w:val="18"/>
                <w:szCs w:val="18"/>
                <w:lang w:val="en-IE" w:eastAsia="en-GB"/>
              </w:rPr>
            </w:pPr>
            <w:r w:rsidRPr="00D627E5">
              <w:rPr>
                <w:rFonts w:eastAsia="Times New Roman"/>
                <w:noProof/>
                <w:color w:val="006100"/>
                <w:sz w:val="18"/>
                <w:szCs w:val="18"/>
                <w:lang w:val="en-IE" w:eastAsia="en-GB"/>
              </w:rPr>
              <w:t>The measure shall procure audio-visual equipment for courtrooms in order to enable digital recording of hearings and procedures for greater transparency.</w:t>
            </w:r>
          </w:p>
        </w:tc>
      </w:tr>
      <w:tr w:rsidR="00E3458A" w:rsidTr="004A6335" w14:paraId="154576F9" w14:textId="77777777">
        <w:trPr>
          <w:gridAfter w:val="1"/>
          <w:wAfter w:w="20" w:type="dxa"/>
          <w:trHeight w:val="300"/>
          <w:jc w:val="center"/>
        </w:trPr>
        <w:tc>
          <w:tcPr>
            <w:tcW w:w="68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ED" w14:textId="77777777">
            <w:pPr>
              <w:spacing w:before="0" w:line="240" w:lineRule="auto"/>
              <w:rPr>
                <w:rFonts w:eastAsia="Times New Roman"/>
                <w:noProof/>
                <w:color w:val="006100"/>
                <w:sz w:val="18"/>
                <w:szCs w:val="18"/>
                <w:lang w:val="en-IE" w:eastAsia="en-GB"/>
              </w:rPr>
            </w:pPr>
            <w:r w:rsidRPr="60EF6D65">
              <w:rPr>
                <w:rFonts w:eastAsia="Times New Roman"/>
                <w:noProof/>
                <w:color w:val="006100"/>
                <w:sz w:val="18"/>
                <w:szCs w:val="18"/>
                <w:lang w:val="en-IE" w:eastAsia="en-GB"/>
              </w:rPr>
              <w:t>246</w:t>
            </w:r>
          </w:p>
        </w:tc>
        <w:tc>
          <w:tcPr>
            <w:tcW w:w="1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EE" w14:textId="77777777">
            <w:pPr>
              <w:spacing w:before="0" w:line="240" w:lineRule="auto"/>
              <w:rPr>
                <w:rFonts w:eastAsia="Times New Roman"/>
                <w:noProof/>
                <w:color w:val="006100"/>
                <w:sz w:val="18"/>
                <w:szCs w:val="18"/>
                <w:lang w:val="en-IE" w:eastAsia="en-GB"/>
              </w:rPr>
            </w:pPr>
            <w:r w:rsidRPr="60EF6D65">
              <w:rPr>
                <w:rFonts w:eastAsia="Times New Roman"/>
                <w:noProof/>
                <w:color w:val="006100"/>
                <w:sz w:val="18"/>
                <w:szCs w:val="18"/>
                <w:lang w:val="en-IE" w:eastAsia="en-GB"/>
              </w:rPr>
              <w:t xml:space="preserve">Investment 4: Digital services </w:t>
            </w:r>
            <w:r w:rsidRPr="60EF6D65">
              <w:rPr>
                <w:rFonts w:eastAsia="Times New Roman"/>
                <w:noProof/>
                <w:color w:val="006100"/>
                <w:sz w:val="18"/>
                <w:szCs w:val="18"/>
                <w:lang w:val="en-IE" w:eastAsia="en-GB"/>
              </w:rPr>
              <w:lastRenderedPageBreak/>
              <w:t>for end users in social area</w:t>
            </w:r>
          </w:p>
          <w:p w:rsidR="00D87E44" w:rsidRDefault="00D87E44" w14:paraId="154576EF" w14:textId="77777777">
            <w:pPr>
              <w:spacing w:before="0" w:line="240" w:lineRule="auto"/>
              <w:rPr>
                <w:rFonts w:eastAsia="Times New Roman"/>
                <w:noProof/>
                <w:color w:val="006100"/>
                <w:sz w:val="18"/>
                <w:szCs w:val="18"/>
                <w:lang w:val="en-IE" w:eastAsia="en-GB"/>
              </w:rPr>
            </w:pPr>
          </w:p>
        </w:tc>
        <w:tc>
          <w:tcPr>
            <w:tcW w:w="99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0" w14:textId="77777777">
            <w:pPr>
              <w:spacing w:before="0" w:line="240" w:lineRule="auto"/>
              <w:rPr>
                <w:rFonts w:eastAsia="Times New Roman"/>
                <w:noProof/>
                <w:color w:val="006100"/>
                <w:sz w:val="18"/>
                <w:szCs w:val="18"/>
                <w:lang w:val="en-IE" w:eastAsia="en-GB"/>
              </w:rPr>
            </w:pPr>
            <w:r w:rsidRPr="60EF6D65">
              <w:rPr>
                <w:rFonts w:eastAsia="Times New Roman"/>
                <w:noProof/>
                <w:color w:val="006100"/>
                <w:sz w:val="18"/>
                <w:szCs w:val="18"/>
                <w:lang w:val="en-IE" w:eastAsia="en-GB"/>
              </w:rPr>
              <w:lastRenderedPageBreak/>
              <w:t>Milestone</w:t>
            </w:r>
          </w:p>
        </w:tc>
        <w:tc>
          <w:tcPr>
            <w:tcW w:w="16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1"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 xml:space="preserve">Upgraded self-service portal for the Labour Office </w:t>
            </w:r>
          </w:p>
        </w:tc>
        <w:tc>
          <w:tcPr>
            <w:tcW w:w="12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00D87E44" w:rsidRDefault="00D87E44" w14:paraId="154576F2" w14:textId="77777777">
            <w:pPr>
              <w:spacing w:before="0" w:line="240" w:lineRule="auto"/>
              <w:rPr>
                <w:rFonts w:eastAsia="Times New Roman"/>
                <w:noProof/>
                <w:color w:val="006100"/>
                <w:sz w:val="18"/>
                <w:szCs w:val="18"/>
                <w:lang w:val="en-IE" w:eastAsia="en-GB"/>
              </w:rPr>
            </w:pPr>
            <w:r w:rsidRPr="44D41F6E">
              <w:rPr>
                <w:rFonts w:eastAsia="Times New Roman"/>
                <w:noProof/>
                <w:color w:val="006100"/>
                <w:sz w:val="18"/>
                <w:szCs w:val="18"/>
                <w:lang w:val="en-IE" w:eastAsia="en-GB"/>
              </w:rPr>
              <w:t>U</w:t>
            </w:r>
            <w:r>
              <w:rPr>
                <w:rFonts w:eastAsia="Times New Roman"/>
                <w:noProof/>
                <w:color w:val="006100"/>
                <w:sz w:val="18"/>
                <w:szCs w:val="18"/>
                <w:lang w:val="en-IE" w:eastAsia="en-GB"/>
              </w:rPr>
              <w:t>p</w:t>
            </w:r>
            <w:r w:rsidRPr="44D41F6E">
              <w:rPr>
                <w:rFonts w:eastAsia="Times New Roman"/>
                <w:noProof/>
                <w:color w:val="006100"/>
                <w:sz w:val="18"/>
                <w:szCs w:val="18"/>
                <w:lang w:val="en-IE" w:eastAsia="en-GB"/>
              </w:rPr>
              <w:t>graded</w:t>
            </w:r>
            <w:r w:rsidRPr="00062C72">
              <w:rPr>
                <w:rFonts w:eastAsia="Times New Roman"/>
                <w:noProof/>
                <w:color w:val="006100"/>
                <w:sz w:val="18"/>
                <w:szCs w:val="18"/>
                <w:lang w:val="en-IE" w:eastAsia="en-GB"/>
              </w:rPr>
              <w:t xml:space="preserve"> self-service portal</w:t>
            </w:r>
          </w:p>
        </w:tc>
        <w:tc>
          <w:tcPr>
            <w:tcW w:w="14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3" w14:textId="77777777">
            <w:pPr>
              <w:spacing w:before="0" w:line="240" w:lineRule="auto"/>
              <w:rPr>
                <w:rFonts w:eastAsia="Times New Roman"/>
                <w:noProof/>
                <w:color w:val="006100"/>
                <w:sz w:val="18"/>
                <w:szCs w:val="18"/>
                <w:lang w:val="en-IE" w:eastAsia="en-GB"/>
              </w:rPr>
            </w:pPr>
          </w:p>
        </w:tc>
        <w:tc>
          <w:tcPr>
            <w:tcW w:w="13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4" w14:textId="77777777">
            <w:pPr>
              <w:spacing w:before="0" w:line="240" w:lineRule="auto"/>
              <w:rPr>
                <w:rFonts w:eastAsia="Times New Roman"/>
                <w:noProof/>
                <w:color w:val="006100"/>
                <w:sz w:val="18"/>
                <w:szCs w:val="18"/>
                <w:lang w:val="en-IE" w:eastAsia="en-GB"/>
              </w:rPr>
            </w:pPr>
          </w:p>
        </w:tc>
        <w:tc>
          <w:tcPr>
            <w:tcW w:w="9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5" w14:textId="77777777">
            <w:pPr>
              <w:spacing w:before="0" w:line="240" w:lineRule="auto"/>
              <w:rPr>
                <w:rFonts w:eastAsia="Times New Roman"/>
                <w:noProof/>
                <w:color w:val="006100"/>
                <w:sz w:val="18"/>
                <w:szCs w:val="18"/>
                <w:lang w:val="en-IE" w:eastAsia="en-GB"/>
              </w:rPr>
            </w:pP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6" w14:textId="77777777">
            <w:pPr>
              <w:spacing w:before="0" w:line="240" w:lineRule="auto"/>
              <w:rPr>
                <w:rFonts w:eastAsia="Times New Roman"/>
                <w:noProof/>
                <w:color w:val="006100"/>
                <w:sz w:val="18"/>
                <w:szCs w:val="18"/>
                <w:lang w:val="en-IE" w:eastAsia="en-GB"/>
              </w:rPr>
            </w:pPr>
            <w:r w:rsidRPr="53A4FF9E">
              <w:rPr>
                <w:rFonts w:eastAsia="Times New Roman"/>
                <w:noProof/>
                <w:color w:val="006100"/>
                <w:sz w:val="18"/>
                <w:szCs w:val="18"/>
                <w:lang w:val="en-IE" w:eastAsia="en-GB"/>
              </w:rPr>
              <w:t>Q4</w:t>
            </w:r>
          </w:p>
        </w:tc>
        <w:tc>
          <w:tcPr>
            <w:tcW w:w="72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7" w14:textId="77777777">
            <w:pPr>
              <w:spacing w:before="0" w:line="240" w:lineRule="auto"/>
              <w:rPr>
                <w:rFonts w:eastAsia="Times New Roman"/>
                <w:noProof/>
                <w:color w:val="006100"/>
                <w:sz w:val="18"/>
                <w:szCs w:val="18"/>
                <w:lang w:val="en-IE" w:eastAsia="en-GB"/>
              </w:rPr>
            </w:pPr>
            <w:r w:rsidRPr="53A4FF9E">
              <w:rPr>
                <w:rFonts w:eastAsia="Times New Roman"/>
                <w:noProof/>
                <w:color w:val="006100"/>
                <w:sz w:val="18"/>
                <w:szCs w:val="18"/>
                <w:lang w:val="en-IE" w:eastAsia="en-GB"/>
              </w:rPr>
              <w:t>2025</w:t>
            </w:r>
          </w:p>
        </w:tc>
        <w:tc>
          <w:tcPr>
            <w:tcW w:w="380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hideMark/>
          </w:tcPr>
          <w:p w:rsidR="00D87E44" w:rsidRDefault="00D87E44" w14:paraId="154576F8" w14:textId="77777777">
            <w:pPr>
              <w:spacing w:before="0" w:line="240" w:lineRule="auto"/>
              <w:rPr>
                <w:rFonts w:eastAsia="Times New Roman"/>
                <w:noProof/>
                <w:color w:val="006100"/>
                <w:sz w:val="18"/>
                <w:szCs w:val="18"/>
                <w:lang w:val="en-IE" w:eastAsia="en-GB"/>
              </w:rPr>
            </w:pPr>
            <w:bookmarkStart w:name="_Hlk213262700" w:id="4"/>
            <w:r>
              <w:rPr>
                <w:rFonts w:eastAsia="Times New Roman"/>
                <w:noProof/>
                <w:color w:val="006100"/>
                <w:sz w:val="18"/>
                <w:szCs w:val="18"/>
                <w:lang w:val="en-IE" w:eastAsia="en-GB"/>
              </w:rPr>
              <w:t xml:space="preserve">Acceptance of the upgrade of the </w:t>
            </w:r>
            <w:r w:rsidRPr="00062C72">
              <w:rPr>
                <w:rFonts w:eastAsia="Times New Roman"/>
                <w:noProof/>
                <w:color w:val="006100"/>
                <w:sz w:val="18"/>
                <w:szCs w:val="18"/>
                <w:lang w:val="en-IE" w:eastAsia="en-GB"/>
              </w:rPr>
              <w:t>self-service portal for the Labour Office</w:t>
            </w:r>
            <w:r w:rsidRPr="60EF6D65">
              <w:rPr>
                <w:rFonts w:eastAsia="Times New Roman"/>
                <w:noProof/>
                <w:color w:val="006100"/>
                <w:sz w:val="18"/>
                <w:szCs w:val="18"/>
                <w:lang w:val="en-IE" w:eastAsia="en-GB"/>
              </w:rPr>
              <w:t xml:space="preserve"> </w:t>
            </w:r>
            <w:r>
              <w:rPr>
                <w:rFonts w:eastAsia="Times New Roman"/>
                <w:noProof/>
                <w:color w:val="006100"/>
                <w:sz w:val="18"/>
                <w:szCs w:val="18"/>
                <w:lang w:val="en-IE" w:eastAsia="en-GB"/>
              </w:rPr>
              <w:t xml:space="preserve">with at least three </w:t>
            </w:r>
            <w:r>
              <w:rPr>
                <w:rFonts w:eastAsia="Times New Roman"/>
                <w:noProof/>
                <w:color w:val="006100"/>
                <w:sz w:val="18"/>
                <w:szCs w:val="18"/>
                <w:lang w:val="en-IE" w:eastAsia="en-GB"/>
              </w:rPr>
              <w:lastRenderedPageBreak/>
              <w:t>functionalities by the contracting authority or authorities.</w:t>
            </w:r>
            <w:bookmarkEnd w:id="4"/>
          </w:p>
        </w:tc>
      </w:tr>
    </w:tbl>
    <w:p w:rsidRPr="00D627E5" w:rsidR="00D87E44" w:rsidP="00D226F4" w:rsidRDefault="00D87E44" w14:paraId="154576FA" w14:textId="77777777">
      <w:pPr>
        <w:rPr>
          <w:noProof/>
          <w:lang w:val="en-IE"/>
        </w:rPr>
      </w:pPr>
    </w:p>
    <w:p w:rsidRPr="00D627E5" w:rsidR="00D87E44" w:rsidP="00D226F4" w:rsidRDefault="00D87E44" w14:paraId="154576FB" w14:textId="77777777">
      <w:pPr>
        <w:pBdr>
          <w:top w:val="nil"/>
          <w:left w:val="nil"/>
          <w:bottom w:val="nil"/>
          <w:right w:val="nil"/>
          <w:between w:val="nil"/>
        </w:pBdr>
        <w:spacing w:line="240" w:lineRule="auto"/>
        <w:rPr>
          <w:b/>
          <w:bCs/>
          <w:noProof/>
          <w:lang w:val="en-IE"/>
        </w:rPr>
        <w:sectPr w:rsidRPr="00D627E5" w:rsidR="00C16C1F" w:rsidSect="00D226F4">
          <w:headerReference w:type="even" r:id="Re826173087264365"/>
          <w:headerReference w:type="default" r:id="R308b0ae8b4fa4565"/>
          <w:footerReference w:type="even" r:id="R8e5e9d97fb514a97"/>
          <w:footerReference w:type="default" r:id="R573f40a6035043ce"/>
          <w:headerReference w:type="first" r:id="Rc6315291c5b54924"/>
          <w:footerReference w:type="first" r:id="Rfae9c145ed1841bf"/>
          <w:pgSz w:w="16839" w:h="11907" w:orient="landscape"/>
          <w:pgMar w:top="1134" w:right="1134" w:bottom="1134" w:left="1134" w:header="567" w:footer="567" w:gutter="0"/>
          <w:cols w:space="720"/>
          <w:docGrid w:linePitch="360"/>
        </w:sectPr>
      </w:pPr>
    </w:p>
    <w:p w:rsidRPr="00D627E5" w:rsidR="00D87E44" w:rsidP="00D226F4" w:rsidRDefault="00D87E44" w14:paraId="154576FC" w14:textId="77777777">
      <w:pPr>
        <w:keepNext/>
        <w:tabs>
          <w:tab w:val="left" w:pos="850"/>
        </w:tabs>
        <w:spacing w:before="360" w:line="240" w:lineRule="auto"/>
        <w:jc w:val="both"/>
        <w:outlineLvl w:val="0"/>
        <w:rPr>
          <w:b/>
          <w:smallCaps/>
          <w:noProof/>
          <w:lang w:val="en-IE"/>
        </w:rPr>
      </w:pPr>
      <w:r w:rsidRPr="00D627E5">
        <w:rPr>
          <w:b/>
          <w:smallCaps/>
          <w:noProof/>
          <w:lang w:val="en-IE"/>
        </w:rPr>
        <w:lastRenderedPageBreak/>
        <w:t>B. COMPONENT 1.2: Digital Public Administration Systems</w:t>
      </w:r>
    </w:p>
    <w:p w:rsidRPr="00D627E5" w:rsidR="00D87E44" w:rsidP="00D226F4" w:rsidRDefault="00D87E44" w14:paraId="154576FD" w14:textId="77777777">
      <w:pPr>
        <w:spacing w:line="240" w:lineRule="auto"/>
        <w:jc w:val="both"/>
        <w:rPr>
          <w:noProof/>
          <w:szCs w:val="24"/>
          <w:lang w:val="en-IE"/>
        </w:rPr>
      </w:pPr>
      <w:r w:rsidRPr="00D627E5">
        <w:rPr>
          <w:noProof/>
          <w:szCs w:val="24"/>
          <w:lang w:val="en-IE"/>
        </w:rPr>
        <w:t>This component of the Czech recovery and resilience plan aims to address the challenge of stepping up the digital transformation in the Czech public administration and fostering collaboration and exchange between public institutions.</w:t>
      </w:r>
    </w:p>
    <w:p w:rsidRPr="00D627E5" w:rsidR="00D87E44" w:rsidP="00D226F4" w:rsidRDefault="00D87E44" w14:paraId="154576FE" w14:textId="77777777">
      <w:pPr>
        <w:spacing w:line="240" w:lineRule="auto"/>
        <w:jc w:val="both"/>
        <w:rPr>
          <w:noProof/>
          <w:color w:val="000000"/>
          <w:lang w:val="en-IE"/>
        </w:rPr>
      </w:pPr>
      <w:r w:rsidRPr="41EDE7EF">
        <w:rPr>
          <w:noProof/>
          <w:color w:val="000000" w:themeColor="text1"/>
          <w:lang w:val="en-IE"/>
        </w:rPr>
        <w:t xml:space="preserve">It aims at ensuring the development of interconnected data pool of the public administration’s IT systems, supporting and enabling component 1.1, which supports the expansion of eGovernment services provided to end users. The component shall develop </w:t>
      </w:r>
      <w:r w:rsidRPr="41EDE7EF">
        <w:rPr>
          <w:noProof/>
          <w:lang w:val="en-IE"/>
        </w:rPr>
        <w:t xml:space="preserve">core </w:t>
      </w:r>
      <w:r w:rsidRPr="41EDE7EF">
        <w:rPr>
          <w:noProof/>
          <w:color w:val="000000" w:themeColor="text1"/>
          <w:lang w:val="en-IE"/>
        </w:rPr>
        <w:t>registr</w:t>
      </w:r>
      <w:r>
        <w:rPr>
          <w:noProof/>
          <w:color w:val="000000" w:themeColor="text1"/>
          <w:lang w:val="en-IE"/>
        </w:rPr>
        <w:t>ie</w:t>
      </w:r>
      <w:r w:rsidRPr="41EDE7EF">
        <w:rPr>
          <w:noProof/>
          <w:color w:val="000000" w:themeColor="text1"/>
          <w:lang w:val="en-IE"/>
        </w:rPr>
        <w:t xml:space="preserve">s, including health </w:t>
      </w:r>
      <w:r w:rsidRPr="0010754C">
        <w:rPr>
          <w:noProof/>
          <w:color w:val="000000" w:themeColor="text1"/>
          <w:lang w:val="en-IE"/>
        </w:rPr>
        <w:t>registries</w:t>
      </w:r>
      <w:r w:rsidRPr="41EDE7EF">
        <w:rPr>
          <w:noProof/>
          <w:color w:val="000000" w:themeColor="text1"/>
          <w:lang w:val="en-IE"/>
        </w:rPr>
        <w:t xml:space="preserve">, and connect public administration databases and relevant IT systems in order to reduce </w:t>
      </w:r>
      <w:r w:rsidRPr="41EDE7EF">
        <w:rPr>
          <w:noProof/>
          <w:lang w:val="en-IE"/>
        </w:rPr>
        <w:t xml:space="preserve">the </w:t>
      </w:r>
      <w:r w:rsidRPr="41EDE7EF">
        <w:rPr>
          <w:noProof/>
          <w:color w:val="000000" w:themeColor="text1"/>
          <w:lang w:val="en-IE"/>
        </w:rPr>
        <w:t xml:space="preserve">complexity of procedures for companies and citizens and ensure secure data-sharing within the public administration. </w:t>
      </w:r>
    </w:p>
    <w:p w:rsidRPr="00D627E5" w:rsidR="00D87E44" w:rsidP="00D226F4" w:rsidRDefault="00D87E44" w14:paraId="154576FF" w14:textId="77777777">
      <w:pPr>
        <w:spacing w:line="240" w:lineRule="auto"/>
        <w:jc w:val="both"/>
        <w:rPr>
          <w:noProof/>
          <w:color w:val="000000"/>
          <w:szCs w:val="24"/>
          <w:lang w:val="en-IE"/>
        </w:rPr>
      </w:pPr>
      <w:r w:rsidRPr="00D627E5">
        <w:rPr>
          <w:noProof/>
          <w:color w:val="000000"/>
          <w:szCs w:val="24"/>
          <w:lang w:val="en-IE"/>
        </w:rPr>
        <w:t>The implementation of the reforms under this component aims to ensure a standardised and coherent approach to the development of agenda information systems within the public administration. They shall provide expertise and consulting services via Competence Centres. They shall also develop and consolidate the fragmented health registries to prepare them for the provision of shared services and information exchange.</w:t>
      </w:r>
    </w:p>
    <w:p w:rsidRPr="00D627E5" w:rsidR="00D87E44" w:rsidP="00D226F4" w:rsidRDefault="00D87E44" w14:paraId="15457700" w14:textId="77777777">
      <w:pPr>
        <w:spacing w:line="240" w:lineRule="auto"/>
        <w:jc w:val="both"/>
        <w:rPr>
          <w:noProof/>
          <w:color w:val="000000"/>
          <w:szCs w:val="24"/>
          <w:lang w:val="en-IE"/>
        </w:rPr>
      </w:pPr>
      <w:r w:rsidRPr="00D627E5">
        <w:rPr>
          <w:noProof/>
          <w:color w:val="000000"/>
          <w:szCs w:val="24"/>
          <w:lang w:val="en-IE"/>
        </w:rPr>
        <w:t>Investments shall focus on developing and connecting core registries, on fostering the interconnection and update of age-related agenda information systems, on investing in equipment and infrastructure for eJustice services, and on improving the cybersecurity of the public administration.</w:t>
      </w:r>
    </w:p>
    <w:p w:rsidR="00D87E44" w:rsidP="00D226F4" w:rsidRDefault="00D87E44" w14:paraId="15457701" w14:textId="77777777">
      <w:pPr>
        <w:spacing w:line="240" w:lineRule="auto"/>
        <w:jc w:val="both"/>
        <w:rPr>
          <w:noProof/>
          <w:color w:val="000000"/>
          <w:lang w:val="en-IE"/>
        </w:rPr>
      </w:pPr>
      <w:r w:rsidRPr="00D627E5">
        <w:rPr>
          <w:rFonts w:eastAsia="Times New Roman"/>
          <w:noProof/>
          <w:color w:val="000000"/>
          <w:lang w:val="en-IE" w:eastAsia="en-IE"/>
        </w:rPr>
        <w:t xml:space="preserve">The component </w:t>
      </w:r>
      <w:r w:rsidRPr="00D627E5">
        <w:rPr>
          <w:rFonts w:eastAsia="Times New Roman"/>
          <w:noProof/>
          <w:lang w:val="en-IE" w:eastAsia="en-GB"/>
        </w:rPr>
        <w:t xml:space="preserve">supports addressing </w:t>
      </w:r>
      <w:r w:rsidRPr="00D627E5">
        <w:rPr>
          <w:noProof/>
          <w:lang w:val="en-IE"/>
        </w:rPr>
        <w:t xml:space="preserve">Country Specific Recommendation </w:t>
      </w:r>
      <w:r w:rsidRPr="00D627E5">
        <w:rPr>
          <w:rFonts w:eastAsia="Times New Roman"/>
          <w:noProof/>
          <w:lang w:val="en-IE" w:eastAsia="en-GB"/>
        </w:rPr>
        <w:t xml:space="preserve">2019 3, according to which Czechia shall </w:t>
      </w:r>
      <w:r w:rsidRPr="00D627E5">
        <w:rPr>
          <w:noProof/>
          <w:color w:val="000000"/>
          <w:lang w:val="en-IE"/>
        </w:rPr>
        <w:t>focus investment-related economic policy on digital infrastructure</w:t>
      </w:r>
      <w:r w:rsidRPr="00D627E5">
        <w:rPr>
          <w:noProof/>
          <w:lang w:val="en-IE"/>
        </w:rPr>
        <w:t xml:space="preserve">, Country Specific Recommendation </w:t>
      </w:r>
      <w:r w:rsidRPr="00D627E5">
        <w:rPr>
          <w:rFonts w:eastAsia="Times New Roman"/>
          <w:noProof/>
          <w:lang w:val="en-IE" w:eastAsia="en-GB"/>
        </w:rPr>
        <w:t>2020 1</w:t>
      </w:r>
      <w:r w:rsidRPr="00D627E5">
        <w:rPr>
          <w:rFonts w:eastAsia="Times New Roman"/>
          <w:noProof/>
          <w:color w:val="000000"/>
          <w:lang w:val="en-IE" w:eastAsia="en-IE"/>
        </w:rPr>
        <w:t>, according to which Czechia shall</w:t>
      </w:r>
      <w:r w:rsidRPr="00D627E5">
        <w:rPr>
          <w:i/>
          <w:iCs/>
          <w:noProof/>
          <w:color w:val="000000"/>
          <w:lang w:val="en-IE"/>
        </w:rPr>
        <w:t xml:space="preserve"> </w:t>
      </w:r>
      <w:r w:rsidRPr="00D627E5">
        <w:rPr>
          <w:noProof/>
          <w:color w:val="000000"/>
          <w:lang w:val="en-IE"/>
        </w:rPr>
        <w:t xml:space="preserve">strengthen the deployment of e-health services, and </w:t>
      </w:r>
      <w:r w:rsidRPr="00D627E5">
        <w:rPr>
          <w:noProof/>
          <w:lang w:val="en-IE"/>
        </w:rPr>
        <w:t xml:space="preserve">Country Specific Recommendation </w:t>
      </w:r>
      <w:r w:rsidRPr="00D627E5">
        <w:rPr>
          <w:rFonts w:eastAsia="Times New Roman"/>
          <w:noProof/>
          <w:lang w:val="en-IE" w:eastAsia="en-GB"/>
        </w:rPr>
        <w:t xml:space="preserve">2020 3, according to which Czechia shall </w:t>
      </w:r>
      <w:r w:rsidRPr="00D627E5">
        <w:rPr>
          <w:noProof/>
          <w:color w:val="000000"/>
          <w:lang w:val="en-IE"/>
        </w:rPr>
        <w:t>support small and medium-sized enterprises by reducing the administrative burden and focus investment on the digital transition.</w:t>
      </w:r>
    </w:p>
    <w:p w:rsidRPr="00653DBA" w:rsidR="00D87E44" w:rsidP="00D226F4" w:rsidRDefault="00D87E44" w14:paraId="15457702"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D627E5" w:rsidR="00D87E44" w:rsidP="00D226F4" w:rsidRDefault="00D87E44" w14:paraId="15457703" w14:textId="77777777">
      <w:pPr>
        <w:spacing w:line="240" w:lineRule="auto"/>
        <w:jc w:val="both"/>
        <w:rPr>
          <w:rFonts w:eastAsia="Times New Roman"/>
          <w:noProof/>
          <w:sz w:val="22"/>
          <w:lang w:val="en-IE" w:eastAsia="en-IE"/>
        </w:rPr>
      </w:pPr>
    </w:p>
    <w:p w:rsidRPr="00D627E5" w:rsidR="00D87E44" w:rsidP="00D226F4" w:rsidRDefault="00D87E44" w14:paraId="15457704" w14:textId="77777777">
      <w:pPr>
        <w:spacing w:line="240" w:lineRule="auto"/>
        <w:jc w:val="both"/>
        <w:rPr>
          <w:b/>
          <w:i/>
          <w:noProof/>
          <w:szCs w:val="24"/>
          <w:lang w:val="en-IE"/>
        </w:rPr>
      </w:pPr>
      <w:r w:rsidRPr="00D627E5">
        <w:rPr>
          <w:b/>
          <w:noProof/>
          <w:color w:val="000000"/>
          <w:szCs w:val="24"/>
          <w:u w:val="single"/>
          <w:lang w:val="en-IE"/>
        </w:rPr>
        <w:t>B.1. Description of the reforms and investments for non-repayable financial support</w:t>
      </w:r>
    </w:p>
    <w:p w:rsidRPr="00D627E5" w:rsidR="00D87E44" w:rsidP="00D226F4" w:rsidRDefault="00D87E44" w14:paraId="15457705" w14:textId="77777777">
      <w:pPr>
        <w:spacing w:line="240" w:lineRule="auto"/>
        <w:jc w:val="both"/>
        <w:rPr>
          <w:b/>
          <w:noProof/>
          <w:color w:val="000000"/>
          <w:lang w:val="en-IE"/>
        </w:rPr>
      </w:pPr>
      <w:r w:rsidRPr="41EDE7EF">
        <w:rPr>
          <w:b/>
          <w:noProof/>
          <w:color w:val="000000" w:themeColor="text1"/>
          <w:lang w:val="en-IE"/>
        </w:rPr>
        <w:t xml:space="preserve">Investment 1: </w:t>
      </w:r>
      <w:r w:rsidRPr="0010754C">
        <w:rPr>
          <w:b/>
          <w:noProof/>
          <w:color w:val="000000" w:themeColor="text1"/>
          <w:lang w:val="en-IE"/>
        </w:rPr>
        <w:t>Development a</w:t>
      </w:r>
      <w:r w:rsidRPr="41EDE7EF">
        <w:rPr>
          <w:b/>
          <w:noProof/>
          <w:color w:val="000000" w:themeColor="text1"/>
          <w:lang w:val="en-IE"/>
        </w:rPr>
        <w:t>nd improving individual information systems</w:t>
      </w:r>
    </w:p>
    <w:p w:rsidRPr="00FF1320" w:rsidR="00D87E44" w:rsidP="00D226F4" w:rsidRDefault="00D87E44" w14:paraId="15457706" w14:textId="77777777">
      <w:pPr>
        <w:spacing w:line="240" w:lineRule="auto"/>
        <w:jc w:val="both"/>
        <w:rPr>
          <w:color w:val="000000" w:themeColor="text1"/>
          <w:lang w:val="en-IE"/>
        </w:rPr>
      </w:pPr>
      <w:r w:rsidRPr="7062433F">
        <w:rPr>
          <w:noProof/>
          <w:color w:val="000000" w:themeColor="text1"/>
          <w:lang w:val="en-IE"/>
        </w:rPr>
        <w:t xml:space="preserve">The </w:t>
      </w:r>
      <w:r>
        <w:rPr>
          <w:noProof/>
          <w:color w:val="000000" w:themeColor="text1"/>
          <w:lang w:val="en-IE"/>
        </w:rPr>
        <w:t>objective of this measure is to</w:t>
      </w:r>
      <w:r w:rsidRPr="7062433F">
        <w:rPr>
          <w:noProof/>
          <w:color w:val="000000" w:themeColor="text1"/>
          <w:lang w:val="en-IE"/>
        </w:rPr>
        <w:t xml:space="preserve"> </w:t>
      </w:r>
      <w:r>
        <w:rPr>
          <w:noProof/>
          <w:color w:val="000000" w:themeColor="text1"/>
          <w:lang w:val="en-IE"/>
        </w:rPr>
        <w:t>support</w:t>
      </w:r>
      <w:r w:rsidRPr="7062433F">
        <w:rPr>
          <w:noProof/>
          <w:color w:val="000000" w:themeColor="text1"/>
          <w:lang w:val="en-IE"/>
        </w:rPr>
        <w:t xml:space="preserve"> projects</w:t>
      </w:r>
      <w:r>
        <w:rPr>
          <w:noProof/>
          <w:color w:val="000000" w:themeColor="text1"/>
          <w:lang w:val="en-IE"/>
        </w:rPr>
        <w:t xml:space="preserve"> that</w:t>
      </w:r>
      <w:r w:rsidRPr="7062433F">
        <w:rPr>
          <w:noProof/>
          <w:color w:val="000000" w:themeColor="text1"/>
          <w:lang w:val="en-IE"/>
        </w:rPr>
        <w:t xml:space="preserve"> aim </w:t>
      </w:r>
      <w:r>
        <w:rPr>
          <w:noProof/>
          <w:color w:val="000000" w:themeColor="text1"/>
          <w:lang w:val="en-IE"/>
        </w:rPr>
        <w:t>to</w:t>
      </w:r>
      <w:r w:rsidRPr="7062433F">
        <w:rPr>
          <w:noProof/>
          <w:color w:val="000000" w:themeColor="text1"/>
          <w:lang w:val="en-IE"/>
        </w:rPr>
        <w:t xml:space="preserve"> updat</w:t>
      </w:r>
      <w:r>
        <w:rPr>
          <w:noProof/>
          <w:color w:val="000000" w:themeColor="text1"/>
          <w:lang w:val="en-IE"/>
        </w:rPr>
        <w:t>e</w:t>
      </w:r>
      <w:r w:rsidRPr="7062433F">
        <w:rPr>
          <w:noProof/>
          <w:color w:val="000000" w:themeColor="text1"/>
          <w:lang w:val="en-IE"/>
        </w:rPr>
        <w:t xml:space="preserve"> and connect back-end information systems</w:t>
      </w:r>
      <w:r>
        <w:rPr>
          <w:noProof/>
          <w:color w:val="000000" w:themeColor="text1"/>
          <w:lang w:val="en-IE"/>
        </w:rPr>
        <w:t xml:space="preserve"> to</w:t>
      </w:r>
      <w:r w:rsidRPr="7062433F">
        <w:rPr>
          <w:noProof/>
          <w:color w:val="000000" w:themeColor="text1"/>
          <w:lang w:val="en-IE"/>
        </w:rPr>
        <w:t xml:space="preserve"> enable new and enhanced services to citizens and businesses in the areas of employment policy, social security, medical assessment, statistics, passport and visa and services. </w:t>
      </w:r>
      <w:r w:rsidRPr="7062433F" w:rsidDel="007E03E8">
        <w:rPr>
          <w:noProof/>
          <w:color w:val="000000" w:themeColor="text1"/>
          <w:lang w:val="en-IE"/>
        </w:rPr>
        <w:t>Th</w:t>
      </w:r>
      <w:r>
        <w:rPr>
          <w:noProof/>
          <w:color w:val="000000" w:themeColor="text1"/>
          <w:lang w:val="en-IE"/>
        </w:rPr>
        <w:t>is measure consists in</w:t>
      </w:r>
      <w:r w:rsidRPr="7062433F" w:rsidDel="007E03E8">
        <w:rPr>
          <w:noProof/>
          <w:color w:val="000000" w:themeColor="text1"/>
          <w:lang w:val="en-IE"/>
        </w:rPr>
        <w:t xml:space="preserve"> projects </w:t>
      </w:r>
      <w:r>
        <w:rPr>
          <w:noProof/>
          <w:color w:val="000000" w:themeColor="text1"/>
          <w:lang w:val="en-IE"/>
        </w:rPr>
        <w:t>that result in</w:t>
      </w:r>
      <w:r w:rsidRPr="7062433F" w:rsidDel="007E03E8">
        <w:rPr>
          <w:noProof/>
          <w:color w:val="000000" w:themeColor="text1"/>
          <w:lang w:val="en-IE"/>
        </w:rPr>
        <w:t xml:space="preserve"> the</w:t>
      </w:r>
      <w:r w:rsidRPr="7062433F">
        <w:rPr>
          <w:noProof/>
          <w:color w:val="000000" w:themeColor="text1"/>
          <w:lang w:val="en-IE"/>
        </w:rPr>
        <w:t xml:space="preserve"> </w:t>
      </w:r>
      <w:r>
        <w:rPr>
          <w:noProof/>
          <w:color w:val="000000" w:themeColor="text1"/>
          <w:lang w:val="en-IE"/>
        </w:rPr>
        <w:t>creation</w:t>
      </w:r>
      <w:r w:rsidRPr="7062433F">
        <w:rPr>
          <w:noProof/>
          <w:color w:val="000000" w:themeColor="text1"/>
          <w:lang w:val="en-IE"/>
        </w:rPr>
        <w:t xml:space="preserve"> or</w:t>
      </w:r>
      <w:r w:rsidRPr="7062433F" w:rsidDel="007E03E8">
        <w:rPr>
          <w:noProof/>
          <w:color w:val="000000" w:themeColor="text1"/>
          <w:lang w:val="en-IE"/>
        </w:rPr>
        <w:t xml:space="preserve"> </w:t>
      </w:r>
      <w:r>
        <w:rPr>
          <w:noProof/>
          <w:color w:val="000000" w:themeColor="text1"/>
          <w:lang w:val="en-IE"/>
        </w:rPr>
        <w:t>upgrade</w:t>
      </w:r>
      <w:r w:rsidRPr="7062433F" w:rsidDel="007E03E8">
        <w:rPr>
          <w:noProof/>
          <w:color w:val="000000" w:themeColor="text1"/>
          <w:lang w:val="en-IE"/>
        </w:rPr>
        <w:t xml:space="preserve"> of </w:t>
      </w:r>
      <w:r w:rsidRPr="7062433F">
        <w:rPr>
          <w:noProof/>
          <w:color w:val="000000" w:themeColor="text1"/>
          <w:lang w:val="en-IE"/>
        </w:rPr>
        <w:t xml:space="preserve">at least ten </w:t>
      </w:r>
      <w:r w:rsidRPr="7062433F" w:rsidDel="007E03E8">
        <w:rPr>
          <w:noProof/>
          <w:color w:val="000000" w:themeColor="text1"/>
          <w:lang w:val="en-IE"/>
        </w:rPr>
        <w:t>information systems in total.</w:t>
      </w:r>
    </w:p>
    <w:p w:rsidRPr="00D627E5" w:rsidR="00D87E44" w:rsidP="00D226F4" w:rsidRDefault="00D87E44" w14:paraId="15457707" w14:textId="77777777">
      <w:pPr>
        <w:keepNext/>
        <w:spacing w:line="240" w:lineRule="auto"/>
        <w:jc w:val="both"/>
        <w:rPr>
          <w:b/>
          <w:bCs/>
          <w:noProof/>
          <w:color w:val="000000"/>
          <w:szCs w:val="24"/>
          <w:lang w:val="en-IE"/>
        </w:rPr>
      </w:pPr>
      <w:r w:rsidRPr="00D627E5">
        <w:rPr>
          <w:b/>
          <w:bCs/>
          <w:noProof/>
          <w:color w:val="000000"/>
          <w:szCs w:val="24"/>
          <w:lang w:val="en-IE"/>
        </w:rPr>
        <w:lastRenderedPageBreak/>
        <w:t xml:space="preserve">Investment 2: </w:t>
      </w:r>
      <w:r w:rsidRPr="0010754C">
        <w:rPr>
          <w:b/>
          <w:bCs/>
          <w:noProof/>
          <w:color w:val="000000"/>
          <w:szCs w:val="24"/>
          <w:lang w:val="en-IE"/>
        </w:rPr>
        <w:t>Development of core</w:t>
      </w:r>
      <w:r w:rsidRPr="00D627E5">
        <w:rPr>
          <w:b/>
          <w:bCs/>
          <w:noProof/>
          <w:color w:val="000000"/>
          <w:szCs w:val="24"/>
          <w:lang w:val="en-IE"/>
        </w:rPr>
        <w:t xml:space="preserve"> registries and facilities for eGovernment</w:t>
      </w:r>
    </w:p>
    <w:p w:rsidRPr="00D627E5" w:rsidR="00D87E44" w:rsidP="00D226F4" w:rsidRDefault="00D87E44" w14:paraId="15457708" w14:textId="77777777">
      <w:pPr>
        <w:spacing w:line="240" w:lineRule="auto"/>
        <w:jc w:val="both"/>
        <w:rPr>
          <w:noProof/>
          <w:color w:val="000000" w:themeColor="text1"/>
          <w:lang w:val="en-IE"/>
        </w:rPr>
      </w:pPr>
      <w:r w:rsidRPr="67FAC61F">
        <w:rPr>
          <w:noProof/>
          <w:color w:val="000000" w:themeColor="text1"/>
          <w:lang w:val="en-IE"/>
        </w:rPr>
        <w:t xml:space="preserve">The </w:t>
      </w:r>
      <w:r>
        <w:rPr>
          <w:noProof/>
          <w:color w:val="000000" w:themeColor="text1"/>
          <w:lang w:val="en-IE"/>
        </w:rPr>
        <w:t xml:space="preserve">objective of this measure is to support </w:t>
      </w:r>
      <w:r w:rsidRPr="00E05E06">
        <w:rPr>
          <w:noProof/>
          <w:color w:val="000000" w:themeColor="text1"/>
        </w:rPr>
        <w:t xml:space="preserve">the development of digital infrastructure for </w:t>
      </w:r>
      <w:r>
        <w:rPr>
          <w:noProof/>
          <w:color w:val="000000" w:themeColor="text1"/>
        </w:rPr>
        <w:t xml:space="preserve">the </w:t>
      </w:r>
      <w:r w:rsidRPr="00E05E06">
        <w:rPr>
          <w:noProof/>
          <w:color w:val="000000" w:themeColor="text1"/>
        </w:rPr>
        <w:t>public administration</w:t>
      </w:r>
      <w:r w:rsidRPr="67FAC61F">
        <w:rPr>
          <w:noProof/>
          <w:color w:val="000000" w:themeColor="text1"/>
          <w:lang w:val="en-IE"/>
        </w:rPr>
        <w:t xml:space="preserve">. </w:t>
      </w:r>
      <w:r>
        <w:rPr>
          <w:noProof/>
          <w:color w:val="000000" w:themeColor="text1"/>
          <w:lang w:val="en-IE"/>
        </w:rPr>
        <w:t xml:space="preserve">This measure consists of a </w:t>
      </w:r>
      <w:r w:rsidRPr="67FAC61F">
        <w:rPr>
          <w:noProof/>
          <w:color w:val="000000" w:themeColor="text1"/>
          <w:lang w:val="en-IE"/>
        </w:rPr>
        <w:t>new data centre</w:t>
      </w:r>
      <w:r>
        <w:rPr>
          <w:noProof/>
          <w:color w:val="000000" w:themeColor="text1"/>
          <w:lang w:val="en-IE"/>
        </w:rPr>
        <w:t>,</w:t>
      </w:r>
      <w:r w:rsidRPr="67FAC61F">
        <w:rPr>
          <w:noProof/>
          <w:color w:val="000000" w:themeColor="text1"/>
          <w:lang w:val="en-IE"/>
        </w:rPr>
        <w:t xml:space="preserve"> eGovernment cloud for computing services and </w:t>
      </w:r>
      <w:r>
        <w:rPr>
          <w:noProof/>
          <w:color w:val="000000" w:themeColor="text1"/>
          <w:lang w:val="en-IE"/>
        </w:rPr>
        <w:t xml:space="preserve">projects </w:t>
      </w:r>
      <w:r w:rsidRPr="008C7FAF">
        <w:rPr>
          <w:noProof/>
          <w:color w:val="000000" w:themeColor="text1"/>
          <w:lang w:val="en-IE"/>
        </w:rPr>
        <w:t>upgrading core registries and facilities for eGovernment</w:t>
      </w:r>
      <w:r>
        <w:rPr>
          <w:noProof/>
          <w:color w:val="000000" w:themeColor="text1"/>
          <w:lang w:val="en-IE"/>
        </w:rPr>
        <w:t>,</w:t>
      </w:r>
      <w:r w:rsidRPr="00D23162">
        <w:rPr>
          <w:noProof/>
          <w:color w:val="000000" w:themeColor="text1"/>
          <w:lang w:val="en-IE"/>
        </w:rPr>
        <w:t xml:space="preserve"> </w:t>
      </w:r>
      <w:r w:rsidRPr="5C6A9B97">
        <w:rPr>
          <w:noProof/>
          <w:color w:val="000000" w:themeColor="text1"/>
          <w:lang w:val="en-IE"/>
        </w:rPr>
        <w:t>which may include but are</w:t>
      </w:r>
      <w:r>
        <w:rPr>
          <w:noProof/>
          <w:color w:val="000000" w:themeColor="text1"/>
          <w:lang w:val="en-IE"/>
        </w:rPr>
        <w:t xml:space="preserve"> not limited to</w:t>
      </w:r>
      <w:r w:rsidRPr="00054A2A">
        <w:rPr>
          <w:noProof/>
          <w:color w:val="000000" w:themeColor="text1"/>
          <w:lang w:val="en-IE"/>
        </w:rPr>
        <w:t xml:space="preserve"> </w:t>
      </w:r>
      <w:r>
        <w:rPr>
          <w:noProof/>
          <w:color w:val="000000" w:themeColor="text1"/>
          <w:lang w:val="en-IE"/>
        </w:rPr>
        <w:t>en</w:t>
      </w:r>
      <w:r w:rsidRPr="00891849">
        <w:rPr>
          <w:noProof/>
          <w:color w:val="000000" w:themeColor="text1"/>
        </w:rPr>
        <w:t>hancing network capacity and cybersecurity,</w:t>
      </w:r>
      <w:r>
        <w:rPr>
          <w:noProof/>
          <w:color w:val="000000" w:themeColor="text1"/>
        </w:rPr>
        <w:t xml:space="preserve"> upgrading </w:t>
      </w:r>
      <w:r w:rsidRPr="00891849">
        <w:rPr>
          <w:noProof/>
          <w:color w:val="000000" w:themeColor="text1"/>
        </w:rPr>
        <w:t>the National Certification Authority, expanding data centres</w:t>
      </w:r>
      <w:r w:rsidRPr="17F13AEE">
        <w:rPr>
          <w:noProof/>
          <w:color w:val="000000" w:themeColor="text1"/>
        </w:rPr>
        <w:t xml:space="preserve"> and storage</w:t>
      </w:r>
      <w:r w:rsidRPr="00891849">
        <w:rPr>
          <w:noProof/>
          <w:color w:val="000000" w:themeColor="text1"/>
        </w:rPr>
        <w:t xml:space="preserve">, upgrading key registries, improving the National Identity and Authentication Point, and developing interoperable systems and interfaces. </w:t>
      </w:r>
    </w:p>
    <w:p w:rsidR="00D87E44" w:rsidRDefault="00D87E44" w14:paraId="15457709" w14:textId="77777777">
      <w:pPr>
        <w:spacing w:before="0" w:after="160" w:line="259" w:lineRule="auto"/>
        <w:rPr>
          <w:b/>
          <w:noProof/>
          <w:color w:val="000000"/>
          <w:szCs w:val="24"/>
          <w:lang w:val="en-IE"/>
        </w:rPr>
      </w:pPr>
      <w:r>
        <w:rPr>
          <w:b/>
          <w:noProof/>
          <w:color w:val="000000"/>
          <w:szCs w:val="24"/>
          <w:lang w:val="en-IE"/>
        </w:rPr>
        <w:br w:type="page"/>
      </w:r>
    </w:p>
    <w:p w:rsidRPr="00D627E5" w:rsidR="00D87E44" w:rsidP="00D226F4" w:rsidRDefault="00D87E44" w14:paraId="1545770A" w14:textId="77777777">
      <w:pPr>
        <w:spacing w:line="240" w:lineRule="auto"/>
        <w:jc w:val="both"/>
        <w:rPr>
          <w:b/>
          <w:noProof/>
          <w:color w:val="000000"/>
          <w:szCs w:val="24"/>
          <w:lang w:val="en-IE"/>
        </w:rPr>
      </w:pPr>
      <w:r w:rsidRPr="00D627E5">
        <w:rPr>
          <w:b/>
          <w:noProof/>
          <w:color w:val="000000"/>
          <w:szCs w:val="24"/>
          <w:lang w:val="en-IE"/>
        </w:rPr>
        <w:lastRenderedPageBreak/>
        <w:t>Investment 3: Cybersecurity</w:t>
      </w:r>
    </w:p>
    <w:p w:rsidRPr="00D627E5" w:rsidR="00D87E44" w:rsidP="00D226F4" w:rsidRDefault="00D87E44" w14:paraId="1545770B" w14:textId="77777777">
      <w:pPr>
        <w:spacing w:line="240" w:lineRule="auto"/>
        <w:jc w:val="both"/>
        <w:rPr>
          <w:noProof/>
          <w:color w:val="000000"/>
          <w:lang w:val="en-IE"/>
        </w:rPr>
      </w:pPr>
      <w:r w:rsidRPr="4B1CB921">
        <w:rPr>
          <w:noProof/>
          <w:color w:val="000000" w:themeColor="text1"/>
          <w:lang w:val="en-IE"/>
        </w:rPr>
        <w:t>The investment aim</w:t>
      </w:r>
      <w:r>
        <w:rPr>
          <w:noProof/>
          <w:color w:val="000000" w:themeColor="text1"/>
          <w:lang w:val="en-IE"/>
        </w:rPr>
        <w:t>s</w:t>
      </w:r>
      <w:r w:rsidRPr="4B1CB921">
        <w:rPr>
          <w:noProof/>
          <w:color w:val="000000" w:themeColor="text1"/>
          <w:lang w:val="en-IE"/>
        </w:rPr>
        <w:t xml:space="preserve"> at increasing the cybersecurity of the public administration and healthcare ICT infrastructure and information systems</w:t>
      </w:r>
      <w:r w:rsidRPr="63503832">
        <w:rPr>
          <w:noProof/>
          <w:color w:val="000000" w:themeColor="text1"/>
          <w:lang w:val="en-IE"/>
        </w:rPr>
        <w:t>.</w:t>
      </w:r>
      <w:r w:rsidRPr="4B1CB921">
        <w:rPr>
          <w:noProof/>
          <w:color w:val="000000" w:themeColor="text1"/>
          <w:lang w:val="en-IE"/>
        </w:rPr>
        <w:t xml:space="preserve"> </w:t>
      </w:r>
      <w:r w:rsidRPr="00FF1320">
        <w:rPr>
          <w:lang w:val="en-IE"/>
        </w:rPr>
        <w:t xml:space="preserve">The measure </w:t>
      </w:r>
      <w:r w:rsidRPr="7F23FC8F">
        <w:rPr>
          <w:rFonts w:eastAsia="Times New Roman"/>
          <w:noProof/>
          <w:lang w:val="en-IE"/>
        </w:rPr>
        <w:t>includes</w:t>
      </w:r>
      <w:r w:rsidRPr="00FF1320">
        <w:rPr>
          <w:lang w:val="en-IE"/>
        </w:rPr>
        <w:t xml:space="preserve"> projects </w:t>
      </w:r>
      <w:r w:rsidRPr="7F23FC8F">
        <w:rPr>
          <w:rFonts w:eastAsia="Times New Roman"/>
          <w:noProof/>
          <w:lang w:val="en-IE"/>
        </w:rPr>
        <w:t>focused on (</w:t>
      </w:r>
      <w:proofErr w:type="spellStart"/>
      <w:r w:rsidRPr="00FF1320">
        <w:rPr>
          <w:lang w:val="en-IE"/>
        </w:rPr>
        <w:t>i</w:t>
      </w:r>
      <w:proofErr w:type="spellEnd"/>
      <w:r w:rsidRPr="00FF1320">
        <w:rPr>
          <w:lang w:val="en-IE"/>
        </w:rPr>
        <w:t xml:space="preserve">) </w:t>
      </w:r>
      <w:r w:rsidRPr="7F23FC8F">
        <w:rPr>
          <w:rFonts w:eastAsia="Times New Roman"/>
          <w:noProof/>
          <w:lang w:val="en-IE"/>
        </w:rPr>
        <w:t>modernising</w:t>
      </w:r>
      <w:r w:rsidRPr="00FF1320">
        <w:rPr>
          <w:lang w:val="en-IE"/>
        </w:rPr>
        <w:t xml:space="preserve"> and </w:t>
      </w:r>
      <w:r w:rsidRPr="7F23FC8F">
        <w:rPr>
          <w:rFonts w:eastAsia="Times New Roman"/>
          <w:noProof/>
          <w:lang w:val="en-IE"/>
        </w:rPr>
        <w:t xml:space="preserve">expanding the </w:t>
      </w:r>
      <w:r w:rsidRPr="00FF1320">
        <w:rPr>
          <w:lang w:val="en-IE"/>
        </w:rPr>
        <w:t xml:space="preserve">capacity </w:t>
      </w:r>
      <w:r w:rsidRPr="7F23FC8F">
        <w:rPr>
          <w:rFonts w:eastAsia="Times New Roman"/>
          <w:noProof/>
          <w:lang w:val="en-IE"/>
        </w:rPr>
        <w:t xml:space="preserve">of the police </w:t>
      </w:r>
      <w:r w:rsidRPr="00FF1320">
        <w:rPr>
          <w:lang w:val="en-IE"/>
        </w:rPr>
        <w:t>to detect, identify and respond to security and ICT incidents</w:t>
      </w:r>
      <w:r w:rsidRPr="7F23FC8F">
        <w:rPr>
          <w:rFonts w:eastAsia="Times New Roman"/>
          <w:noProof/>
          <w:lang w:val="en-IE"/>
        </w:rPr>
        <w:t>,</w:t>
      </w:r>
      <w:r w:rsidRPr="00FF1320">
        <w:rPr>
          <w:lang w:val="en-IE"/>
        </w:rPr>
        <w:t xml:space="preserve"> and </w:t>
      </w:r>
      <w:r w:rsidRPr="7F23FC8F">
        <w:rPr>
          <w:rFonts w:eastAsia="Times New Roman"/>
          <w:noProof/>
          <w:lang w:val="en-IE"/>
        </w:rPr>
        <w:t>(</w:t>
      </w:r>
      <w:r w:rsidRPr="00FF1320">
        <w:rPr>
          <w:lang w:val="en-IE"/>
        </w:rPr>
        <w:t xml:space="preserve">ii) </w:t>
      </w:r>
      <w:bookmarkStart w:name="_Hlk213424623" w:id="5"/>
      <w:r w:rsidRPr="7F23FC8F">
        <w:rPr>
          <w:rFonts w:eastAsia="Times New Roman"/>
          <w:noProof/>
          <w:lang w:val="en-IE"/>
        </w:rPr>
        <w:t xml:space="preserve">enhancing </w:t>
      </w:r>
      <w:r w:rsidRPr="00FF1320">
        <w:rPr>
          <w:lang w:val="en-IE"/>
        </w:rPr>
        <w:t>the cybersecurity of information systems.</w:t>
      </w:r>
      <w:bookmarkEnd w:id="5"/>
    </w:p>
    <w:p w:rsidRPr="00D627E5" w:rsidR="00D87E44" w:rsidP="00D226F4" w:rsidRDefault="00D87E44" w14:paraId="1545770C" w14:textId="77777777">
      <w:pPr>
        <w:spacing w:line="240" w:lineRule="auto"/>
        <w:jc w:val="both"/>
        <w:rPr>
          <w:b/>
          <w:noProof/>
          <w:color w:val="000000"/>
          <w:szCs w:val="24"/>
          <w:lang w:val="en-IE"/>
        </w:rPr>
      </w:pPr>
      <w:r w:rsidRPr="00D627E5">
        <w:rPr>
          <w:b/>
          <w:noProof/>
          <w:color w:val="000000"/>
          <w:szCs w:val="24"/>
          <w:lang w:val="en-IE"/>
        </w:rPr>
        <w:t>Reform 1: Centres of competence for supporting eGovernment, Cybersecurity and eHealth</w:t>
      </w:r>
    </w:p>
    <w:p w:rsidRPr="00D627E5" w:rsidR="00D87E44" w:rsidP="00D226F4" w:rsidRDefault="00D87E44" w14:paraId="1545770D" w14:textId="77777777">
      <w:pPr>
        <w:spacing w:line="240" w:lineRule="auto"/>
        <w:jc w:val="both"/>
        <w:rPr>
          <w:noProof/>
          <w:color w:val="000000"/>
          <w:lang w:val="en-IE"/>
        </w:rPr>
      </w:pPr>
      <w:r w:rsidRPr="00D627E5">
        <w:rPr>
          <w:noProof/>
          <w:color w:val="000000" w:themeColor="text1"/>
          <w:lang w:val="en-IE"/>
        </w:rPr>
        <w:t xml:space="preserve">The </w:t>
      </w:r>
      <w:r>
        <w:rPr>
          <w:noProof/>
          <w:color w:val="000000" w:themeColor="text1"/>
          <w:lang w:val="en-IE"/>
        </w:rPr>
        <w:t xml:space="preserve">objective of this measure is to </w:t>
      </w:r>
      <w:r w:rsidRPr="00D627E5">
        <w:rPr>
          <w:noProof/>
          <w:color w:val="000000" w:themeColor="text1"/>
          <w:lang w:val="en-IE"/>
        </w:rPr>
        <w:t xml:space="preserve">provide consulting services and common standards across public administration to ensure the coherent implementation of measures </w:t>
      </w:r>
      <w:r>
        <w:rPr>
          <w:noProof/>
          <w:color w:val="000000" w:themeColor="text1"/>
          <w:lang w:val="en-IE"/>
        </w:rPr>
        <w:t xml:space="preserve">under </w:t>
      </w:r>
      <w:r w:rsidRPr="00D627E5">
        <w:rPr>
          <w:noProof/>
          <w:color w:val="000000" w:themeColor="text1"/>
          <w:lang w:val="en-IE"/>
        </w:rPr>
        <w:t>components 1.1 and 1.2. This</w:t>
      </w:r>
      <w:r>
        <w:rPr>
          <w:noProof/>
          <w:color w:val="000000" w:themeColor="text1"/>
          <w:lang w:val="en-IE"/>
        </w:rPr>
        <w:t xml:space="preserve"> measure consists in establishing</w:t>
      </w:r>
      <w:r w:rsidRPr="00D627E5">
        <w:rPr>
          <w:noProof/>
          <w:color w:val="000000" w:themeColor="text1"/>
          <w:lang w:val="en-IE"/>
        </w:rPr>
        <w:t xml:space="preserve"> three competence centres (Cybersecurity-; eHealth-; eGovernment Competence Centres) in the public administration.</w:t>
      </w:r>
    </w:p>
    <w:p w:rsidRPr="00D627E5" w:rsidR="00D87E44" w:rsidP="00D226F4" w:rsidRDefault="00D87E44" w14:paraId="1545770E" w14:textId="77777777">
      <w:pPr>
        <w:spacing w:line="240" w:lineRule="auto"/>
        <w:jc w:val="both"/>
        <w:rPr>
          <w:b/>
          <w:noProof/>
          <w:color w:val="000000"/>
          <w:lang w:val="en-IE"/>
        </w:rPr>
      </w:pPr>
      <w:r w:rsidRPr="00D627E5" w:rsidDel="00F83C02">
        <w:rPr>
          <w:b/>
          <w:noProof/>
          <w:color w:val="000000" w:themeColor="text1"/>
          <w:lang w:val="en-IE"/>
        </w:rPr>
        <w:t>Reform 2</w:t>
      </w:r>
      <w:r w:rsidRPr="00D627E5">
        <w:rPr>
          <w:b/>
          <w:noProof/>
          <w:color w:val="000000" w:themeColor="text1"/>
          <w:lang w:val="en-IE"/>
        </w:rPr>
        <w:t xml:space="preserve">: </w:t>
      </w:r>
      <w:r w:rsidRPr="0010754C">
        <w:rPr>
          <w:b/>
          <w:noProof/>
          <w:color w:val="000000" w:themeColor="text1"/>
          <w:lang w:val="en-IE"/>
        </w:rPr>
        <w:t>Development of systems supporting eHealth</w:t>
      </w:r>
    </w:p>
    <w:p w:rsidRPr="00FF1320" w:rsidR="00D87E44" w:rsidP="00D226F4" w:rsidRDefault="00D87E44" w14:paraId="1545770F" w14:textId="77777777">
      <w:pPr>
        <w:spacing w:line="240" w:lineRule="auto"/>
        <w:jc w:val="both"/>
        <w:rPr>
          <w:color w:val="000000" w:themeColor="text1"/>
          <w:lang w:val="en-IE"/>
        </w:rPr>
      </w:pPr>
      <w:r w:rsidRPr="2F543682">
        <w:rPr>
          <w:noProof/>
          <w:color w:val="000000" w:themeColor="text1"/>
          <w:lang w:val="en-IE"/>
        </w:rPr>
        <w:t xml:space="preserve">The </w:t>
      </w:r>
      <w:r>
        <w:rPr>
          <w:noProof/>
          <w:color w:val="000000" w:themeColor="text1"/>
          <w:lang w:val="en-IE"/>
        </w:rPr>
        <w:t xml:space="preserve">objective of this measure is </w:t>
      </w:r>
      <w:r w:rsidRPr="2F543682">
        <w:rPr>
          <w:noProof/>
          <w:color w:val="000000" w:themeColor="text1"/>
          <w:lang w:val="en-IE"/>
        </w:rPr>
        <w:t xml:space="preserve">to accelerate and facilitate the creation of a coherent eHealth </w:t>
      </w:r>
      <w:r w:rsidRPr="63503832">
        <w:rPr>
          <w:noProof/>
          <w:color w:val="000000" w:themeColor="text1"/>
          <w:lang w:val="en-IE"/>
        </w:rPr>
        <w:t>infrastructure</w:t>
      </w:r>
      <w:r w:rsidRPr="2F543682">
        <w:rPr>
          <w:noProof/>
          <w:color w:val="000000" w:themeColor="text1"/>
          <w:lang w:val="en-IE"/>
        </w:rPr>
        <w:t xml:space="preserve">. The measure </w:t>
      </w:r>
      <w:r>
        <w:rPr>
          <w:noProof/>
          <w:color w:val="000000" w:themeColor="text1"/>
          <w:lang w:val="en-IE"/>
        </w:rPr>
        <w:t>consists in e</w:t>
      </w:r>
      <w:r w:rsidRPr="00990AC4">
        <w:rPr>
          <w:noProof/>
          <w:color w:val="000000" w:themeColor="text1"/>
          <w:lang w:val="en-IE"/>
        </w:rPr>
        <w:t>xten</w:t>
      </w:r>
      <w:r>
        <w:rPr>
          <w:noProof/>
          <w:color w:val="000000" w:themeColor="text1"/>
          <w:lang w:val="en-IE"/>
        </w:rPr>
        <w:t>ding</w:t>
      </w:r>
      <w:r w:rsidRPr="00990AC4">
        <w:rPr>
          <w:noProof/>
          <w:color w:val="000000" w:themeColor="text1"/>
          <w:lang w:val="en-IE"/>
        </w:rPr>
        <w:t xml:space="preserve"> Shared Drug Recording (ePrescription) to narcotics and psychotropic substances</w:t>
      </w:r>
      <w:r>
        <w:rPr>
          <w:noProof/>
          <w:color w:val="000000" w:themeColor="text1"/>
          <w:lang w:val="en-IE"/>
        </w:rPr>
        <w:t xml:space="preserve"> and </w:t>
      </w:r>
      <w:r w:rsidRPr="00990AC4">
        <w:rPr>
          <w:noProof/>
          <w:color w:val="000000" w:themeColor="text1"/>
          <w:lang w:val="en-IE"/>
        </w:rPr>
        <w:t>electronic vouchers for medical devices</w:t>
      </w:r>
      <w:r>
        <w:rPr>
          <w:noProof/>
          <w:color w:val="000000" w:themeColor="text1"/>
          <w:lang w:val="en-IE"/>
        </w:rPr>
        <w:t xml:space="preserve">, </w:t>
      </w:r>
      <w:r w:rsidRPr="63503832">
        <w:rPr>
          <w:noProof/>
          <w:color w:val="000000" w:themeColor="text1"/>
          <w:lang w:val="en-IE"/>
        </w:rPr>
        <w:t xml:space="preserve">as well as projects consolidating </w:t>
      </w:r>
      <w:r>
        <w:rPr>
          <w:noProof/>
          <w:color w:val="000000" w:themeColor="text1"/>
          <w:lang w:val="en-IE"/>
        </w:rPr>
        <w:t xml:space="preserve">and </w:t>
      </w:r>
      <w:r w:rsidRPr="63503832">
        <w:rPr>
          <w:noProof/>
          <w:color w:val="000000" w:themeColor="text1"/>
          <w:lang w:val="en-IE"/>
        </w:rPr>
        <w:t xml:space="preserve">improving </w:t>
      </w:r>
      <w:r w:rsidRPr="008048CB">
        <w:rPr>
          <w:noProof/>
          <w:color w:val="000000" w:themeColor="text1"/>
          <w:lang w:val="en-IE"/>
        </w:rPr>
        <w:t xml:space="preserve">electronic healthcare </w:t>
      </w:r>
      <w:r w:rsidRPr="63503832">
        <w:rPr>
          <w:noProof/>
          <w:color w:val="000000" w:themeColor="text1"/>
          <w:lang w:val="en-IE"/>
        </w:rPr>
        <w:t>infrastructure</w:t>
      </w:r>
      <w:r>
        <w:rPr>
          <w:noProof/>
          <w:color w:val="000000" w:themeColor="text1"/>
          <w:lang w:val="en-IE"/>
        </w:rPr>
        <w:t>, which may</w:t>
      </w:r>
      <w:r w:rsidRPr="63503832">
        <w:rPr>
          <w:noProof/>
          <w:color w:val="000000" w:themeColor="text1"/>
          <w:lang w:val="en-IE"/>
        </w:rPr>
        <w:t xml:space="preserve"> includ</w:t>
      </w:r>
      <w:r>
        <w:rPr>
          <w:noProof/>
          <w:color w:val="000000" w:themeColor="text1"/>
          <w:lang w:val="en-IE"/>
        </w:rPr>
        <w:t>e</w:t>
      </w:r>
      <w:r w:rsidRPr="63503832">
        <w:rPr>
          <w:noProof/>
          <w:color w:val="000000" w:themeColor="text1"/>
          <w:lang w:val="en-IE"/>
        </w:rPr>
        <w:t xml:space="preserve"> but</w:t>
      </w:r>
      <w:r>
        <w:rPr>
          <w:noProof/>
          <w:color w:val="000000" w:themeColor="text1"/>
          <w:lang w:val="en-IE"/>
        </w:rPr>
        <w:t xml:space="preserve"> is</w:t>
      </w:r>
      <w:r w:rsidRPr="63503832">
        <w:rPr>
          <w:noProof/>
          <w:color w:val="000000" w:themeColor="text1"/>
          <w:lang w:val="en-IE"/>
        </w:rPr>
        <w:t xml:space="preserve"> not limited to the training of healthcare professionals in the use of eHealth systems or educational activities. </w:t>
      </w:r>
    </w:p>
    <w:p w:rsidRPr="00FF1320" w:rsidR="00D87E44" w:rsidP="00D226F4" w:rsidRDefault="00D87E44" w14:paraId="15457710" w14:textId="77777777">
      <w:pPr>
        <w:keepNext/>
        <w:spacing w:line="240" w:lineRule="auto"/>
        <w:jc w:val="both"/>
        <w:rPr>
          <w:lang w:val="en-IE"/>
        </w:rPr>
      </w:pPr>
      <w:r w:rsidRPr="008C7FAF">
        <w:rPr>
          <w:b/>
          <w:noProof/>
          <w:color w:val="000000" w:themeColor="text1"/>
          <w:lang w:val="en-IE"/>
        </w:rPr>
        <w:t xml:space="preserve">Investment </w:t>
      </w:r>
      <w:r w:rsidRPr="008C7FAF" w:rsidDel="00F83C02">
        <w:rPr>
          <w:b/>
          <w:noProof/>
          <w:color w:val="000000" w:themeColor="text1"/>
          <w:lang w:val="en-IE"/>
        </w:rPr>
        <w:t>4</w:t>
      </w:r>
      <w:r w:rsidRPr="008C7FAF">
        <w:rPr>
          <w:b/>
          <w:noProof/>
          <w:color w:val="000000" w:themeColor="text1"/>
          <w:lang w:val="en-IE"/>
        </w:rPr>
        <w:t>: Creating the conditions for digital justice</w:t>
      </w:r>
      <w:r w:rsidRPr="762B9360">
        <w:rPr>
          <w:rFonts w:eastAsia="Times New Roman"/>
          <w:noProof/>
          <w:color w:val="004300"/>
          <w:sz w:val="18"/>
          <w:szCs w:val="18"/>
          <w:lang w:val="en-IE"/>
        </w:rPr>
        <w:t xml:space="preserve"> </w:t>
      </w:r>
    </w:p>
    <w:p w:rsidRPr="00D627E5" w:rsidR="00D87E44" w:rsidP="00D226F4" w:rsidRDefault="00D87E44" w14:paraId="15457711" w14:textId="77777777">
      <w:pPr>
        <w:spacing w:line="240" w:lineRule="auto"/>
        <w:jc w:val="both"/>
        <w:rPr>
          <w:noProof/>
          <w:color w:val="000000"/>
          <w:szCs w:val="24"/>
          <w:lang w:val="en-IE"/>
        </w:rPr>
      </w:pPr>
      <w:r w:rsidRPr="007F7E74">
        <w:rPr>
          <w:noProof/>
          <w:color w:val="000000" w:themeColor="text1"/>
          <w:lang w:val="en-IE"/>
        </w:rPr>
        <w:t xml:space="preserve">The investment aims to modernise the working environment of the judicial system and enable the </w:t>
      </w:r>
      <w:r w:rsidRPr="007F7E74">
        <w:rPr>
          <w:noProof/>
          <w:color w:val="000000" w:themeColor="text1"/>
          <w:lang w:val="en-IE"/>
        </w:rPr>
        <w:t>continuation of work in times of limited physical contacts, thereby increasing the resilience of the national justice system. The investment consists of three interconnected projects, which shall include i) the analysis of the use of data and mapping the needs of digitalisation in the justice sector, along with the deployment of a data warehouse and increased storage capacity, ii) the capacity increase of infrastructure enabling remote access and iii) increasing the number of equipped videoconferencing room</w:t>
      </w:r>
      <w:r w:rsidRPr="007F7E74">
        <w:rPr>
          <w:noProof/>
          <w:color w:val="000000" w:themeColor="text1"/>
          <w:lang w:val="en-IE"/>
        </w:rPr>
        <w:t>s for the judiciary.</w:t>
      </w:r>
    </w:p>
    <w:p w:rsidRPr="00D627E5" w:rsidR="00D87E44" w:rsidP="00D226F4" w:rsidRDefault="00D87E44" w14:paraId="15457712" w14:textId="77777777">
      <w:pPr>
        <w:pBdr>
          <w:top w:val="nil"/>
          <w:left w:val="nil"/>
          <w:bottom w:val="nil"/>
          <w:right w:val="nil"/>
          <w:between w:val="nil"/>
        </w:pBdr>
        <w:spacing w:line="240" w:lineRule="auto"/>
        <w:rPr>
          <w:noProof/>
          <w:color w:val="000000" w:themeColor="text1"/>
          <w:lang w:val="en-IE"/>
        </w:rPr>
      </w:pPr>
      <w:r w:rsidRPr="008759AB">
        <w:rPr>
          <w:noProof/>
          <w:color w:val="000000" w:themeColor="text1"/>
          <w:lang w:val="en-IE"/>
        </w:rPr>
        <w:t>The investment shall be implemented by 31 December 2024.</w:t>
      </w:r>
    </w:p>
    <w:p w:rsidR="00D87E44" w:rsidP="00D226F4" w:rsidRDefault="00D87E44" w14:paraId="15457713" w14:textId="77777777">
      <w:pPr>
        <w:pBdr>
          <w:top w:val="nil"/>
          <w:left w:val="nil"/>
          <w:bottom w:val="nil"/>
          <w:right w:val="nil"/>
          <w:between w:val="nil"/>
        </w:pBdr>
        <w:spacing w:line="240" w:lineRule="auto"/>
        <w:rPr>
          <w:rFonts w:eastAsia="Times New Roman"/>
          <w:b/>
          <w:bCs/>
          <w:noProof/>
          <w:szCs w:val="24"/>
          <w:lang w:val="en-IE"/>
        </w:rPr>
      </w:pPr>
      <w:r w:rsidRPr="008227AE">
        <w:rPr>
          <w:rFonts w:eastAsia="Times New Roman"/>
          <w:b/>
          <w:bCs/>
          <w:noProof/>
          <w:szCs w:val="24"/>
          <w:lang w:val="en-IE"/>
        </w:rPr>
        <w:t xml:space="preserve">Investment 6: Development of information systems in social area </w:t>
      </w:r>
    </w:p>
    <w:p w:rsidR="00D87E44" w:rsidP="00D226F4" w:rsidRDefault="00D87E44" w14:paraId="15457714" w14:textId="77777777">
      <w:pPr>
        <w:pBdr>
          <w:top w:val="nil"/>
          <w:left w:val="nil"/>
          <w:bottom w:val="nil"/>
          <w:right w:val="nil"/>
          <w:between w:val="nil"/>
        </w:pBdr>
        <w:spacing w:line="240" w:lineRule="auto"/>
        <w:rPr>
          <w:rFonts w:eastAsia="Times New Roman"/>
          <w:noProof/>
          <w:lang w:val="en-IE"/>
        </w:rPr>
      </w:pPr>
      <w:r w:rsidRPr="0AFC0E31">
        <w:rPr>
          <w:rFonts w:eastAsia="Times New Roman"/>
          <w:noProof/>
          <w:lang w:val="en-IE"/>
        </w:rPr>
        <w:t>The</w:t>
      </w:r>
      <w:r>
        <w:rPr>
          <w:rFonts w:eastAsia="Times New Roman"/>
          <w:noProof/>
          <w:lang w:val="en-IE"/>
        </w:rPr>
        <w:t xml:space="preserve"> objective of this measure is </w:t>
      </w:r>
      <w:r w:rsidRPr="0AFC0E31">
        <w:rPr>
          <w:rFonts w:eastAsia="Times New Roman"/>
          <w:noProof/>
          <w:lang w:val="en-IE"/>
        </w:rPr>
        <w:t>to modernise the information systems of the public administration in the area of social policy</w:t>
      </w:r>
      <w:r>
        <w:rPr>
          <w:rFonts w:eastAsia="Times New Roman"/>
          <w:noProof/>
          <w:lang w:val="en-IE"/>
        </w:rPr>
        <w:t>. This measure consists in</w:t>
      </w:r>
      <w:r w:rsidRPr="0AFC0E31">
        <w:rPr>
          <w:rFonts w:eastAsia="Times New Roman"/>
          <w:noProof/>
          <w:lang w:val="en-IE"/>
        </w:rPr>
        <w:t xml:space="preserve"> upgrading at least six information systems</w:t>
      </w:r>
      <w:r>
        <w:rPr>
          <w:rFonts w:eastAsia="Times New Roman"/>
          <w:noProof/>
          <w:lang w:val="en-IE"/>
        </w:rPr>
        <w:t>.</w:t>
      </w:r>
    </w:p>
    <w:p w:rsidR="00D87E44" w:rsidP="00D226F4" w:rsidRDefault="00D87E44" w14:paraId="15457715" w14:textId="77777777">
      <w:pPr>
        <w:pBdr>
          <w:top w:val="nil"/>
          <w:left w:val="nil"/>
          <w:bottom w:val="nil"/>
          <w:right w:val="nil"/>
          <w:between w:val="nil"/>
        </w:pBdr>
        <w:spacing w:line="240" w:lineRule="auto"/>
        <w:rPr>
          <w:rFonts w:eastAsia="Times New Roman"/>
          <w:noProof/>
          <w:szCs w:val="24"/>
          <w:lang w:val="en-IE"/>
        </w:rPr>
      </w:pPr>
    </w:p>
    <w:p w:rsidR="00D87E44" w:rsidP="00D226F4" w:rsidRDefault="00D87E44" w14:paraId="15457716" w14:textId="77777777">
      <w:pPr>
        <w:pBdr>
          <w:top w:val="nil"/>
          <w:left w:val="nil"/>
          <w:bottom w:val="nil"/>
          <w:right w:val="nil"/>
          <w:between w:val="nil"/>
        </w:pBdr>
        <w:spacing w:line="240" w:lineRule="auto"/>
        <w:rPr>
          <w:noProof/>
        </w:rPr>
        <w:sectPr w:rsidR="00C16C1F" w:rsidSect="00D226F4">
          <w:headerReference w:type="even" r:id="R41c9adfdf45946da"/>
          <w:headerReference w:type="default" r:id="R947352cd597b4170"/>
          <w:footerReference w:type="even" r:id="R33d5d207ad4f4458"/>
          <w:footerReference w:type="default" r:id="R93ec7760fea446f2"/>
          <w:headerReference w:type="first" r:id="R8cc231dc7be7465c"/>
          <w:footerReference w:type="first" r:id="R9fed168def7a4c16"/>
          <w:pgSz w:w="11907" w:h="16839"/>
          <w:pgMar w:top="1134" w:right="1134" w:bottom="1134" w:left="1134" w:header="567" w:footer="567" w:gutter="0"/>
          <w:cols w:space="720"/>
          <w:docGrid w:linePitch="326"/>
        </w:sectPr>
      </w:pPr>
    </w:p>
    <w:p w:rsidRPr="00D627E5" w:rsidR="00D87E44" w:rsidP="00D226F4" w:rsidRDefault="00D87E44" w14:paraId="15457717" w14:textId="77777777">
      <w:pPr>
        <w:pBdr>
          <w:top w:val="nil"/>
          <w:left w:val="nil"/>
          <w:bottom w:val="nil"/>
          <w:right w:val="nil"/>
          <w:between w:val="nil"/>
        </w:pBdr>
        <w:spacing w:line="240" w:lineRule="auto"/>
        <w:rPr>
          <w:b/>
          <w:noProof/>
          <w:color w:val="000000"/>
          <w:szCs w:val="24"/>
          <w:u w:val="single"/>
          <w:lang w:val="en-IE"/>
        </w:rPr>
      </w:pPr>
      <w:r w:rsidRPr="00D627E5">
        <w:rPr>
          <w:b/>
          <w:noProof/>
          <w:color w:val="000000"/>
          <w:szCs w:val="24"/>
          <w:u w:val="single"/>
          <w:lang w:val="en-IE"/>
        </w:rPr>
        <w:lastRenderedPageBreak/>
        <w:t>B.2. Milestones, targets, indicators, and timetable for monitoring and implementation for non-repayable financial support</w:t>
      </w:r>
    </w:p>
    <w:tbl>
      <w:tblPr>
        <w:tblW w:w="15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276"/>
        <w:gridCol w:w="1134"/>
        <w:gridCol w:w="1559"/>
        <w:gridCol w:w="1701"/>
        <w:gridCol w:w="1559"/>
        <w:gridCol w:w="993"/>
        <w:gridCol w:w="1134"/>
        <w:gridCol w:w="850"/>
        <w:gridCol w:w="709"/>
        <w:gridCol w:w="3433"/>
      </w:tblGrid>
      <w:tr w:rsidRPr="00FE48E2" w:rsidR="00E3458A" w:rsidTr="4A45BCA2" w14:paraId="15457720" w14:textId="77777777">
        <w:trPr>
          <w:trHeight w:val="300"/>
          <w:tblHeader/>
          <w:jc w:val="center"/>
        </w:trPr>
        <w:tc>
          <w:tcPr>
            <w:tcW w:w="704" w:type="dxa"/>
            <w:vMerge w:val="restart"/>
            <w:shd w:val="clear" w:color="auto" w:fill="BDD7EE"/>
            <w:vAlign w:val="center"/>
            <w:hideMark/>
          </w:tcPr>
          <w:p w:rsidRPr="00D627E5" w:rsidR="00D87E44" w:rsidRDefault="00D87E44" w14:paraId="15457718"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Seq. Num.</w:t>
            </w:r>
          </w:p>
        </w:tc>
        <w:tc>
          <w:tcPr>
            <w:tcW w:w="1276" w:type="dxa"/>
            <w:vMerge w:val="restart"/>
            <w:shd w:val="clear" w:color="auto" w:fill="BDD7EE"/>
            <w:vAlign w:val="center"/>
            <w:hideMark/>
          </w:tcPr>
          <w:p w:rsidRPr="00D627E5" w:rsidR="00D87E44" w:rsidRDefault="00D87E44" w14:paraId="15457719"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Related Measure (Reform or Investment)</w:t>
            </w:r>
          </w:p>
        </w:tc>
        <w:tc>
          <w:tcPr>
            <w:tcW w:w="1134" w:type="dxa"/>
            <w:vMerge w:val="restart"/>
            <w:shd w:val="clear" w:color="auto" w:fill="BDD7EE"/>
            <w:vAlign w:val="center"/>
            <w:hideMark/>
          </w:tcPr>
          <w:p w:rsidRPr="00D627E5" w:rsidR="00D87E44" w:rsidRDefault="00D87E44" w14:paraId="1545771A"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Milestone / Target</w:t>
            </w:r>
          </w:p>
        </w:tc>
        <w:tc>
          <w:tcPr>
            <w:tcW w:w="1559" w:type="dxa"/>
            <w:vMerge w:val="restart"/>
            <w:shd w:val="clear" w:color="auto" w:fill="BDD7EE"/>
            <w:vAlign w:val="center"/>
            <w:hideMark/>
          </w:tcPr>
          <w:p w:rsidRPr="00D627E5" w:rsidR="00D87E44" w:rsidRDefault="00D87E44" w14:paraId="1545771B"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Name</w:t>
            </w:r>
          </w:p>
        </w:tc>
        <w:tc>
          <w:tcPr>
            <w:tcW w:w="1701" w:type="dxa"/>
            <w:vMerge w:val="restart"/>
            <w:shd w:val="clear" w:color="auto" w:fill="BDD7EE"/>
            <w:vAlign w:val="center"/>
            <w:hideMark/>
          </w:tcPr>
          <w:p w:rsidRPr="00D627E5" w:rsidR="00D87E44" w:rsidRDefault="00D87E44" w14:paraId="1545771C" w14:textId="77777777">
            <w:pPr>
              <w:spacing w:before="0" w:after="0" w:line="240" w:lineRule="auto"/>
              <w:jc w:val="center"/>
              <w:rPr>
                <w:rFonts w:eastAsia="Times New Roman"/>
                <w:b/>
                <w:bCs/>
                <w:noProof/>
                <w:sz w:val="18"/>
                <w:szCs w:val="18"/>
                <w:lang w:val="en-IE"/>
              </w:rPr>
            </w:pPr>
            <w:r w:rsidRPr="00D627E5">
              <w:rPr>
                <w:rFonts w:eastAsia="Times New Roman"/>
                <w:b/>
                <w:bCs/>
                <w:noProof/>
                <w:sz w:val="18"/>
                <w:szCs w:val="18"/>
                <w:lang w:val="en-IE"/>
              </w:rPr>
              <w:t xml:space="preserve">Qualitative indicators </w:t>
            </w:r>
            <w:r w:rsidRPr="00D627E5">
              <w:rPr>
                <w:rFonts w:ascii="Calibri" w:hAnsi="Calibri"/>
                <w:noProof/>
                <w:sz w:val="18"/>
                <w:szCs w:val="18"/>
                <w:lang w:val="en-IE"/>
              </w:rPr>
              <w:br/>
            </w:r>
            <w:r w:rsidRPr="00D627E5">
              <w:rPr>
                <w:rFonts w:eastAsia="Times New Roman"/>
                <w:b/>
                <w:bCs/>
                <w:noProof/>
                <w:sz w:val="18"/>
                <w:szCs w:val="18"/>
                <w:lang w:val="en-IE"/>
              </w:rPr>
              <w:t>(for milestones)</w:t>
            </w:r>
          </w:p>
        </w:tc>
        <w:tc>
          <w:tcPr>
            <w:tcW w:w="3686" w:type="dxa"/>
            <w:gridSpan w:val="3"/>
            <w:shd w:val="clear" w:color="auto" w:fill="BDD7EE"/>
            <w:vAlign w:val="center"/>
            <w:hideMark/>
          </w:tcPr>
          <w:p w:rsidRPr="00D627E5" w:rsidR="00D87E44" w:rsidRDefault="00D87E44" w14:paraId="1545771D" w14:textId="77777777">
            <w:pPr>
              <w:spacing w:before="0" w:after="0" w:line="240" w:lineRule="auto"/>
              <w:jc w:val="center"/>
              <w:rPr>
                <w:rFonts w:eastAsia="Times New Roman"/>
                <w:b/>
                <w:bCs/>
                <w:noProof/>
                <w:sz w:val="18"/>
                <w:szCs w:val="18"/>
                <w:lang w:val="en-IE"/>
              </w:rPr>
            </w:pPr>
            <w:r w:rsidRPr="00D627E5">
              <w:rPr>
                <w:rFonts w:eastAsia="Times New Roman"/>
                <w:b/>
                <w:bCs/>
                <w:noProof/>
                <w:sz w:val="18"/>
                <w:szCs w:val="18"/>
                <w:lang w:val="en-IE"/>
              </w:rPr>
              <w:t xml:space="preserve">Quantitative indicators </w:t>
            </w:r>
            <w:r w:rsidRPr="00D627E5">
              <w:rPr>
                <w:rFonts w:ascii="Calibri" w:hAnsi="Calibri"/>
                <w:noProof/>
                <w:sz w:val="18"/>
                <w:szCs w:val="18"/>
                <w:lang w:val="en-IE"/>
              </w:rPr>
              <w:br/>
            </w:r>
            <w:r w:rsidRPr="00D627E5">
              <w:rPr>
                <w:rFonts w:eastAsia="Times New Roman"/>
                <w:b/>
                <w:bCs/>
                <w:noProof/>
                <w:sz w:val="18"/>
                <w:szCs w:val="18"/>
                <w:lang w:val="en-IE"/>
              </w:rPr>
              <w:t>(for targets)</w:t>
            </w:r>
          </w:p>
        </w:tc>
        <w:tc>
          <w:tcPr>
            <w:tcW w:w="1559" w:type="dxa"/>
            <w:gridSpan w:val="2"/>
            <w:shd w:val="clear" w:color="auto" w:fill="BDD7EE"/>
            <w:vAlign w:val="center"/>
            <w:hideMark/>
          </w:tcPr>
          <w:p w:rsidRPr="00D627E5" w:rsidR="00D87E44" w:rsidRDefault="00D87E44" w14:paraId="1545771E"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Indicative timeline for completion</w:t>
            </w:r>
          </w:p>
        </w:tc>
        <w:tc>
          <w:tcPr>
            <w:tcW w:w="3433" w:type="dxa"/>
            <w:vMerge w:val="restart"/>
            <w:shd w:val="clear" w:color="auto" w:fill="BDD7EE"/>
            <w:vAlign w:val="center"/>
            <w:hideMark/>
          </w:tcPr>
          <w:p w:rsidRPr="00D627E5" w:rsidR="00D87E44" w:rsidRDefault="00D87E44" w14:paraId="1545771F" w14:textId="77777777">
            <w:pPr>
              <w:spacing w:before="0" w:after="0" w:line="240" w:lineRule="auto"/>
              <w:jc w:val="center"/>
              <w:rPr>
                <w:rFonts w:eastAsia="Times New Roman"/>
                <w:b/>
                <w:noProof/>
                <w:sz w:val="18"/>
                <w:szCs w:val="18"/>
                <w:lang w:val="en-IE"/>
              </w:rPr>
            </w:pPr>
            <w:r w:rsidRPr="00D627E5">
              <w:rPr>
                <w:rFonts w:eastAsia="Times New Roman"/>
                <w:b/>
                <w:noProof/>
                <w:sz w:val="18"/>
                <w:szCs w:val="18"/>
                <w:lang w:val="en-IE"/>
              </w:rPr>
              <w:t>Description of each milestone and target</w:t>
            </w:r>
          </w:p>
        </w:tc>
      </w:tr>
      <w:tr w:rsidRPr="00FE48E2" w:rsidR="00E3458A" w:rsidTr="4A45BCA2" w14:paraId="1545772C" w14:textId="77777777">
        <w:trPr>
          <w:trHeight w:val="300"/>
          <w:tblHeader/>
          <w:jc w:val="center"/>
        </w:trPr>
        <w:tc>
          <w:tcPr>
            <w:tcW w:w="704" w:type="dxa"/>
            <w:vMerge/>
            <w:vAlign w:val="center"/>
            <w:hideMark/>
          </w:tcPr>
          <w:p w:rsidRPr="00D627E5" w:rsidR="00D87E44" w:rsidRDefault="00D87E44" w14:paraId="15457721" w14:textId="77777777">
            <w:pPr>
              <w:spacing w:before="0" w:after="0" w:line="240" w:lineRule="auto"/>
              <w:rPr>
                <w:rFonts w:eastAsia="Times New Roman"/>
                <w:b/>
                <w:noProof/>
                <w:sz w:val="18"/>
                <w:szCs w:val="18"/>
                <w:lang w:val="en-IE"/>
              </w:rPr>
            </w:pPr>
          </w:p>
        </w:tc>
        <w:tc>
          <w:tcPr>
            <w:tcW w:w="1276" w:type="dxa"/>
            <w:vMerge/>
            <w:vAlign w:val="center"/>
            <w:hideMark/>
          </w:tcPr>
          <w:p w:rsidRPr="00D627E5" w:rsidR="00D87E44" w:rsidRDefault="00D87E44" w14:paraId="15457722" w14:textId="77777777">
            <w:pPr>
              <w:spacing w:before="0" w:after="0" w:line="240" w:lineRule="auto"/>
              <w:rPr>
                <w:rFonts w:eastAsia="Times New Roman"/>
                <w:b/>
                <w:noProof/>
                <w:sz w:val="18"/>
                <w:szCs w:val="18"/>
                <w:lang w:val="en-IE"/>
              </w:rPr>
            </w:pPr>
          </w:p>
        </w:tc>
        <w:tc>
          <w:tcPr>
            <w:tcW w:w="1134" w:type="dxa"/>
            <w:vMerge/>
            <w:vAlign w:val="center"/>
            <w:hideMark/>
          </w:tcPr>
          <w:p w:rsidRPr="00D627E5" w:rsidR="00D87E44" w:rsidRDefault="00D87E44" w14:paraId="15457723" w14:textId="77777777">
            <w:pPr>
              <w:spacing w:before="0" w:after="0" w:line="240" w:lineRule="auto"/>
              <w:rPr>
                <w:rFonts w:eastAsia="Times New Roman"/>
                <w:b/>
                <w:noProof/>
                <w:sz w:val="18"/>
                <w:szCs w:val="18"/>
                <w:lang w:val="en-IE"/>
              </w:rPr>
            </w:pPr>
          </w:p>
        </w:tc>
        <w:tc>
          <w:tcPr>
            <w:tcW w:w="1559" w:type="dxa"/>
            <w:vMerge/>
            <w:vAlign w:val="center"/>
            <w:hideMark/>
          </w:tcPr>
          <w:p w:rsidRPr="00D627E5" w:rsidR="00D87E44" w:rsidRDefault="00D87E44" w14:paraId="15457724" w14:textId="77777777">
            <w:pPr>
              <w:spacing w:before="0" w:after="0" w:line="240" w:lineRule="auto"/>
              <w:rPr>
                <w:rFonts w:eastAsia="Times New Roman"/>
                <w:b/>
                <w:noProof/>
                <w:sz w:val="18"/>
                <w:szCs w:val="18"/>
                <w:lang w:val="en-IE"/>
              </w:rPr>
            </w:pPr>
          </w:p>
        </w:tc>
        <w:tc>
          <w:tcPr>
            <w:tcW w:w="1701" w:type="dxa"/>
            <w:vMerge/>
            <w:vAlign w:val="center"/>
            <w:hideMark/>
          </w:tcPr>
          <w:p w:rsidRPr="00D627E5" w:rsidR="00D87E44" w:rsidRDefault="00D87E44" w14:paraId="15457725" w14:textId="77777777">
            <w:pPr>
              <w:spacing w:before="0" w:after="0" w:line="240" w:lineRule="auto"/>
              <w:rPr>
                <w:rFonts w:eastAsia="Times New Roman"/>
                <w:b/>
                <w:noProof/>
                <w:sz w:val="18"/>
                <w:szCs w:val="18"/>
                <w:lang w:val="en-IE"/>
              </w:rPr>
            </w:pPr>
          </w:p>
        </w:tc>
        <w:tc>
          <w:tcPr>
            <w:tcW w:w="1559" w:type="dxa"/>
            <w:shd w:val="clear" w:color="auto" w:fill="BDD7EE"/>
            <w:vAlign w:val="center"/>
            <w:hideMark/>
          </w:tcPr>
          <w:p w:rsidRPr="00275E81" w:rsidR="00D87E44" w:rsidRDefault="00D87E44" w14:paraId="15457726"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Unit of measure</w:t>
            </w:r>
          </w:p>
        </w:tc>
        <w:tc>
          <w:tcPr>
            <w:tcW w:w="993" w:type="dxa"/>
            <w:shd w:val="clear" w:color="auto" w:fill="BDD7EE"/>
            <w:vAlign w:val="center"/>
            <w:hideMark/>
          </w:tcPr>
          <w:p w:rsidRPr="00275E81" w:rsidR="00D87E44" w:rsidRDefault="00D87E44" w14:paraId="15457727"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Baseline </w:t>
            </w:r>
          </w:p>
        </w:tc>
        <w:tc>
          <w:tcPr>
            <w:tcW w:w="1134" w:type="dxa"/>
            <w:shd w:val="clear" w:color="auto" w:fill="BDD7EE"/>
            <w:vAlign w:val="center"/>
            <w:hideMark/>
          </w:tcPr>
          <w:p w:rsidRPr="00275E81" w:rsidR="00D87E44" w:rsidRDefault="00D87E44" w14:paraId="15457728"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Goal </w:t>
            </w:r>
          </w:p>
        </w:tc>
        <w:tc>
          <w:tcPr>
            <w:tcW w:w="850" w:type="dxa"/>
            <w:shd w:val="clear" w:color="auto" w:fill="BDD7EE"/>
            <w:vAlign w:val="center"/>
            <w:hideMark/>
          </w:tcPr>
          <w:p w:rsidRPr="00275E81" w:rsidR="00D87E44" w:rsidRDefault="00D87E44" w14:paraId="15457729"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Quarter</w:t>
            </w:r>
          </w:p>
        </w:tc>
        <w:tc>
          <w:tcPr>
            <w:tcW w:w="709" w:type="dxa"/>
            <w:shd w:val="clear" w:color="auto" w:fill="BDD7EE"/>
            <w:vAlign w:val="center"/>
            <w:hideMark/>
          </w:tcPr>
          <w:p w:rsidRPr="00275E81" w:rsidR="00D87E44" w:rsidRDefault="00D87E44" w14:paraId="1545772A"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Year</w:t>
            </w:r>
          </w:p>
        </w:tc>
        <w:tc>
          <w:tcPr>
            <w:tcW w:w="3433" w:type="dxa"/>
            <w:vMerge/>
            <w:vAlign w:val="center"/>
            <w:hideMark/>
          </w:tcPr>
          <w:p w:rsidRPr="00D627E5" w:rsidR="00D87E44" w:rsidRDefault="00D87E44" w14:paraId="1545772B" w14:textId="77777777">
            <w:pPr>
              <w:spacing w:before="0" w:after="0" w:line="240" w:lineRule="auto"/>
              <w:rPr>
                <w:rFonts w:eastAsia="Times New Roman"/>
                <w:b/>
                <w:noProof/>
                <w:sz w:val="18"/>
                <w:szCs w:val="18"/>
                <w:lang w:val="en-IE"/>
              </w:rPr>
            </w:pPr>
          </w:p>
        </w:tc>
      </w:tr>
      <w:tr w:rsidRPr="00FE48E2" w:rsidR="00E3458A" w:rsidTr="4A45BCA2" w14:paraId="1545773A" w14:textId="77777777">
        <w:trPr>
          <w:trHeight w:val="300"/>
          <w:jc w:val="center"/>
        </w:trPr>
        <w:tc>
          <w:tcPr>
            <w:tcW w:w="704" w:type="dxa"/>
            <w:shd w:val="clear" w:color="auto" w:fill="C6EFCE"/>
            <w:hideMark/>
          </w:tcPr>
          <w:p w:rsidRPr="00D627E5" w:rsidR="00D87E44" w:rsidRDefault="00D87E44" w14:paraId="1545772D"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15</w:t>
            </w:r>
          </w:p>
        </w:tc>
        <w:tc>
          <w:tcPr>
            <w:tcW w:w="1276" w:type="dxa"/>
            <w:shd w:val="clear" w:color="auto" w:fill="C6EFCE"/>
            <w:hideMark/>
          </w:tcPr>
          <w:p w:rsidRPr="00D627E5" w:rsidR="00D87E44" w:rsidRDefault="00D87E44" w14:paraId="1545772E" w14:textId="77777777">
            <w:pPr>
              <w:spacing w:before="0" w:after="0" w:line="240" w:lineRule="auto"/>
              <w:rPr>
                <w:noProof/>
                <w:color w:val="004300"/>
                <w:sz w:val="18"/>
                <w:szCs w:val="18"/>
                <w:lang w:val="en-IE"/>
              </w:rPr>
            </w:pPr>
            <w:r w:rsidRPr="00D627E5">
              <w:rPr>
                <w:noProof/>
                <w:color w:val="004300"/>
                <w:sz w:val="18"/>
                <w:szCs w:val="18"/>
                <w:lang w:val="en-IE"/>
              </w:rPr>
              <w:t>Investment 1:</w:t>
            </w:r>
          </w:p>
          <w:p w:rsidRPr="00D627E5" w:rsidR="00D87E44" w:rsidRDefault="00D87E44" w14:paraId="1545772F"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Development </w:t>
            </w:r>
            <w:r w:rsidRPr="00AF1A47">
              <w:rPr>
                <w:noProof/>
                <w:color w:val="004300"/>
                <w:sz w:val="18"/>
                <w:szCs w:val="18"/>
                <w:lang w:val="en-IE"/>
              </w:rPr>
              <w:t>o</w:t>
            </w:r>
            <w:r w:rsidRPr="00A91FBD">
              <w:rPr>
                <w:noProof/>
                <w:color w:val="004300"/>
                <w:sz w:val="18"/>
                <w:lang w:val="en-IE"/>
              </w:rPr>
              <w:t>f</w:t>
            </w:r>
            <w:r>
              <w:rPr>
                <w:noProof/>
                <w:color w:val="004300"/>
                <w:sz w:val="18"/>
                <w:lang w:val="en-IE"/>
              </w:rPr>
              <w:t xml:space="preserve"> </w:t>
            </w:r>
            <w:r w:rsidRPr="00D627E5">
              <w:rPr>
                <w:noProof/>
                <w:color w:val="004300"/>
                <w:sz w:val="18"/>
                <w:szCs w:val="18"/>
                <w:lang w:val="en-IE"/>
              </w:rPr>
              <w:t>information systems</w:t>
            </w:r>
          </w:p>
        </w:tc>
        <w:tc>
          <w:tcPr>
            <w:tcW w:w="1134" w:type="dxa"/>
            <w:shd w:val="clear" w:color="auto" w:fill="C6EFCE"/>
            <w:hideMark/>
          </w:tcPr>
          <w:p w:rsidRPr="00D627E5" w:rsidR="00D87E44" w:rsidRDefault="00D87E44" w14:paraId="15457730"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tcPr>
          <w:p w:rsidRPr="00D627E5" w:rsidR="00D87E44" w:rsidRDefault="00D87E44" w14:paraId="15457731" w14:textId="77777777">
            <w:pPr>
              <w:spacing w:before="0" w:after="0" w:line="240" w:lineRule="auto"/>
              <w:rPr>
                <w:noProof/>
                <w:color w:val="004300"/>
                <w:sz w:val="18"/>
                <w:szCs w:val="18"/>
                <w:lang w:val="en-IE"/>
              </w:rPr>
            </w:pPr>
            <w:r>
              <w:rPr>
                <w:noProof/>
                <w:color w:val="004300"/>
                <w:sz w:val="18"/>
                <w:szCs w:val="18"/>
                <w:lang w:val="en-IE"/>
              </w:rPr>
              <w:t>Implementation</w:t>
            </w:r>
            <w:r w:rsidRPr="00D627E5">
              <w:rPr>
                <w:noProof/>
                <w:color w:val="004300"/>
                <w:sz w:val="18"/>
                <w:szCs w:val="18"/>
                <w:lang w:val="en-IE"/>
              </w:rPr>
              <w:t xml:space="preserve"> and operation of </w:t>
            </w:r>
            <w:r>
              <w:rPr>
                <w:noProof/>
                <w:color w:val="004300"/>
                <w:sz w:val="18"/>
                <w:szCs w:val="18"/>
                <w:lang w:val="en-IE"/>
              </w:rPr>
              <w:t xml:space="preserve">the </w:t>
            </w:r>
            <w:r w:rsidRPr="002B6F96">
              <w:rPr>
                <w:noProof/>
                <w:color w:val="004300"/>
                <w:sz w:val="18"/>
                <w:szCs w:val="18"/>
                <w:lang w:val="en-IE"/>
              </w:rPr>
              <w:t xml:space="preserve">CzechPOINT 2.0 </w:t>
            </w:r>
            <w:r>
              <w:rPr>
                <w:noProof/>
                <w:color w:val="004300"/>
                <w:sz w:val="18"/>
                <w:szCs w:val="18"/>
                <w:lang w:val="en-IE"/>
              </w:rPr>
              <w:t xml:space="preserve">and the CAAIS </w:t>
            </w:r>
            <w:r w:rsidRPr="002B6F96">
              <w:rPr>
                <w:noProof/>
                <w:color w:val="004300"/>
                <w:sz w:val="18"/>
                <w:szCs w:val="18"/>
                <w:lang w:val="en-IE"/>
              </w:rPr>
              <w:t>system</w:t>
            </w:r>
            <w:r>
              <w:rPr>
                <w:noProof/>
                <w:color w:val="004300"/>
                <w:sz w:val="18"/>
                <w:szCs w:val="18"/>
                <w:lang w:val="en-IE"/>
              </w:rPr>
              <w:t>s</w:t>
            </w:r>
            <w:r w:rsidRPr="00D627E5">
              <w:rPr>
                <w:noProof/>
                <w:color w:val="004300"/>
                <w:sz w:val="18"/>
                <w:szCs w:val="18"/>
                <w:lang w:val="en-IE"/>
              </w:rPr>
              <w:t xml:space="preserve"> </w:t>
            </w:r>
          </w:p>
          <w:p w:rsidRPr="00D627E5" w:rsidR="00D87E44" w:rsidRDefault="00D87E44" w14:paraId="15457732" w14:textId="77777777">
            <w:pPr>
              <w:spacing w:before="0" w:after="0" w:line="240" w:lineRule="auto"/>
              <w:rPr>
                <w:rFonts w:eastAsia="Times New Roman"/>
                <w:noProof/>
                <w:color w:val="004300"/>
                <w:sz w:val="18"/>
                <w:szCs w:val="18"/>
                <w:lang w:val="en-IE"/>
              </w:rPr>
            </w:pPr>
          </w:p>
        </w:tc>
        <w:tc>
          <w:tcPr>
            <w:tcW w:w="1701" w:type="dxa"/>
            <w:shd w:val="clear" w:color="auto" w:fill="C6EFCE"/>
            <w:hideMark/>
          </w:tcPr>
          <w:p w:rsidRPr="00D627E5" w:rsidR="00D87E44" w:rsidRDefault="00D87E44" w14:paraId="15457733"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T</w:t>
            </w:r>
            <w:r w:rsidRPr="00D627E5">
              <w:rPr>
                <w:rFonts w:eastAsia="Times New Roman"/>
                <w:noProof/>
                <w:color w:val="004300"/>
                <w:sz w:val="18"/>
                <w:szCs w:val="18"/>
                <w:lang w:val="en-IE"/>
              </w:rPr>
              <w:t>he CzechPOINT 2.0 system (in relation to citizens and officials) and the Central Authentication space of the public administration, the so called CAAIS (for officials)</w:t>
            </w:r>
            <w:r>
              <w:rPr>
                <w:rFonts w:eastAsia="Times New Roman"/>
                <w:noProof/>
                <w:color w:val="004300"/>
                <w:sz w:val="18"/>
                <w:szCs w:val="18"/>
                <w:lang w:val="en-IE"/>
              </w:rPr>
              <w:t xml:space="preserve"> are operational</w:t>
            </w:r>
          </w:p>
        </w:tc>
        <w:tc>
          <w:tcPr>
            <w:tcW w:w="1559" w:type="dxa"/>
            <w:shd w:val="clear" w:color="auto" w:fill="C6EFCE"/>
          </w:tcPr>
          <w:p w:rsidRPr="00D627E5" w:rsidR="00D87E44" w:rsidRDefault="00D87E44" w14:paraId="15457734"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D627E5" w:rsidR="00D87E44" w:rsidRDefault="00D87E44" w14:paraId="15457735"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36"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37"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38"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39"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The milestone shall implement the CzechPOINT 2.0 system providing the public with the range of assisted services, extracts from public administration information systems and the possibility to submit </w:t>
            </w:r>
            <w:r w:rsidRPr="00D627E5">
              <w:rPr>
                <w:noProof/>
                <w:color w:val="004300"/>
                <w:sz w:val="18"/>
                <w:szCs w:val="18"/>
                <w:lang w:val="en-IE"/>
              </w:rPr>
              <w:t>filled forms to or communicate with the state administration. The milestone shall also include the Information system for Central Authentication (called CAAIS). The milestone is considered fulfilled when both parts are implemented and available to end users.</w:t>
            </w:r>
          </w:p>
        </w:tc>
      </w:tr>
      <w:tr w:rsidRPr="00FE48E2" w:rsidR="00E3458A" w:rsidTr="4A45BCA2" w14:paraId="15457747" w14:textId="77777777">
        <w:trPr>
          <w:trHeight w:val="300"/>
          <w:jc w:val="center"/>
        </w:trPr>
        <w:tc>
          <w:tcPr>
            <w:tcW w:w="704" w:type="dxa"/>
            <w:shd w:val="clear" w:color="auto" w:fill="C6EFCE"/>
            <w:hideMark/>
          </w:tcPr>
          <w:p w:rsidRPr="00D627E5" w:rsidR="00D87E44" w:rsidRDefault="00D87E44" w14:paraId="1545773B" w14:textId="77777777">
            <w:pPr>
              <w:spacing w:line="240" w:lineRule="auto"/>
              <w:rPr>
                <w:noProof/>
                <w:color w:val="004300"/>
                <w:sz w:val="18"/>
                <w:szCs w:val="18"/>
                <w:lang w:val="en-IE"/>
              </w:rPr>
            </w:pPr>
            <w:r w:rsidRPr="00D627E5">
              <w:rPr>
                <w:noProof/>
                <w:color w:val="004300"/>
                <w:sz w:val="18"/>
                <w:szCs w:val="18"/>
                <w:lang w:val="en-IE"/>
              </w:rPr>
              <w:t>16</w:t>
            </w:r>
          </w:p>
        </w:tc>
        <w:tc>
          <w:tcPr>
            <w:tcW w:w="1276" w:type="dxa"/>
            <w:shd w:val="clear" w:color="auto" w:fill="C6EFCE"/>
            <w:hideMark/>
          </w:tcPr>
          <w:p w:rsidRPr="00D627E5" w:rsidR="00D87E44" w:rsidRDefault="00D87E44" w14:paraId="1545773C" w14:textId="77777777">
            <w:pPr>
              <w:spacing w:before="0" w:after="0" w:line="240" w:lineRule="auto"/>
              <w:rPr>
                <w:noProof/>
                <w:color w:val="004300"/>
                <w:sz w:val="18"/>
                <w:szCs w:val="18"/>
                <w:lang w:val="en-IE"/>
              </w:rPr>
            </w:pPr>
            <w:r w:rsidRPr="00D627E5">
              <w:rPr>
                <w:noProof/>
                <w:color w:val="004300"/>
                <w:sz w:val="18"/>
                <w:szCs w:val="18"/>
                <w:lang w:val="en-IE"/>
              </w:rPr>
              <w:t>Investment 1:</w:t>
            </w:r>
          </w:p>
          <w:p w:rsidRPr="00D627E5" w:rsidR="00D87E44" w:rsidRDefault="00D87E44" w14:paraId="1545773D"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Development </w:t>
            </w:r>
            <w:r w:rsidRPr="00AF1A47">
              <w:rPr>
                <w:noProof/>
                <w:color w:val="004300"/>
                <w:sz w:val="18"/>
                <w:szCs w:val="18"/>
                <w:lang w:val="en-IE"/>
              </w:rPr>
              <w:t>of</w:t>
            </w:r>
            <w:r w:rsidRPr="00960C10">
              <w:rPr>
                <w:noProof/>
                <w:color w:val="004300"/>
                <w:sz w:val="18"/>
                <w:lang w:val="en-IE"/>
              </w:rPr>
              <w:t xml:space="preserve"> </w:t>
            </w:r>
            <w:r w:rsidRPr="00D627E5">
              <w:rPr>
                <w:noProof/>
                <w:color w:val="004300"/>
                <w:sz w:val="18"/>
                <w:szCs w:val="18"/>
                <w:lang w:val="en-IE"/>
              </w:rPr>
              <w:t>information systems</w:t>
            </w:r>
          </w:p>
        </w:tc>
        <w:tc>
          <w:tcPr>
            <w:tcW w:w="1134" w:type="dxa"/>
            <w:shd w:val="clear" w:color="auto" w:fill="C6EFCE"/>
            <w:hideMark/>
          </w:tcPr>
          <w:p w:rsidRPr="00062C72" w:rsidR="00D87E44" w:rsidRDefault="00D87E44" w14:paraId="1545773E"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Milestone</w:t>
            </w:r>
          </w:p>
        </w:tc>
        <w:tc>
          <w:tcPr>
            <w:tcW w:w="1559" w:type="dxa"/>
            <w:shd w:val="clear" w:color="auto" w:fill="C6EFCE"/>
            <w:hideMark/>
          </w:tcPr>
          <w:p w:rsidRPr="00062C72" w:rsidR="00D87E44" w:rsidRDefault="00D87E44" w14:paraId="1545773F"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Successful upgrade and operation of ePassport (ePasy system) and EVC2 visa system</w:t>
            </w:r>
          </w:p>
        </w:tc>
        <w:tc>
          <w:tcPr>
            <w:tcW w:w="1701" w:type="dxa"/>
            <w:shd w:val="clear" w:color="auto" w:fill="C6EFCE"/>
            <w:hideMark/>
          </w:tcPr>
          <w:p w:rsidRPr="00062C72" w:rsidR="00D87E44" w:rsidRDefault="00D87E44" w14:paraId="15457740"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 xml:space="preserve">Modification of ePasy system according to the amended Travel Documents Act and upgrade of the EVC2 visa system </w:t>
            </w:r>
          </w:p>
        </w:tc>
        <w:tc>
          <w:tcPr>
            <w:tcW w:w="1559" w:type="dxa"/>
            <w:shd w:val="clear" w:color="auto" w:fill="C6EFCE"/>
          </w:tcPr>
          <w:p w:rsidRPr="00062C72" w:rsidR="00D87E44" w:rsidRDefault="00D87E44" w14:paraId="15457741" w14:textId="77777777">
            <w:pPr>
              <w:spacing w:before="0" w:line="240" w:lineRule="auto"/>
              <w:rPr>
                <w:rFonts w:eastAsia="Times New Roman"/>
                <w:noProof/>
                <w:color w:val="006100"/>
                <w:sz w:val="18"/>
                <w:szCs w:val="18"/>
                <w:lang w:val="en-IE" w:eastAsia="en-GB"/>
              </w:rPr>
            </w:pPr>
          </w:p>
        </w:tc>
        <w:tc>
          <w:tcPr>
            <w:tcW w:w="993" w:type="dxa"/>
            <w:shd w:val="clear" w:color="auto" w:fill="C6EFCE"/>
          </w:tcPr>
          <w:p w:rsidRPr="00062C72" w:rsidR="00D87E44" w:rsidRDefault="00D87E44" w14:paraId="15457742" w14:textId="77777777">
            <w:pPr>
              <w:spacing w:before="0" w:line="240" w:lineRule="auto"/>
              <w:rPr>
                <w:rFonts w:eastAsia="Times New Roman"/>
                <w:noProof/>
                <w:color w:val="006100"/>
                <w:sz w:val="18"/>
                <w:szCs w:val="18"/>
                <w:lang w:val="en-IE" w:eastAsia="en-GB"/>
              </w:rPr>
            </w:pPr>
          </w:p>
        </w:tc>
        <w:tc>
          <w:tcPr>
            <w:tcW w:w="1134" w:type="dxa"/>
            <w:shd w:val="clear" w:color="auto" w:fill="C6EFCE"/>
          </w:tcPr>
          <w:p w:rsidRPr="00062C72" w:rsidR="00D87E44" w:rsidRDefault="00D87E44" w14:paraId="15457743" w14:textId="77777777">
            <w:pPr>
              <w:spacing w:before="0" w:line="240" w:lineRule="auto"/>
              <w:rPr>
                <w:rFonts w:eastAsia="Times New Roman"/>
                <w:noProof/>
                <w:color w:val="006100"/>
                <w:sz w:val="18"/>
                <w:szCs w:val="18"/>
                <w:lang w:val="en-IE" w:eastAsia="en-GB"/>
              </w:rPr>
            </w:pPr>
          </w:p>
        </w:tc>
        <w:tc>
          <w:tcPr>
            <w:tcW w:w="850" w:type="dxa"/>
            <w:shd w:val="clear" w:color="auto" w:fill="C6EFCE"/>
            <w:hideMark/>
          </w:tcPr>
          <w:p w:rsidRPr="00062C72" w:rsidR="00D87E44" w:rsidRDefault="00D87E44" w14:paraId="15457744"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Q4</w:t>
            </w:r>
          </w:p>
        </w:tc>
        <w:tc>
          <w:tcPr>
            <w:tcW w:w="709" w:type="dxa"/>
            <w:shd w:val="clear" w:color="auto" w:fill="C6EFCE"/>
            <w:hideMark/>
          </w:tcPr>
          <w:p w:rsidRPr="00062C72" w:rsidR="00D87E44" w:rsidRDefault="00D87E44" w14:paraId="15457745"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2022</w:t>
            </w:r>
          </w:p>
        </w:tc>
        <w:tc>
          <w:tcPr>
            <w:tcW w:w="3433" w:type="dxa"/>
            <w:shd w:val="clear" w:color="auto" w:fill="C6EFCE"/>
            <w:hideMark/>
          </w:tcPr>
          <w:p w:rsidRPr="00062C72" w:rsidR="00D87E44" w:rsidRDefault="00D87E44" w14:paraId="15457746" w14:textId="77777777">
            <w:pPr>
              <w:spacing w:before="0" w:line="240" w:lineRule="auto"/>
              <w:rPr>
                <w:rFonts w:eastAsia="Times New Roman"/>
                <w:noProof/>
                <w:color w:val="006100"/>
                <w:sz w:val="18"/>
                <w:szCs w:val="18"/>
                <w:lang w:val="en-IE" w:eastAsia="en-GB"/>
              </w:rPr>
            </w:pPr>
            <w:r w:rsidRPr="00062C72">
              <w:rPr>
                <w:rFonts w:eastAsia="Times New Roman"/>
                <w:noProof/>
                <w:color w:val="006100"/>
                <w:sz w:val="18"/>
                <w:szCs w:val="18"/>
                <w:lang w:val="en-IE" w:eastAsia="en-GB"/>
              </w:rPr>
              <w:t xml:space="preserve">The agenda information system ePasy shall be modified according to the amendment of the Travel Documents Act No. 329/1999 Coll. and be available to the end users. The EVC2 visa system shall be upgraded with short- and long-term visa functionalities, in accordance with the entry/exit system (EES), and shall be available for testing according to the euINIS program. </w:t>
            </w:r>
          </w:p>
        </w:tc>
      </w:tr>
      <w:tr w:rsidRPr="00FE48E2" w:rsidR="00E3458A" w:rsidTr="4A45BCA2" w14:paraId="1545775C" w14:textId="77777777">
        <w:trPr>
          <w:trHeight w:val="300"/>
          <w:jc w:val="center"/>
        </w:trPr>
        <w:tc>
          <w:tcPr>
            <w:tcW w:w="704" w:type="dxa"/>
            <w:shd w:val="clear" w:color="auto" w:fill="C6EFCE"/>
            <w:hideMark/>
          </w:tcPr>
          <w:p w:rsidRPr="00D627E5" w:rsidR="00D87E44" w:rsidRDefault="00D87E44" w14:paraId="15457748" w14:textId="77777777">
            <w:pPr>
              <w:spacing w:before="0" w:after="0" w:line="240" w:lineRule="auto"/>
              <w:rPr>
                <w:rFonts w:eastAsia="Times New Roman"/>
                <w:noProof/>
                <w:color w:val="004300"/>
                <w:sz w:val="18"/>
                <w:szCs w:val="18"/>
                <w:lang w:val="en-IE"/>
              </w:rPr>
            </w:pPr>
            <w:r w:rsidRPr="1B9041F6">
              <w:rPr>
                <w:rFonts w:eastAsia="Times New Roman"/>
                <w:noProof/>
                <w:color w:val="004300"/>
                <w:sz w:val="18"/>
                <w:szCs w:val="18"/>
                <w:lang w:val="en-IE"/>
              </w:rPr>
              <w:t>18</w:t>
            </w:r>
          </w:p>
        </w:tc>
        <w:tc>
          <w:tcPr>
            <w:tcW w:w="1276" w:type="dxa"/>
            <w:shd w:val="clear" w:color="auto" w:fill="C6EFCE"/>
            <w:hideMark/>
          </w:tcPr>
          <w:p w:rsidRPr="00AF03FA" w:rsidR="00D87E44" w:rsidRDefault="00D87E44" w14:paraId="15457749" w14:textId="77777777">
            <w:pPr>
              <w:spacing w:before="0" w:after="0" w:line="240" w:lineRule="auto"/>
              <w:rPr>
                <w:noProof/>
                <w:color w:val="004300"/>
                <w:sz w:val="18"/>
                <w:szCs w:val="18"/>
                <w:lang w:val="en-IE"/>
              </w:rPr>
            </w:pPr>
            <w:r w:rsidRPr="00AF03FA">
              <w:rPr>
                <w:noProof/>
                <w:color w:val="004300"/>
                <w:sz w:val="18"/>
                <w:szCs w:val="18"/>
                <w:lang w:val="en-IE"/>
              </w:rPr>
              <w:t>Investment 1:</w:t>
            </w:r>
          </w:p>
          <w:p w:rsidRPr="00AF03FA" w:rsidR="00D87E44" w:rsidRDefault="00D87E44" w14:paraId="1545774A" w14:textId="77777777">
            <w:pPr>
              <w:spacing w:before="0" w:after="0" w:line="240" w:lineRule="auto"/>
              <w:rPr>
                <w:rFonts w:eastAsia="Times New Roman"/>
                <w:noProof/>
                <w:color w:val="004300"/>
                <w:sz w:val="18"/>
                <w:szCs w:val="18"/>
                <w:lang w:val="en-IE"/>
              </w:rPr>
            </w:pPr>
            <w:r w:rsidRPr="00AF03FA">
              <w:rPr>
                <w:noProof/>
                <w:color w:val="004300"/>
                <w:sz w:val="18"/>
                <w:szCs w:val="18"/>
                <w:lang w:val="en-IE"/>
              </w:rPr>
              <w:t xml:space="preserve">Development </w:t>
            </w:r>
            <w:r w:rsidRPr="00A91FBD">
              <w:rPr>
                <w:noProof/>
                <w:color w:val="004300"/>
                <w:sz w:val="18"/>
                <w:lang w:val="en-IE"/>
              </w:rPr>
              <w:t xml:space="preserve">of </w:t>
            </w:r>
            <w:r w:rsidRPr="00AF03FA">
              <w:rPr>
                <w:noProof/>
                <w:color w:val="004300"/>
                <w:sz w:val="18"/>
                <w:szCs w:val="18"/>
                <w:lang w:val="en-IE"/>
              </w:rPr>
              <w:t>information systems</w:t>
            </w:r>
          </w:p>
        </w:tc>
        <w:tc>
          <w:tcPr>
            <w:tcW w:w="1134" w:type="dxa"/>
            <w:shd w:val="clear" w:color="auto" w:fill="C6EFCE"/>
            <w:hideMark/>
          </w:tcPr>
          <w:p w:rsidRPr="00D627E5" w:rsidR="00D87E44" w:rsidRDefault="00D87E44" w14:paraId="1545774B"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Target</w:t>
            </w:r>
          </w:p>
        </w:tc>
        <w:tc>
          <w:tcPr>
            <w:tcW w:w="1559" w:type="dxa"/>
            <w:shd w:val="clear" w:color="auto" w:fill="C6EFCE"/>
          </w:tcPr>
          <w:p w:rsidRPr="00D627E5" w:rsidR="00D87E44" w:rsidRDefault="00D87E44" w14:paraId="1545774C"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Contracting the execution of the listed information system projects forming the back-end basis of the information systems’ development for public administration</w:t>
            </w:r>
          </w:p>
        </w:tc>
        <w:tc>
          <w:tcPr>
            <w:tcW w:w="1701" w:type="dxa"/>
            <w:shd w:val="clear" w:color="auto" w:fill="C6EFCE"/>
          </w:tcPr>
          <w:p w:rsidRPr="00D627E5" w:rsidR="00D87E44" w:rsidRDefault="00D87E44" w14:paraId="1545774D" w14:textId="77777777">
            <w:pPr>
              <w:spacing w:before="0" w:after="0" w:line="240" w:lineRule="auto"/>
              <w:rPr>
                <w:rFonts w:eastAsia="Times New Roman"/>
                <w:noProof/>
                <w:color w:val="004300"/>
                <w:sz w:val="18"/>
                <w:szCs w:val="18"/>
                <w:lang w:val="en-IE"/>
              </w:rPr>
            </w:pPr>
          </w:p>
        </w:tc>
        <w:tc>
          <w:tcPr>
            <w:tcW w:w="1559" w:type="dxa"/>
            <w:shd w:val="clear" w:color="auto" w:fill="C6EFCE"/>
            <w:hideMark/>
          </w:tcPr>
          <w:p w:rsidRPr="00D627E5" w:rsidR="00D87E44" w:rsidRDefault="00D87E44" w14:paraId="1545774E"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Number</w:t>
            </w:r>
          </w:p>
        </w:tc>
        <w:tc>
          <w:tcPr>
            <w:tcW w:w="993" w:type="dxa"/>
            <w:shd w:val="clear" w:color="auto" w:fill="C6EFCE"/>
            <w:hideMark/>
          </w:tcPr>
          <w:p w:rsidRPr="00D627E5" w:rsidR="00D87E44" w:rsidRDefault="00D87E44" w14:paraId="1545774F"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0</w:t>
            </w:r>
          </w:p>
        </w:tc>
        <w:tc>
          <w:tcPr>
            <w:tcW w:w="1134" w:type="dxa"/>
            <w:shd w:val="clear" w:color="auto" w:fill="C6EFCE"/>
            <w:hideMark/>
          </w:tcPr>
          <w:p w:rsidRPr="00D627E5" w:rsidR="00D87E44" w:rsidRDefault="00D87E44" w14:paraId="1545775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8</w:t>
            </w:r>
          </w:p>
        </w:tc>
        <w:tc>
          <w:tcPr>
            <w:tcW w:w="850" w:type="dxa"/>
            <w:shd w:val="clear" w:color="auto" w:fill="C6EFCE"/>
            <w:hideMark/>
          </w:tcPr>
          <w:p w:rsidRPr="00D627E5" w:rsidR="00D87E44" w:rsidRDefault="00D87E44" w14:paraId="15457751"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Q2 </w:t>
            </w:r>
          </w:p>
        </w:tc>
        <w:tc>
          <w:tcPr>
            <w:tcW w:w="709" w:type="dxa"/>
            <w:shd w:val="clear" w:color="auto" w:fill="C6EFCE"/>
            <w:hideMark/>
          </w:tcPr>
          <w:p w:rsidRPr="00D627E5" w:rsidR="00D87E44" w:rsidRDefault="00D87E44" w14:paraId="15457752"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2024</w:t>
            </w:r>
          </w:p>
        </w:tc>
        <w:tc>
          <w:tcPr>
            <w:tcW w:w="3433" w:type="dxa"/>
            <w:shd w:val="clear" w:color="auto" w:fill="C6EFCE"/>
            <w:hideMark/>
          </w:tcPr>
          <w:p w:rsidRPr="00D627E5" w:rsidR="00D87E44" w:rsidRDefault="00D87E44" w14:paraId="15457753" w14:textId="77777777">
            <w:pPr>
              <w:spacing w:before="0" w:after="0" w:line="240" w:lineRule="auto"/>
              <w:rPr>
                <w:noProof/>
                <w:color w:val="004300"/>
                <w:sz w:val="18"/>
                <w:szCs w:val="18"/>
                <w:lang w:val="en-IE"/>
              </w:rPr>
            </w:pPr>
            <w:r w:rsidRPr="00D627E5">
              <w:rPr>
                <w:noProof/>
                <w:color w:val="004300"/>
                <w:sz w:val="18"/>
                <w:szCs w:val="18"/>
                <w:lang w:val="en-IE"/>
              </w:rPr>
              <w:t xml:space="preserve">The target is being achieved upon contracting </w:t>
            </w:r>
            <w:r>
              <w:rPr>
                <w:noProof/>
                <w:color w:val="004300"/>
                <w:sz w:val="18"/>
                <w:szCs w:val="18"/>
                <w:lang w:val="en-IE"/>
              </w:rPr>
              <w:t xml:space="preserve">at least </w:t>
            </w:r>
            <w:r w:rsidRPr="00D627E5">
              <w:rPr>
                <w:noProof/>
                <w:color w:val="004300"/>
                <w:sz w:val="18"/>
                <w:szCs w:val="18"/>
                <w:lang w:val="en-IE"/>
              </w:rPr>
              <w:t xml:space="preserve">the following projects: </w:t>
            </w:r>
          </w:p>
          <w:p w:rsidRPr="00D627E5" w:rsidR="00D87E44" w:rsidRDefault="00D87E44" w14:paraId="15457754" w14:textId="77777777">
            <w:pPr>
              <w:spacing w:before="0" w:after="0" w:line="240" w:lineRule="auto"/>
              <w:rPr>
                <w:noProof/>
                <w:color w:val="004300"/>
                <w:sz w:val="18"/>
                <w:szCs w:val="18"/>
                <w:lang w:val="en-IE"/>
              </w:rPr>
            </w:pPr>
            <w:r w:rsidRPr="2F543682">
              <w:rPr>
                <w:noProof/>
                <w:color w:val="004300"/>
                <w:sz w:val="18"/>
                <w:szCs w:val="18"/>
                <w:lang w:val="en-IE"/>
              </w:rPr>
              <w:t>1. Centralisation of system for self-employed persons</w:t>
            </w:r>
          </w:p>
          <w:p w:rsidRPr="00D627E5" w:rsidR="00D87E44" w:rsidRDefault="00D87E44" w14:paraId="15457755" w14:textId="77777777">
            <w:pPr>
              <w:spacing w:before="0" w:after="0" w:line="240" w:lineRule="auto"/>
              <w:rPr>
                <w:noProof/>
                <w:color w:val="004300"/>
                <w:sz w:val="18"/>
                <w:szCs w:val="18"/>
                <w:lang w:val="en-IE"/>
              </w:rPr>
            </w:pPr>
            <w:r w:rsidRPr="00D627E5">
              <w:rPr>
                <w:noProof/>
                <w:color w:val="004300"/>
                <w:sz w:val="18"/>
                <w:szCs w:val="18"/>
                <w:lang w:val="en-IE"/>
              </w:rPr>
              <w:t>2. Electronic Exchange of Social Security Information</w:t>
            </w:r>
          </w:p>
          <w:p w:rsidRPr="00D627E5" w:rsidR="00D87E44" w:rsidRDefault="00D87E44" w14:paraId="15457756" w14:textId="77777777">
            <w:pPr>
              <w:spacing w:before="0" w:after="0" w:line="240" w:lineRule="auto"/>
              <w:rPr>
                <w:noProof/>
                <w:color w:val="004300"/>
                <w:sz w:val="18"/>
                <w:szCs w:val="18"/>
                <w:lang w:val="en-IE"/>
              </w:rPr>
            </w:pPr>
            <w:r w:rsidRPr="00D627E5">
              <w:rPr>
                <w:noProof/>
                <w:color w:val="004300"/>
                <w:sz w:val="18"/>
                <w:szCs w:val="18"/>
                <w:lang w:val="en-IE"/>
              </w:rPr>
              <w:t xml:space="preserve">3. </w:t>
            </w:r>
            <w:r>
              <w:rPr>
                <w:noProof/>
                <w:color w:val="004300"/>
                <w:sz w:val="18"/>
                <w:szCs w:val="18"/>
                <w:lang w:val="en-IE"/>
              </w:rPr>
              <w:t>Portal and forms solution for the Ministry of Interior</w:t>
            </w:r>
          </w:p>
          <w:p w:rsidRPr="00D627E5" w:rsidR="00D87E44" w:rsidRDefault="00D87E44" w14:paraId="15457757" w14:textId="77777777">
            <w:pPr>
              <w:spacing w:before="0" w:after="0" w:line="240" w:lineRule="auto"/>
              <w:rPr>
                <w:noProof/>
                <w:color w:val="004300"/>
                <w:sz w:val="18"/>
                <w:szCs w:val="18"/>
                <w:lang w:val="en-IE"/>
              </w:rPr>
            </w:pPr>
            <w:r w:rsidRPr="00D627E5">
              <w:rPr>
                <w:noProof/>
                <w:color w:val="004300"/>
                <w:sz w:val="18"/>
                <w:szCs w:val="18"/>
                <w:lang w:val="en-IE"/>
              </w:rPr>
              <w:t xml:space="preserve">4. </w:t>
            </w:r>
            <w:r w:rsidRPr="00D627E5">
              <w:rPr>
                <w:noProof/>
                <w:color w:val="004300"/>
                <w:sz w:val="18"/>
                <w:szCs w:val="18"/>
                <w:lang w:val="en-IE"/>
              </w:rPr>
              <w:t>Medical Assessment Service</w:t>
            </w:r>
          </w:p>
          <w:p w:rsidRPr="00D627E5" w:rsidR="00D87E44" w:rsidRDefault="00D87E44" w14:paraId="15457758" w14:textId="77777777">
            <w:pPr>
              <w:spacing w:before="0" w:after="0" w:line="240" w:lineRule="auto"/>
              <w:rPr>
                <w:noProof/>
                <w:color w:val="004300"/>
                <w:sz w:val="18"/>
                <w:szCs w:val="18"/>
                <w:lang w:val="en-IE"/>
              </w:rPr>
            </w:pPr>
            <w:r w:rsidRPr="00D627E5">
              <w:rPr>
                <w:noProof/>
                <w:color w:val="004300"/>
                <w:sz w:val="18"/>
                <w:szCs w:val="18"/>
                <w:lang w:val="en-IE"/>
              </w:rPr>
              <w:t>5. Optimising data repository for social security administration</w:t>
            </w:r>
          </w:p>
          <w:p w:rsidRPr="00D627E5" w:rsidR="00D87E44" w:rsidRDefault="00D87E44" w14:paraId="15457759" w14:textId="77777777">
            <w:pPr>
              <w:spacing w:before="0" w:after="0" w:line="240" w:lineRule="auto"/>
              <w:rPr>
                <w:noProof/>
                <w:color w:val="004300"/>
                <w:sz w:val="18"/>
                <w:szCs w:val="18"/>
                <w:lang w:val="en-IE"/>
              </w:rPr>
            </w:pPr>
            <w:r w:rsidRPr="00D627E5">
              <w:rPr>
                <w:noProof/>
                <w:color w:val="004300"/>
                <w:sz w:val="18"/>
                <w:szCs w:val="18"/>
                <w:lang w:val="en-IE"/>
              </w:rPr>
              <w:t xml:space="preserve">6. </w:t>
            </w:r>
            <w:r w:rsidRPr="001E522A">
              <w:rPr>
                <w:noProof/>
                <w:color w:val="004300"/>
                <w:sz w:val="18"/>
                <w:szCs w:val="18"/>
                <w:lang w:val="en-IE"/>
              </w:rPr>
              <w:t>Decision database and judicial anonymiser</w:t>
            </w:r>
            <w:r w:rsidRPr="00D627E5">
              <w:rPr>
                <w:noProof/>
                <w:color w:val="004300"/>
                <w:sz w:val="18"/>
                <w:szCs w:val="18"/>
                <w:lang w:val="en-IE"/>
              </w:rPr>
              <w:t xml:space="preserve"> </w:t>
            </w:r>
          </w:p>
          <w:p w:rsidRPr="00D627E5" w:rsidR="00D87E44" w:rsidRDefault="00D87E44" w14:paraId="1545775A" w14:textId="77777777">
            <w:pPr>
              <w:spacing w:before="0" w:after="0" w:line="240" w:lineRule="auto"/>
              <w:rPr>
                <w:noProof/>
                <w:color w:val="004300"/>
                <w:sz w:val="18"/>
                <w:szCs w:val="18"/>
                <w:lang w:val="en-IE"/>
              </w:rPr>
            </w:pPr>
            <w:r w:rsidRPr="00D627E5">
              <w:rPr>
                <w:noProof/>
                <w:color w:val="004300"/>
                <w:sz w:val="18"/>
                <w:szCs w:val="18"/>
                <w:lang w:val="en-IE"/>
              </w:rPr>
              <w:t xml:space="preserve">7. Central Authentication Point for Czech Statistical Office and the integration of statistical registries into connected data pool </w:t>
            </w:r>
          </w:p>
          <w:p w:rsidRPr="00D627E5" w:rsidR="00D87E44" w:rsidRDefault="00D87E44" w14:paraId="1545775B" w14:textId="77777777">
            <w:pPr>
              <w:spacing w:before="0" w:after="0" w:line="240" w:lineRule="auto"/>
              <w:rPr>
                <w:noProof/>
                <w:color w:val="004300"/>
                <w:sz w:val="18"/>
                <w:szCs w:val="18"/>
                <w:lang w:val="en-IE"/>
              </w:rPr>
            </w:pPr>
            <w:r w:rsidRPr="00D627E5">
              <w:rPr>
                <w:noProof/>
                <w:color w:val="004300"/>
                <w:sz w:val="18"/>
                <w:szCs w:val="18"/>
                <w:lang w:val="en-IE"/>
              </w:rPr>
              <w:t>8. Museum Collections information system</w:t>
            </w:r>
          </w:p>
        </w:tc>
      </w:tr>
      <w:tr w:rsidRPr="00FE48E2" w:rsidR="00E3458A" w:rsidTr="4A45BCA2" w14:paraId="15457769" w14:textId="77777777">
        <w:trPr>
          <w:trHeight w:val="300"/>
          <w:jc w:val="center"/>
        </w:trPr>
        <w:tc>
          <w:tcPr>
            <w:tcW w:w="704" w:type="dxa"/>
            <w:shd w:val="clear" w:color="auto" w:fill="C6EFCE"/>
            <w:hideMark/>
          </w:tcPr>
          <w:p w:rsidRPr="00D627E5" w:rsidR="00D87E44" w:rsidRDefault="00D87E44" w14:paraId="1545775D" w14:textId="77777777">
            <w:pPr>
              <w:spacing w:before="0" w:after="0" w:line="240" w:lineRule="auto"/>
              <w:rPr>
                <w:rFonts w:eastAsia="Times New Roman"/>
                <w:noProof/>
                <w:color w:val="004300"/>
                <w:sz w:val="18"/>
                <w:szCs w:val="18"/>
                <w:lang w:val="en-IE"/>
              </w:rPr>
            </w:pPr>
            <w:r w:rsidRPr="6D021423">
              <w:rPr>
                <w:rFonts w:eastAsia="Times New Roman"/>
                <w:noProof/>
                <w:color w:val="004300"/>
                <w:sz w:val="18"/>
                <w:szCs w:val="18"/>
                <w:lang w:val="en-IE"/>
              </w:rPr>
              <w:lastRenderedPageBreak/>
              <w:t>19</w:t>
            </w:r>
          </w:p>
        </w:tc>
        <w:tc>
          <w:tcPr>
            <w:tcW w:w="1276" w:type="dxa"/>
            <w:shd w:val="clear" w:color="auto" w:fill="C6EFCE"/>
            <w:hideMark/>
          </w:tcPr>
          <w:p w:rsidRPr="00D627E5" w:rsidR="00D87E44" w:rsidRDefault="00D87E44" w14:paraId="1545775E"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Investment 1:</w:t>
            </w:r>
          </w:p>
          <w:p w:rsidRPr="00D627E5" w:rsidR="00D87E44" w:rsidRDefault="00D87E44" w14:paraId="1545775F"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Development </w:t>
            </w:r>
            <w:r w:rsidRPr="00F06F5C">
              <w:rPr>
                <w:noProof/>
                <w:color w:val="004300"/>
                <w:sz w:val="18"/>
                <w:lang w:val="en-IE"/>
              </w:rPr>
              <w:t xml:space="preserve">of </w:t>
            </w:r>
            <w:r w:rsidRPr="00D627E5">
              <w:rPr>
                <w:rFonts w:eastAsia="Times New Roman"/>
                <w:noProof/>
                <w:color w:val="004300"/>
                <w:sz w:val="18"/>
                <w:szCs w:val="18"/>
                <w:lang w:val="en-IE"/>
              </w:rPr>
              <w:t>information systems</w:t>
            </w:r>
          </w:p>
        </w:tc>
        <w:tc>
          <w:tcPr>
            <w:tcW w:w="1134" w:type="dxa"/>
            <w:shd w:val="clear" w:color="auto" w:fill="C6EFCE"/>
            <w:hideMark/>
          </w:tcPr>
          <w:p w:rsidRPr="00D627E5" w:rsidR="00D87E44" w:rsidRDefault="00D87E44" w14:paraId="1545776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Target</w:t>
            </w:r>
          </w:p>
        </w:tc>
        <w:tc>
          <w:tcPr>
            <w:tcW w:w="1559" w:type="dxa"/>
            <w:shd w:val="clear" w:color="auto" w:fill="C6EFCE"/>
            <w:hideMark/>
          </w:tcPr>
          <w:p w:rsidRPr="00D627E5" w:rsidR="00D87E44" w:rsidRDefault="00D87E44" w14:paraId="15457761" w14:textId="77777777">
            <w:pPr>
              <w:spacing w:before="0" w:after="0" w:line="240" w:lineRule="auto"/>
              <w:rPr>
                <w:rFonts w:eastAsia="Times New Roman"/>
                <w:noProof/>
                <w:color w:val="004300"/>
                <w:sz w:val="18"/>
                <w:szCs w:val="18"/>
                <w:lang w:val="en-IE"/>
              </w:rPr>
            </w:pPr>
            <w:r w:rsidRPr="44D41F6E">
              <w:rPr>
                <w:noProof/>
                <w:color w:val="004300"/>
                <w:sz w:val="18"/>
                <w:szCs w:val="18"/>
                <w:lang w:val="en-IE"/>
              </w:rPr>
              <w:t>N</w:t>
            </w:r>
            <w:r w:rsidRPr="00D627E5">
              <w:rPr>
                <w:noProof/>
                <w:color w:val="004300"/>
                <w:sz w:val="18"/>
                <w:szCs w:val="18"/>
                <w:lang w:val="en-IE"/>
              </w:rPr>
              <w:t xml:space="preserve">ew or upgraded information systems </w:t>
            </w:r>
            <w:r>
              <w:rPr>
                <w:noProof/>
                <w:color w:val="004300"/>
                <w:sz w:val="18"/>
                <w:szCs w:val="18"/>
                <w:lang w:val="en-IE"/>
              </w:rPr>
              <w:t xml:space="preserve"> </w:t>
            </w:r>
          </w:p>
        </w:tc>
        <w:tc>
          <w:tcPr>
            <w:tcW w:w="1701" w:type="dxa"/>
            <w:shd w:val="clear" w:color="auto" w:fill="C6EFCE"/>
          </w:tcPr>
          <w:p w:rsidRPr="00D627E5" w:rsidR="00D87E44" w:rsidRDefault="00D87E44" w14:paraId="15457762" w14:textId="77777777">
            <w:pPr>
              <w:spacing w:before="0" w:after="0" w:line="240" w:lineRule="auto"/>
              <w:rPr>
                <w:rFonts w:eastAsia="Times New Roman"/>
                <w:noProof/>
                <w:color w:val="004300"/>
                <w:sz w:val="18"/>
                <w:szCs w:val="18"/>
                <w:lang w:val="en-IE"/>
              </w:rPr>
            </w:pPr>
          </w:p>
        </w:tc>
        <w:tc>
          <w:tcPr>
            <w:tcW w:w="1559" w:type="dxa"/>
            <w:shd w:val="clear" w:color="auto" w:fill="C6EFCE"/>
            <w:hideMark/>
          </w:tcPr>
          <w:p w:rsidRPr="00D627E5" w:rsidR="00D87E44" w:rsidRDefault="00D87E44" w14:paraId="15457763" w14:textId="77777777">
            <w:pPr>
              <w:spacing w:before="0" w:after="0" w:line="240" w:lineRule="auto"/>
              <w:rPr>
                <w:rFonts w:eastAsia="Times New Roman"/>
                <w:noProof/>
                <w:color w:val="004300"/>
                <w:sz w:val="18"/>
                <w:szCs w:val="18"/>
                <w:lang w:val="en-IE"/>
              </w:rPr>
            </w:pPr>
            <w:r w:rsidRPr="44D41F6E">
              <w:rPr>
                <w:rFonts w:eastAsia="Times New Roman"/>
                <w:noProof/>
                <w:color w:val="004300"/>
                <w:sz w:val="18"/>
                <w:szCs w:val="18"/>
                <w:lang w:val="en-IE"/>
              </w:rPr>
              <w:t>Number of information systems</w:t>
            </w:r>
          </w:p>
        </w:tc>
        <w:tc>
          <w:tcPr>
            <w:tcW w:w="993" w:type="dxa"/>
            <w:shd w:val="clear" w:color="auto" w:fill="C6EFCE"/>
            <w:hideMark/>
          </w:tcPr>
          <w:p w:rsidRPr="00D627E5" w:rsidR="00D87E44" w:rsidRDefault="00D87E44" w14:paraId="1545776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0</w:t>
            </w:r>
          </w:p>
        </w:tc>
        <w:tc>
          <w:tcPr>
            <w:tcW w:w="1134" w:type="dxa"/>
            <w:shd w:val="clear" w:color="auto" w:fill="C6EFCE"/>
            <w:hideMark/>
          </w:tcPr>
          <w:p w:rsidRPr="00D627E5" w:rsidR="00D87E44" w:rsidRDefault="00D87E44" w14:paraId="15457765"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8</w:t>
            </w:r>
          </w:p>
        </w:tc>
        <w:tc>
          <w:tcPr>
            <w:tcW w:w="850" w:type="dxa"/>
            <w:shd w:val="clear" w:color="auto" w:fill="C6EFCE"/>
            <w:hideMark/>
          </w:tcPr>
          <w:p w:rsidRPr="00D627E5" w:rsidR="00D87E44" w:rsidRDefault="00D87E44" w14:paraId="15457766"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67"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2025</w:t>
            </w:r>
          </w:p>
        </w:tc>
        <w:tc>
          <w:tcPr>
            <w:tcW w:w="3433" w:type="dxa"/>
            <w:shd w:val="clear" w:color="auto" w:fill="C6EFCE"/>
            <w:hideMark/>
          </w:tcPr>
          <w:p w:rsidRPr="00D627E5" w:rsidR="00D87E44" w:rsidRDefault="00D87E44" w14:paraId="15457768" w14:textId="77777777">
            <w:pPr>
              <w:spacing w:before="0" w:after="0" w:line="240" w:lineRule="auto"/>
              <w:rPr>
                <w:noProof/>
                <w:color w:val="004300"/>
                <w:sz w:val="18"/>
                <w:szCs w:val="18"/>
                <w:lang w:val="en-IE"/>
              </w:rPr>
            </w:pPr>
            <w:r w:rsidRPr="63503832">
              <w:rPr>
                <w:noProof/>
                <w:color w:val="004300"/>
                <w:sz w:val="18"/>
                <w:szCs w:val="18"/>
                <w:lang w:val="en-IE"/>
              </w:rPr>
              <w:t>Eight</w:t>
            </w:r>
            <w:r>
              <w:rPr>
                <w:noProof/>
                <w:color w:val="004300"/>
                <w:sz w:val="18"/>
                <w:szCs w:val="18"/>
                <w:lang w:val="en-IE"/>
              </w:rPr>
              <w:t xml:space="preserve"> n</w:t>
            </w:r>
            <w:r w:rsidRPr="2F543682">
              <w:rPr>
                <w:noProof/>
                <w:color w:val="004300"/>
                <w:sz w:val="18"/>
                <w:szCs w:val="18"/>
                <w:lang w:val="en-IE"/>
              </w:rPr>
              <w:t xml:space="preserve">ew or upgraded information systems </w:t>
            </w:r>
            <w:r>
              <w:rPr>
                <w:noProof/>
                <w:color w:val="004300"/>
                <w:sz w:val="18"/>
                <w:szCs w:val="18"/>
                <w:lang w:val="en-IE"/>
              </w:rPr>
              <w:t xml:space="preserve">of </w:t>
            </w:r>
            <w:r w:rsidRPr="63503832">
              <w:rPr>
                <w:noProof/>
                <w:color w:val="004300"/>
                <w:sz w:val="18"/>
                <w:szCs w:val="18"/>
                <w:lang w:val="en-IE"/>
              </w:rPr>
              <w:t xml:space="preserve">the </w:t>
            </w:r>
            <w:r>
              <w:rPr>
                <w:noProof/>
                <w:color w:val="004300"/>
                <w:sz w:val="18"/>
                <w:szCs w:val="18"/>
                <w:lang w:val="en-IE"/>
              </w:rPr>
              <w:t>public administration</w:t>
            </w:r>
            <w:r w:rsidRPr="2F543682">
              <w:rPr>
                <w:noProof/>
                <w:color w:val="004300"/>
                <w:sz w:val="18"/>
                <w:szCs w:val="18"/>
                <w:lang w:val="en-IE"/>
              </w:rPr>
              <w:t xml:space="preserve"> </w:t>
            </w:r>
            <w:r w:rsidRPr="008C7FAF">
              <w:rPr>
                <w:noProof/>
                <w:color w:val="004300"/>
                <w:sz w:val="18"/>
                <w:szCs w:val="18"/>
                <w:lang w:val="en-IE"/>
              </w:rPr>
              <w:t>accepted by the contracting authority or authorities</w:t>
            </w:r>
            <w:r w:rsidRPr="63503832">
              <w:rPr>
                <w:noProof/>
                <w:color w:val="004300"/>
                <w:sz w:val="18"/>
                <w:szCs w:val="18"/>
                <w:lang w:val="en-IE"/>
              </w:rPr>
              <w:t>.</w:t>
            </w:r>
          </w:p>
        </w:tc>
      </w:tr>
      <w:tr w:rsidRPr="00FE48E2" w:rsidR="00E3458A" w:rsidTr="4A45BCA2" w14:paraId="15457776" w14:textId="77777777">
        <w:trPr>
          <w:trHeight w:val="300"/>
          <w:jc w:val="center"/>
        </w:trPr>
        <w:tc>
          <w:tcPr>
            <w:tcW w:w="704" w:type="dxa"/>
            <w:shd w:val="clear" w:color="auto" w:fill="C6EFCE"/>
            <w:hideMark/>
          </w:tcPr>
          <w:p w:rsidRPr="00D627E5" w:rsidR="00D87E44" w:rsidRDefault="00D87E44" w14:paraId="1545776A"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w:t>
            </w:r>
          </w:p>
        </w:tc>
        <w:tc>
          <w:tcPr>
            <w:tcW w:w="1276" w:type="dxa"/>
            <w:shd w:val="clear" w:color="auto" w:fill="C6EFCE"/>
            <w:hideMark/>
          </w:tcPr>
          <w:p w:rsidRPr="00D627E5" w:rsidR="00D87E44" w:rsidRDefault="00D87E44" w14:paraId="1545776B"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Investment 2:</w:t>
            </w:r>
          </w:p>
          <w:p w:rsidRPr="00D627E5" w:rsidR="00D87E44" w:rsidRDefault="00D87E44" w14:paraId="1545776C"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Development of core </w:t>
            </w:r>
            <w:r w:rsidRPr="41EDE7EF">
              <w:rPr>
                <w:rFonts w:eastAsia="Times New Roman"/>
                <w:noProof/>
                <w:color w:val="004300"/>
                <w:sz w:val="18"/>
                <w:szCs w:val="18"/>
                <w:lang w:val="en-IE"/>
              </w:rPr>
              <w:t>re</w:t>
            </w:r>
            <w:r w:rsidRPr="0010754C">
              <w:rPr>
                <w:rFonts w:eastAsia="Times New Roman"/>
                <w:noProof/>
                <w:color w:val="004300"/>
                <w:sz w:val="18"/>
                <w:szCs w:val="18"/>
                <w:lang w:val="en-IE"/>
              </w:rPr>
              <w:t>gistries</w:t>
            </w:r>
            <w:r w:rsidRPr="00D627E5">
              <w:rPr>
                <w:rFonts w:eastAsia="Times New Roman"/>
                <w:noProof/>
                <w:color w:val="004300"/>
                <w:sz w:val="18"/>
                <w:szCs w:val="18"/>
                <w:lang w:val="en-IE"/>
              </w:rPr>
              <w:t xml:space="preserve"> and facilities for eGovernment</w:t>
            </w:r>
          </w:p>
        </w:tc>
        <w:tc>
          <w:tcPr>
            <w:tcW w:w="1134" w:type="dxa"/>
            <w:shd w:val="clear" w:color="auto" w:fill="C6EFCE"/>
            <w:hideMark/>
          </w:tcPr>
          <w:p w:rsidRPr="00D627E5" w:rsidR="00D87E44" w:rsidRDefault="00D87E44" w14:paraId="1545776D"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Milestone</w:t>
            </w:r>
          </w:p>
        </w:tc>
        <w:tc>
          <w:tcPr>
            <w:tcW w:w="1559" w:type="dxa"/>
            <w:shd w:val="clear" w:color="auto" w:fill="C6EFCE"/>
            <w:hideMark/>
          </w:tcPr>
          <w:p w:rsidRPr="00D627E5" w:rsidR="00D87E44" w:rsidRDefault="00D87E44" w14:paraId="1545776E"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Completion of a fully operational software-defined data centre including data containers</w:t>
            </w:r>
          </w:p>
        </w:tc>
        <w:tc>
          <w:tcPr>
            <w:tcW w:w="1701" w:type="dxa"/>
            <w:shd w:val="clear" w:color="auto" w:fill="C6EFCE"/>
            <w:hideMark/>
          </w:tcPr>
          <w:p w:rsidRPr="00D627E5" w:rsidR="00D87E44" w:rsidRDefault="00D87E44" w14:paraId="1545776F" w14:textId="77777777">
            <w:pPr>
              <w:spacing w:before="0" w:after="0" w:line="240" w:lineRule="auto"/>
              <w:rPr>
                <w:noProof/>
                <w:color w:val="004300"/>
                <w:sz w:val="18"/>
                <w:szCs w:val="18"/>
                <w:lang w:val="en-IE"/>
              </w:rPr>
            </w:pPr>
            <w:r w:rsidRPr="00D627E5">
              <w:rPr>
                <w:noProof/>
                <w:color w:val="004300"/>
                <w:sz w:val="18"/>
                <w:szCs w:val="18"/>
                <w:lang w:val="en-IE"/>
              </w:rPr>
              <w:t>Successful testing and adoption of the delivery of a new data centre by the Ministry of Labour and Social Affairs</w:t>
            </w:r>
          </w:p>
        </w:tc>
        <w:tc>
          <w:tcPr>
            <w:tcW w:w="1559" w:type="dxa"/>
            <w:shd w:val="clear" w:color="auto" w:fill="C6EFCE"/>
            <w:hideMark/>
          </w:tcPr>
          <w:p w:rsidRPr="00D627E5" w:rsidR="00D87E44" w:rsidRDefault="00D87E44" w14:paraId="1545777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w:t>
            </w:r>
          </w:p>
        </w:tc>
        <w:tc>
          <w:tcPr>
            <w:tcW w:w="993" w:type="dxa"/>
            <w:shd w:val="clear" w:color="auto" w:fill="C6EFCE"/>
            <w:hideMark/>
          </w:tcPr>
          <w:p w:rsidRPr="00D627E5" w:rsidR="00D87E44" w:rsidRDefault="00D87E44" w14:paraId="15457771" w14:textId="77777777">
            <w:pPr>
              <w:spacing w:before="0" w:after="0" w:line="240" w:lineRule="auto"/>
              <w:rPr>
                <w:rFonts w:eastAsia="Times New Roman"/>
                <w:noProof/>
                <w:color w:val="004300"/>
                <w:sz w:val="18"/>
                <w:szCs w:val="18"/>
                <w:lang w:val="en-IE"/>
              </w:rPr>
            </w:pPr>
          </w:p>
        </w:tc>
        <w:tc>
          <w:tcPr>
            <w:tcW w:w="1134" w:type="dxa"/>
            <w:shd w:val="clear" w:color="auto" w:fill="C6EFCE"/>
            <w:hideMark/>
          </w:tcPr>
          <w:p w:rsidRPr="00D627E5" w:rsidR="00D87E44" w:rsidRDefault="00D87E44" w14:paraId="15457772"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73"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7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75"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The milestone shall be </w:t>
            </w:r>
            <w:r w:rsidRPr="00D627E5">
              <w:rPr>
                <w:noProof/>
                <w:color w:val="004300"/>
                <w:sz w:val="18"/>
                <w:szCs w:val="18"/>
                <w:lang w:val="en-IE"/>
              </w:rPr>
              <w:t>considered achieved once the new data</w:t>
            </w:r>
            <w:r>
              <w:rPr>
                <w:noProof/>
                <w:color w:val="004300"/>
                <w:sz w:val="18"/>
                <w:szCs w:val="18"/>
                <w:lang w:val="en-IE"/>
              </w:rPr>
              <w:t xml:space="preserve"> </w:t>
            </w:r>
            <w:r w:rsidRPr="00D627E5">
              <w:rPr>
                <w:noProof/>
                <w:color w:val="004300"/>
                <w:sz w:val="18"/>
                <w:szCs w:val="18"/>
                <w:lang w:val="en-IE"/>
              </w:rPr>
              <w:t xml:space="preserve">centre is fully operational and has been made available to </w:t>
            </w:r>
            <w:r w:rsidRPr="0010754C">
              <w:rPr>
                <w:rFonts w:eastAsia="Times New Roman"/>
                <w:noProof/>
                <w:color w:val="004300"/>
                <w:sz w:val="18"/>
                <w:szCs w:val="18"/>
                <w:lang w:val="en-IE"/>
              </w:rPr>
              <w:t>end users.</w:t>
            </w:r>
          </w:p>
        </w:tc>
      </w:tr>
      <w:tr w:rsidRPr="00FE48E2" w:rsidR="00E3458A" w:rsidTr="4A45BCA2" w14:paraId="15457786" w14:textId="77777777">
        <w:trPr>
          <w:trHeight w:val="300"/>
          <w:jc w:val="center"/>
        </w:trPr>
        <w:tc>
          <w:tcPr>
            <w:tcW w:w="704" w:type="dxa"/>
            <w:shd w:val="clear" w:color="auto" w:fill="C6EFCE"/>
            <w:hideMark/>
          </w:tcPr>
          <w:p w:rsidRPr="00D627E5" w:rsidR="00D87E44" w:rsidRDefault="00D87E44" w14:paraId="15457777"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21</w:t>
            </w:r>
          </w:p>
        </w:tc>
        <w:tc>
          <w:tcPr>
            <w:tcW w:w="1276" w:type="dxa"/>
            <w:shd w:val="clear" w:color="auto" w:fill="C6EFCE"/>
            <w:hideMark/>
          </w:tcPr>
          <w:p w:rsidRPr="00D627E5" w:rsidR="00D87E44" w:rsidRDefault="00D87E44" w14:paraId="15457778"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Investment 2:</w:t>
            </w:r>
          </w:p>
          <w:p w:rsidRPr="00D627E5" w:rsidR="00D87E44" w:rsidRDefault="00D87E44" w14:paraId="15457779"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Development of core </w:t>
            </w:r>
            <w:r w:rsidRPr="00BA4A15">
              <w:rPr>
                <w:rFonts w:eastAsia="Times New Roman"/>
                <w:noProof/>
                <w:color w:val="004300"/>
                <w:sz w:val="18"/>
                <w:szCs w:val="18"/>
                <w:lang w:val="en-IE"/>
              </w:rPr>
              <w:t>registries</w:t>
            </w:r>
            <w:r w:rsidRPr="00D627E5">
              <w:rPr>
                <w:rFonts w:eastAsia="Times New Roman"/>
                <w:noProof/>
                <w:color w:val="004300"/>
                <w:sz w:val="18"/>
                <w:szCs w:val="18"/>
                <w:lang w:val="en-IE"/>
              </w:rPr>
              <w:t xml:space="preserve"> and facilities for eGovernment</w:t>
            </w:r>
          </w:p>
        </w:tc>
        <w:tc>
          <w:tcPr>
            <w:tcW w:w="1134" w:type="dxa"/>
            <w:shd w:val="clear" w:color="auto" w:fill="C6EFCE"/>
            <w:hideMark/>
          </w:tcPr>
          <w:p w:rsidRPr="00D627E5" w:rsidR="00D87E44" w:rsidRDefault="00D87E44" w14:paraId="1545777A"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Milestone</w:t>
            </w:r>
          </w:p>
        </w:tc>
        <w:tc>
          <w:tcPr>
            <w:tcW w:w="1559" w:type="dxa"/>
            <w:shd w:val="clear" w:color="auto" w:fill="C6EFCE"/>
            <w:hideMark/>
          </w:tcPr>
          <w:p w:rsidRPr="00D627E5" w:rsidR="00D87E44" w:rsidRDefault="00D87E44" w14:paraId="1545777B" w14:textId="77777777">
            <w:pPr>
              <w:spacing w:before="0" w:after="0" w:line="240" w:lineRule="auto"/>
              <w:rPr>
                <w:rFonts w:eastAsia="Times New Roman"/>
                <w:noProof/>
                <w:color w:val="004300"/>
                <w:sz w:val="18"/>
                <w:szCs w:val="18"/>
                <w:lang w:val="en-IE"/>
              </w:rPr>
            </w:pPr>
            <w:r w:rsidRPr="44D41F6E">
              <w:rPr>
                <w:noProof/>
                <w:color w:val="004300"/>
                <w:sz w:val="18"/>
                <w:szCs w:val="18"/>
                <w:lang w:val="en-IE"/>
              </w:rPr>
              <w:t xml:space="preserve">Projects upgrading </w:t>
            </w:r>
            <w:r>
              <w:rPr>
                <w:noProof/>
                <w:color w:val="004300"/>
                <w:sz w:val="18"/>
                <w:szCs w:val="18"/>
                <w:lang w:val="en-IE"/>
              </w:rPr>
              <w:t xml:space="preserve">core registries and </w:t>
            </w:r>
            <w:r>
              <w:rPr>
                <w:noProof/>
                <w:color w:val="004300"/>
                <w:sz w:val="18"/>
                <w:szCs w:val="18"/>
                <w:lang w:val="en-IE"/>
              </w:rPr>
              <w:t>facilities for eGovernment</w:t>
            </w:r>
          </w:p>
        </w:tc>
        <w:tc>
          <w:tcPr>
            <w:tcW w:w="1701" w:type="dxa"/>
            <w:shd w:val="clear" w:color="auto" w:fill="C6EFCE"/>
            <w:hideMark/>
          </w:tcPr>
          <w:p w:rsidRPr="00FF1320" w:rsidR="00D87E44" w:rsidRDefault="00D87E44" w14:paraId="1545777C" w14:textId="77777777">
            <w:pPr>
              <w:spacing w:before="0" w:after="0" w:line="240" w:lineRule="auto"/>
              <w:rPr>
                <w:color w:val="004300"/>
                <w:sz w:val="18"/>
                <w:highlight w:val="yellow"/>
                <w:lang w:val="en-IE"/>
              </w:rPr>
            </w:pPr>
            <w:r w:rsidRPr="00362840">
              <w:rPr>
                <w:rFonts w:eastAsia="Times New Roman"/>
                <w:noProof/>
                <w:color w:val="004300"/>
                <w:sz w:val="18"/>
                <w:szCs w:val="18"/>
                <w:lang w:val="en-IE"/>
              </w:rPr>
              <w:t>A</w:t>
            </w:r>
            <w:r w:rsidRPr="009F79A1">
              <w:rPr>
                <w:rFonts w:eastAsia="Times New Roman"/>
                <w:noProof/>
                <w:color w:val="004300"/>
                <w:sz w:val="18"/>
                <w:szCs w:val="18"/>
                <w:lang w:val="en-IE"/>
              </w:rPr>
              <w:t>cceptance protocols</w:t>
            </w:r>
          </w:p>
        </w:tc>
        <w:tc>
          <w:tcPr>
            <w:tcW w:w="1559" w:type="dxa"/>
            <w:shd w:val="clear" w:color="auto" w:fill="C6EFCE"/>
          </w:tcPr>
          <w:p w:rsidR="00D87E44" w:rsidRDefault="00D87E44" w14:paraId="1545777D" w14:textId="77777777">
            <w:pPr>
              <w:spacing w:before="0" w:after="0" w:line="240" w:lineRule="auto"/>
              <w:rPr>
                <w:rFonts w:eastAsia="Times New Roman"/>
                <w:noProof/>
                <w:color w:val="004300"/>
                <w:sz w:val="18"/>
                <w:szCs w:val="18"/>
                <w:lang w:val="en-IE"/>
              </w:rPr>
            </w:pPr>
          </w:p>
          <w:p w:rsidRPr="004F1648" w:rsidR="00D87E44" w:rsidRDefault="00D87E44" w14:paraId="1545777E" w14:textId="77777777">
            <w:pPr>
              <w:rPr>
                <w:rFonts w:eastAsia="Times New Roman"/>
                <w:noProof/>
                <w:sz w:val="18"/>
                <w:szCs w:val="18"/>
                <w:lang w:val="en-IE"/>
              </w:rPr>
            </w:pPr>
          </w:p>
          <w:p w:rsidR="00D87E44" w:rsidRDefault="00D87E44" w14:paraId="1545777F" w14:textId="77777777">
            <w:pPr>
              <w:rPr>
                <w:rFonts w:eastAsia="Times New Roman"/>
                <w:noProof/>
                <w:color w:val="004300"/>
                <w:sz w:val="18"/>
                <w:szCs w:val="18"/>
                <w:lang w:val="en-IE"/>
              </w:rPr>
            </w:pPr>
          </w:p>
          <w:p w:rsidRPr="004F1648" w:rsidR="00D87E44" w:rsidRDefault="00D87E44" w14:paraId="15457780" w14:textId="77777777">
            <w:pPr>
              <w:rPr>
                <w:rFonts w:eastAsia="Times New Roman"/>
                <w:noProof/>
                <w:sz w:val="18"/>
                <w:szCs w:val="18"/>
                <w:lang w:val="en-IE"/>
              </w:rPr>
            </w:pPr>
          </w:p>
        </w:tc>
        <w:tc>
          <w:tcPr>
            <w:tcW w:w="993" w:type="dxa"/>
            <w:shd w:val="clear" w:color="auto" w:fill="C6EFCE"/>
          </w:tcPr>
          <w:p w:rsidRPr="00D627E5" w:rsidR="00D87E44" w:rsidRDefault="00D87E44" w14:paraId="15457781"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82"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83"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Q1</w:t>
            </w:r>
          </w:p>
        </w:tc>
        <w:tc>
          <w:tcPr>
            <w:tcW w:w="709" w:type="dxa"/>
            <w:shd w:val="clear" w:color="auto" w:fill="C6EFCE"/>
            <w:hideMark/>
          </w:tcPr>
          <w:p w:rsidRPr="00D627E5" w:rsidR="00D87E44" w:rsidRDefault="00D87E44" w14:paraId="1545778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2025</w:t>
            </w:r>
          </w:p>
        </w:tc>
        <w:tc>
          <w:tcPr>
            <w:tcW w:w="3433" w:type="dxa"/>
            <w:shd w:val="clear" w:color="auto" w:fill="C6EFCE"/>
            <w:hideMark/>
          </w:tcPr>
          <w:p w:rsidRPr="00636DF0" w:rsidR="00D87E44" w:rsidRDefault="00D87E44" w14:paraId="15457785" w14:textId="77777777">
            <w:pPr>
              <w:spacing w:before="0" w:after="0" w:line="240" w:lineRule="auto"/>
              <w:rPr>
                <w:noProof/>
                <w:color w:val="004300"/>
                <w:sz w:val="18"/>
                <w:highlight w:val="yellow"/>
                <w:lang w:val="en-IE"/>
              </w:rPr>
            </w:pPr>
            <w:r>
              <w:rPr>
                <w:noProof/>
                <w:color w:val="004300"/>
                <w:sz w:val="18"/>
                <w:szCs w:val="18"/>
                <w:lang w:val="en-IE"/>
              </w:rPr>
              <w:t xml:space="preserve">Acceptance protocols issued by the contracting authorities for </w:t>
            </w:r>
            <w:r w:rsidRPr="42CD59AD">
              <w:rPr>
                <w:noProof/>
                <w:color w:val="004300"/>
                <w:sz w:val="18"/>
                <w:szCs w:val="18"/>
                <w:lang w:val="en-IE"/>
              </w:rPr>
              <w:t xml:space="preserve">at least </w:t>
            </w:r>
            <w:r w:rsidRPr="0D536B55">
              <w:rPr>
                <w:noProof/>
                <w:color w:val="004300"/>
                <w:sz w:val="18"/>
                <w:szCs w:val="18"/>
                <w:lang w:val="en-IE"/>
              </w:rPr>
              <w:t>10</w:t>
            </w:r>
            <w:r w:rsidRPr="009F79A1">
              <w:rPr>
                <w:noProof/>
                <w:color w:val="004300"/>
                <w:sz w:val="18"/>
                <w:szCs w:val="18"/>
                <w:lang w:val="en-IE"/>
              </w:rPr>
              <w:t xml:space="preserve"> projects </w:t>
            </w:r>
            <w:r w:rsidRPr="00362840">
              <w:rPr>
                <w:noProof/>
                <w:color w:val="004300"/>
                <w:sz w:val="18"/>
                <w:szCs w:val="18"/>
                <w:lang w:val="en-IE"/>
              </w:rPr>
              <w:t>upgrading core registries and facilities for eGovernment</w:t>
            </w:r>
            <w:r>
              <w:rPr>
                <w:noProof/>
                <w:color w:val="004300"/>
                <w:sz w:val="18"/>
                <w:szCs w:val="18"/>
                <w:lang w:val="en-IE"/>
              </w:rPr>
              <w:t xml:space="preserve">. Supported activities may include </w:t>
            </w:r>
            <w:r w:rsidRPr="0037394F">
              <w:rPr>
                <w:noProof/>
                <w:color w:val="004300"/>
                <w:sz w:val="18"/>
                <w:szCs w:val="18"/>
                <w:lang w:val="en-IE"/>
              </w:rPr>
              <w:t xml:space="preserve">but </w:t>
            </w:r>
            <w:r>
              <w:rPr>
                <w:noProof/>
                <w:color w:val="004300"/>
                <w:sz w:val="18"/>
                <w:szCs w:val="18"/>
                <w:lang w:val="en-IE"/>
              </w:rPr>
              <w:t xml:space="preserve">are </w:t>
            </w:r>
            <w:r w:rsidRPr="0037394F">
              <w:rPr>
                <w:noProof/>
                <w:color w:val="004300"/>
                <w:sz w:val="18"/>
                <w:szCs w:val="18"/>
                <w:lang w:val="en-IE"/>
              </w:rPr>
              <w:t>not limited to</w:t>
            </w:r>
            <w:r>
              <w:rPr>
                <w:noProof/>
              </w:rPr>
              <w:t xml:space="preserve"> </w:t>
            </w:r>
            <w:r w:rsidRPr="004D274C">
              <w:rPr>
                <w:noProof/>
                <w:color w:val="004300"/>
                <w:sz w:val="18"/>
                <w:szCs w:val="18"/>
                <w:lang w:val="en-IE"/>
              </w:rPr>
              <w:t xml:space="preserve">enhancing network capacity and cybersecurity, </w:t>
            </w:r>
            <w:r>
              <w:rPr>
                <w:noProof/>
                <w:color w:val="004300"/>
                <w:sz w:val="18"/>
                <w:szCs w:val="18"/>
                <w:lang w:val="en-IE"/>
              </w:rPr>
              <w:t xml:space="preserve">upgrading </w:t>
            </w:r>
            <w:r w:rsidRPr="004D274C">
              <w:rPr>
                <w:noProof/>
                <w:color w:val="004300"/>
                <w:sz w:val="18"/>
                <w:szCs w:val="18"/>
                <w:lang w:val="en-IE"/>
              </w:rPr>
              <w:t>the National Certification Authority, expanding data centres</w:t>
            </w:r>
            <w:r w:rsidRPr="0D536B55">
              <w:rPr>
                <w:noProof/>
                <w:color w:val="004300"/>
                <w:sz w:val="18"/>
                <w:szCs w:val="18"/>
                <w:lang w:val="en-IE"/>
              </w:rPr>
              <w:t xml:space="preserve"> and </w:t>
            </w:r>
            <w:r w:rsidRPr="42CD59AD">
              <w:rPr>
                <w:noProof/>
                <w:color w:val="004300"/>
                <w:sz w:val="18"/>
                <w:szCs w:val="18"/>
                <w:lang w:val="en-IE"/>
              </w:rPr>
              <w:t>storage</w:t>
            </w:r>
            <w:r w:rsidRPr="004D274C">
              <w:rPr>
                <w:noProof/>
                <w:color w:val="004300"/>
                <w:sz w:val="18"/>
                <w:szCs w:val="18"/>
                <w:lang w:val="en-IE"/>
              </w:rPr>
              <w:t xml:space="preserve">, upgrading key registries, improving the National Identity and Authentication Point, and developing interoperable systems and interfaces. </w:t>
            </w:r>
          </w:p>
        </w:tc>
      </w:tr>
      <w:tr w:rsidRPr="00FE48E2" w:rsidR="00E3458A" w:rsidTr="4A45BCA2" w14:paraId="15457793" w14:textId="77777777">
        <w:trPr>
          <w:trHeight w:val="300"/>
          <w:jc w:val="center"/>
        </w:trPr>
        <w:tc>
          <w:tcPr>
            <w:tcW w:w="704" w:type="dxa"/>
            <w:shd w:val="clear" w:color="auto" w:fill="C6EFCE"/>
            <w:hideMark/>
          </w:tcPr>
          <w:p w:rsidRPr="00D627E5" w:rsidR="00D87E44" w:rsidRDefault="00D87E44" w14:paraId="15457787"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22</w:t>
            </w:r>
          </w:p>
        </w:tc>
        <w:tc>
          <w:tcPr>
            <w:tcW w:w="1276" w:type="dxa"/>
            <w:shd w:val="clear" w:color="auto" w:fill="C6EFCE"/>
            <w:hideMark/>
          </w:tcPr>
          <w:p w:rsidRPr="00D627E5" w:rsidR="00D87E44" w:rsidRDefault="00D87E44" w14:paraId="15457788" w14:textId="77777777">
            <w:pPr>
              <w:spacing w:before="0" w:after="0" w:line="240" w:lineRule="auto"/>
              <w:rPr>
                <w:noProof/>
                <w:color w:val="004300"/>
                <w:sz w:val="18"/>
                <w:szCs w:val="18"/>
                <w:lang w:val="en-IE"/>
              </w:rPr>
            </w:pPr>
            <w:r w:rsidRPr="00D627E5">
              <w:rPr>
                <w:noProof/>
                <w:color w:val="004300"/>
                <w:sz w:val="18"/>
                <w:szCs w:val="18"/>
                <w:lang w:val="en-IE"/>
              </w:rPr>
              <w:t>Investment 2:</w:t>
            </w:r>
          </w:p>
          <w:p w:rsidRPr="00BA4A15" w:rsidR="00D87E44" w:rsidRDefault="00D87E44" w14:paraId="15457789" w14:textId="77777777">
            <w:pPr>
              <w:spacing w:before="0" w:after="0" w:line="240" w:lineRule="auto"/>
              <w:rPr>
                <w:noProof/>
                <w:color w:val="004300"/>
                <w:sz w:val="18"/>
                <w:szCs w:val="18"/>
                <w:lang w:val="en-IE"/>
              </w:rPr>
            </w:pPr>
            <w:r w:rsidRPr="2F543682">
              <w:rPr>
                <w:noProof/>
                <w:color w:val="004300"/>
                <w:sz w:val="18"/>
                <w:szCs w:val="18"/>
                <w:lang w:val="en-IE"/>
              </w:rPr>
              <w:t>Development of core registries and facilities for eGovernment</w:t>
            </w:r>
          </w:p>
        </w:tc>
        <w:tc>
          <w:tcPr>
            <w:tcW w:w="1134" w:type="dxa"/>
            <w:shd w:val="clear" w:color="auto" w:fill="C6EFCE"/>
            <w:hideMark/>
          </w:tcPr>
          <w:p w:rsidRPr="00D627E5" w:rsidR="00D87E44" w:rsidRDefault="00D87E44" w14:paraId="1545778A"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hideMark/>
          </w:tcPr>
          <w:p w:rsidRPr="00FF1320" w:rsidR="00D87E44" w:rsidRDefault="00D87E44" w14:paraId="1545778B" w14:textId="77777777">
            <w:pPr>
              <w:spacing w:before="0" w:after="0" w:line="240" w:lineRule="auto"/>
              <w:rPr>
                <w:color w:val="004300"/>
                <w:sz w:val="18"/>
                <w:lang w:val="en-IE"/>
              </w:rPr>
            </w:pPr>
            <w:r w:rsidRPr="44D41F6E">
              <w:rPr>
                <w:rFonts w:eastAsia="Times New Roman"/>
                <w:noProof/>
                <w:color w:val="004300"/>
                <w:sz w:val="18"/>
                <w:szCs w:val="18"/>
                <w:lang w:val="en-IE"/>
              </w:rPr>
              <w:t>Co</w:t>
            </w:r>
            <w:r w:rsidRPr="44D41F6E">
              <w:rPr>
                <w:noProof/>
                <w:color w:val="004300"/>
                <w:sz w:val="18"/>
                <w:szCs w:val="18"/>
                <w:lang w:val="en-IE"/>
              </w:rPr>
              <w:t>mmunication and IT systems for the Zeleneč Data Centre</w:t>
            </w:r>
          </w:p>
        </w:tc>
        <w:tc>
          <w:tcPr>
            <w:tcW w:w="1701" w:type="dxa"/>
            <w:shd w:val="clear" w:color="auto" w:fill="C6EFCE"/>
            <w:hideMark/>
          </w:tcPr>
          <w:p w:rsidRPr="00A430CD" w:rsidR="00D87E44" w:rsidRDefault="00D87E44" w14:paraId="1545778C" w14:textId="77777777">
            <w:pPr>
              <w:spacing w:before="0" w:after="0" w:line="240" w:lineRule="auto"/>
              <w:rPr>
                <w:noProof/>
                <w:color w:val="004300"/>
                <w:sz w:val="18"/>
                <w:szCs w:val="18"/>
                <w:lang w:val="en-IE"/>
              </w:rPr>
            </w:pPr>
            <w:r>
              <w:rPr>
                <w:noProof/>
                <w:color w:val="004300"/>
                <w:sz w:val="18"/>
                <w:szCs w:val="18"/>
                <w:lang w:val="en-IE"/>
              </w:rPr>
              <w:t xml:space="preserve">Accepted communication and IT </w:t>
            </w:r>
            <w:r>
              <w:rPr>
                <w:noProof/>
                <w:color w:val="004300"/>
                <w:sz w:val="18"/>
                <w:szCs w:val="18"/>
                <w:lang w:val="en-IE"/>
              </w:rPr>
              <w:t>systems</w:t>
            </w:r>
          </w:p>
        </w:tc>
        <w:tc>
          <w:tcPr>
            <w:tcW w:w="1559" w:type="dxa"/>
            <w:shd w:val="clear" w:color="auto" w:fill="C6EFCE"/>
          </w:tcPr>
          <w:p w:rsidRPr="00A430CD" w:rsidR="00D87E44" w:rsidRDefault="00D87E44" w14:paraId="1545778D"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A430CD" w:rsidR="00D87E44" w:rsidRDefault="00D87E44" w14:paraId="1545778E"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A430CD" w:rsidR="00D87E44" w:rsidRDefault="00D87E44" w14:paraId="1545778F"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9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Q2</w:t>
            </w:r>
          </w:p>
        </w:tc>
        <w:tc>
          <w:tcPr>
            <w:tcW w:w="709" w:type="dxa"/>
            <w:shd w:val="clear" w:color="auto" w:fill="C6EFCE"/>
            <w:hideMark/>
          </w:tcPr>
          <w:p w:rsidRPr="00D627E5" w:rsidR="00D87E44" w:rsidRDefault="00D87E44" w14:paraId="15457791"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2026</w:t>
            </w:r>
          </w:p>
        </w:tc>
        <w:tc>
          <w:tcPr>
            <w:tcW w:w="3433" w:type="dxa"/>
            <w:shd w:val="clear" w:color="auto" w:fill="C6EFCE"/>
            <w:hideMark/>
          </w:tcPr>
          <w:p w:rsidRPr="00A430CD" w:rsidR="00D87E44" w:rsidRDefault="00D87E44" w14:paraId="15457792" w14:textId="77777777">
            <w:pPr>
              <w:spacing w:before="0" w:after="0" w:line="240" w:lineRule="auto"/>
              <w:rPr>
                <w:noProof/>
                <w:color w:val="004300"/>
                <w:sz w:val="18"/>
                <w:szCs w:val="18"/>
                <w:lang w:val="en-IE"/>
              </w:rPr>
            </w:pPr>
            <w:r w:rsidRPr="4A45BCA2">
              <w:rPr>
                <w:noProof/>
                <w:color w:val="004300"/>
                <w:sz w:val="18"/>
                <w:szCs w:val="18"/>
                <w:lang w:val="en-IE"/>
              </w:rPr>
              <w:t xml:space="preserve">Acceptance of </w:t>
            </w:r>
            <w:r w:rsidRPr="4A45BCA2">
              <w:rPr>
                <w:rFonts w:eastAsia="Times New Roman"/>
                <w:noProof/>
                <w:color w:val="004300"/>
                <w:sz w:val="18"/>
                <w:szCs w:val="18"/>
                <w:lang w:val="en-IE"/>
              </w:rPr>
              <w:t>Co</w:t>
            </w:r>
            <w:r w:rsidRPr="4A45BCA2">
              <w:rPr>
                <w:noProof/>
                <w:color w:val="004300"/>
                <w:sz w:val="18"/>
                <w:szCs w:val="18"/>
                <w:lang w:val="en-IE"/>
              </w:rPr>
              <w:t>mmunication infrastructure and IT systems for the Zeleneč Data Centre by the contracting authority or authorities. This includes software for cloud computing and an eGovernment cloud portal.</w:t>
            </w:r>
          </w:p>
        </w:tc>
      </w:tr>
      <w:tr w:rsidRPr="00FE48E2" w:rsidR="00E3458A" w:rsidTr="4A45BCA2" w14:paraId="154577A0" w14:textId="77777777">
        <w:trPr>
          <w:trHeight w:val="300"/>
          <w:jc w:val="center"/>
        </w:trPr>
        <w:tc>
          <w:tcPr>
            <w:tcW w:w="704" w:type="dxa"/>
            <w:shd w:val="clear" w:color="auto" w:fill="C6EFCE"/>
            <w:hideMark/>
          </w:tcPr>
          <w:p w:rsidRPr="00D627E5" w:rsidR="00D87E44" w:rsidRDefault="00D87E44" w14:paraId="1545779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23</w:t>
            </w:r>
          </w:p>
        </w:tc>
        <w:tc>
          <w:tcPr>
            <w:tcW w:w="1276" w:type="dxa"/>
            <w:shd w:val="clear" w:color="auto" w:fill="C6EFCE"/>
            <w:hideMark/>
          </w:tcPr>
          <w:p w:rsidRPr="00D627E5" w:rsidR="00D87E44" w:rsidRDefault="00D87E44" w14:paraId="15457795" w14:textId="77777777">
            <w:pPr>
              <w:spacing w:before="0" w:after="0" w:line="240" w:lineRule="auto"/>
              <w:rPr>
                <w:noProof/>
                <w:color w:val="004300"/>
                <w:sz w:val="18"/>
                <w:szCs w:val="18"/>
                <w:lang w:val="en-IE"/>
              </w:rPr>
            </w:pPr>
            <w:r w:rsidRPr="00D627E5">
              <w:rPr>
                <w:noProof/>
                <w:color w:val="004300"/>
                <w:sz w:val="18"/>
                <w:szCs w:val="18"/>
                <w:lang w:val="en-IE"/>
              </w:rPr>
              <w:t>Investment 3:</w:t>
            </w:r>
          </w:p>
          <w:p w:rsidRPr="00D627E5" w:rsidR="00D87E44" w:rsidRDefault="00D87E44" w14:paraId="15457796" w14:textId="77777777">
            <w:pPr>
              <w:spacing w:before="0" w:after="0" w:line="240" w:lineRule="auto"/>
              <w:rPr>
                <w:rFonts w:eastAsia="Times New Roman"/>
                <w:noProof/>
                <w:color w:val="004300"/>
                <w:sz w:val="18"/>
                <w:szCs w:val="18"/>
                <w:lang w:val="en-IE"/>
              </w:rPr>
            </w:pPr>
            <w:r w:rsidRPr="00BA4A15">
              <w:rPr>
                <w:noProof/>
                <w:color w:val="004300"/>
                <w:sz w:val="18"/>
                <w:szCs w:val="18"/>
                <w:lang w:val="en-IE"/>
              </w:rPr>
              <w:t>Cybersecurity</w:t>
            </w:r>
          </w:p>
        </w:tc>
        <w:tc>
          <w:tcPr>
            <w:tcW w:w="1134" w:type="dxa"/>
            <w:shd w:val="clear" w:color="auto" w:fill="C6EFCE"/>
            <w:hideMark/>
          </w:tcPr>
          <w:p w:rsidRPr="00D627E5" w:rsidR="00D87E44" w:rsidRDefault="00D87E44" w14:paraId="15457797"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tcPr>
          <w:p w:rsidRPr="00D627E5" w:rsidR="00D87E44" w:rsidRDefault="00D87E44" w14:paraId="15457798"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Modernisation of the Security Information and Event Management System of the police of Czechia and extension of its use for cybersecurity protection of five </w:t>
            </w:r>
            <w:r>
              <w:rPr>
                <w:noProof/>
                <w:color w:val="004300"/>
                <w:sz w:val="18"/>
                <w:szCs w:val="18"/>
                <w:lang w:val="en-IE"/>
              </w:rPr>
              <w:t xml:space="preserve">additional </w:t>
            </w:r>
            <w:r w:rsidRPr="00D627E5">
              <w:rPr>
                <w:noProof/>
                <w:color w:val="004300"/>
                <w:sz w:val="18"/>
                <w:szCs w:val="18"/>
                <w:lang w:val="en-IE"/>
              </w:rPr>
              <w:t>information systems</w:t>
            </w:r>
          </w:p>
        </w:tc>
        <w:tc>
          <w:tcPr>
            <w:tcW w:w="1701" w:type="dxa"/>
            <w:shd w:val="clear" w:color="auto" w:fill="C6EFCE"/>
            <w:hideMark/>
          </w:tcPr>
          <w:p w:rsidRPr="00D627E5" w:rsidR="00D87E44" w:rsidRDefault="00D87E44" w14:paraId="15457799" w14:textId="77777777">
            <w:pPr>
              <w:spacing w:before="0" w:after="0" w:line="240" w:lineRule="auto"/>
              <w:rPr>
                <w:noProof/>
                <w:color w:val="004300"/>
                <w:sz w:val="18"/>
                <w:szCs w:val="18"/>
                <w:lang w:val="en-IE"/>
              </w:rPr>
            </w:pPr>
            <w:r w:rsidRPr="00D627E5">
              <w:rPr>
                <w:noProof/>
                <w:color w:val="004300"/>
                <w:sz w:val="18"/>
                <w:szCs w:val="18"/>
                <w:lang w:val="en-IE"/>
              </w:rPr>
              <w:t>Entry into operation of the fully functional and upgraded Security Information and Event Management system and of additional five information s</w:t>
            </w:r>
            <w:r>
              <w:rPr>
                <w:noProof/>
                <w:color w:val="004300"/>
                <w:sz w:val="18"/>
                <w:szCs w:val="18"/>
                <w:lang w:val="en-IE"/>
              </w:rPr>
              <w:t xml:space="preserve">ystems </w:t>
            </w:r>
            <w:r w:rsidRPr="00D627E5">
              <w:rPr>
                <w:noProof/>
                <w:color w:val="004300"/>
                <w:sz w:val="18"/>
                <w:szCs w:val="18"/>
                <w:lang w:val="en-IE"/>
              </w:rPr>
              <w:t>selected on the basis of a risk and feasibility study.</w:t>
            </w:r>
          </w:p>
        </w:tc>
        <w:tc>
          <w:tcPr>
            <w:tcW w:w="1559" w:type="dxa"/>
            <w:shd w:val="clear" w:color="auto" w:fill="C6EFCE"/>
          </w:tcPr>
          <w:p w:rsidRPr="00D627E5" w:rsidR="00D87E44" w:rsidRDefault="00D87E44" w14:paraId="1545779A"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D627E5" w:rsidR="00D87E44" w:rsidRDefault="00D87E44" w14:paraId="1545779B"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9C"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9D"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9E"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9F"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The investment shall </w:t>
            </w:r>
            <w:r w:rsidRPr="00D627E5">
              <w:rPr>
                <w:rFonts w:eastAsia="Times New Roman"/>
                <w:noProof/>
                <w:color w:val="004300"/>
                <w:sz w:val="18"/>
                <w:szCs w:val="18"/>
                <w:lang w:val="en-IE"/>
              </w:rPr>
              <w:t xml:space="preserve">increase the availability of Security Information and Event Management security monitoring infrastructure capable of logging and evaluating security incidents </w:t>
            </w:r>
            <w:r w:rsidRPr="00D627E5">
              <w:rPr>
                <w:noProof/>
                <w:color w:val="004300"/>
                <w:sz w:val="18"/>
                <w:szCs w:val="18"/>
                <w:lang w:val="en-IE"/>
              </w:rPr>
              <w:t>and extend the capacities and abilities of the police and the Ministry of Interior in Czechia to identify and respond to security incidents and incidents in ICT even remotely when access to office infrastructure is limited.</w:t>
            </w:r>
          </w:p>
        </w:tc>
      </w:tr>
      <w:tr w:rsidRPr="00FE48E2" w:rsidR="00E3458A" w:rsidTr="4A45BCA2" w14:paraId="154577AD" w14:textId="77777777">
        <w:trPr>
          <w:trHeight w:val="300"/>
          <w:jc w:val="center"/>
        </w:trPr>
        <w:tc>
          <w:tcPr>
            <w:tcW w:w="704" w:type="dxa"/>
            <w:shd w:val="clear" w:color="auto" w:fill="C6EFCE"/>
            <w:hideMark/>
          </w:tcPr>
          <w:p w:rsidRPr="00D627E5" w:rsidR="00D87E44" w:rsidRDefault="00D87E44" w14:paraId="154577A1"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lastRenderedPageBreak/>
              <w:t>24</w:t>
            </w:r>
          </w:p>
        </w:tc>
        <w:tc>
          <w:tcPr>
            <w:tcW w:w="1276" w:type="dxa"/>
            <w:shd w:val="clear" w:color="auto" w:fill="C6EFCE"/>
            <w:hideMark/>
          </w:tcPr>
          <w:p w:rsidRPr="00D627E5" w:rsidR="00D87E44" w:rsidRDefault="00D87E44" w14:paraId="154577A2" w14:textId="77777777">
            <w:pPr>
              <w:spacing w:before="0" w:after="0" w:line="240" w:lineRule="auto"/>
              <w:rPr>
                <w:noProof/>
                <w:color w:val="004300"/>
                <w:sz w:val="18"/>
                <w:szCs w:val="18"/>
                <w:lang w:val="en-IE"/>
              </w:rPr>
            </w:pPr>
            <w:r w:rsidRPr="00D627E5">
              <w:rPr>
                <w:noProof/>
                <w:color w:val="004300"/>
                <w:sz w:val="18"/>
                <w:szCs w:val="18"/>
                <w:lang w:val="en-IE"/>
              </w:rPr>
              <w:t>Investment 3:</w:t>
            </w:r>
          </w:p>
          <w:p w:rsidRPr="00D627E5" w:rsidR="00D87E44" w:rsidRDefault="00D87E44" w14:paraId="154577A3" w14:textId="77777777">
            <w:pPr>
              <w:spacing w:before="0" w:after="0" w:line="240" w:lineRule="auto"/>
              <w:rPr>
                <w:rFonts w:eastAsia="Times New Roman"/>
                <w:noProof/>
                <w:color w:val="004300"/>
                <w:sz w:val="18"/>
                <w:szCs w:val="18"/>
                <w:lang w:val="en-IE"/>
              </w:rPr>
            </w:pPr>
            <w:r w:rsidRPr="00BA4A15">
              <w:rPr>
                <w:noProof/>
                <w:color w:val="004300"/>
                <w:sz w:val="18"/>
                <w:szCs w:val="18"/>
                <w:lang w:val="en-IE"/>
              </w:rPr>
              <w:t>Cybersecurity</w:t>
            </w:r>
          </w:p>
        </w:tc>
        <w:tc>
          <w:tcPr>
            <w:tcW w:w="1134" w:type="dxa"/>
            <w:shd w:val="clear" w:color="auto" w:fill="C6EFCE"/>
            <w:hideMark/>
          </w:tcPr>
          <w:p w:rsidRPr="00D627E5" w:rsidR="00D87E44" w:rsidRDefault="00D87E44" w14:paraId="154577A4"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Target</w:t>
            </w:r>
          </w:p>
        </w:tc>
        <w:tc>
          <w:tcPr>
            <w:tcW w:w="1559" w:type="dxa"/>
            <w:shd w:val="clear" w:color="auto" w:fill="C6EFCE"/>
            <w:hideMark/>
          </w:tcPr>
          <w:p w:rsidRPr="00FF1320" w:rsidR="00D87E44" w:rsidRDefault="00D87E44" w14:paraId="154577A5" w14:textId="77777777">
            <w:pPr>
              <w:spacing w:before="0" w:after="0" w:line="240" w:lineRule="auto"/>
              <w:rPr>
                <w:color w:val="004300"/>
                <w:sz w:val="18"/>
                <w:lang w:val="en-IE"/>
              </w:rPr>
            </w:pPr>
            <w:r w:rsidRPr="2F543682">
              <w:rPr>
                <w:rFonts w:eastAsia="Times New Roman"/>
                <w:noProof/>
                <w:color w:val="004300"/>
                <w:sz w:val="18"/>
                <w:szCs w:val="18"/>
                <w:lang w:val="en-IE"/>
              </w:rPr>
              <w:t>Number of</w:t>
            </w:r>
            <w:r w:rsidRPr="363E9D56">
              <w:rPr>
                <w:rFonts w:eastAsia="Times New Roman"/>
                <w:noProof/>
                <w:color w:val="004300"/>
                <w:sz w:val="18"/>
                <w:szCs w:val="18"/>
                <w:lang w:val="en-IE"/>
              </w:rPr>
              <w:t xml:space="preserve"> cybersecurity</w:t>
            </w:r>
            <w:r w:rsidRPr="2F543682">
              <w:rPr>
                <w:rFonts w:eastAsia="Times New Roman"/>
                <w:noProof/>
                <w:color w:val="004300"/>
                <w:sz w:val="18"/>
                <w:szCs w:val="18"/>
                <w:lang w:val="en-IE"/>
              </w:rPr>
              <w:t xml:space="preserve"> </w:t>
            </w:r>
            <w:r>
              <w:rPr>
                <w:rFonts w:eastAsia="Times New Roman"/>
                <w:noProof/>
                <w:color w:val="004300"/>
                <w:sz w:val="18"/>
                <w:szCs w:val="18"/>
                <w:lang w:val="en-IE"/>
              </w:rPr>
              <w:t xml:space="preserve">projects </w:t>
            </w:r>
            <w:r w:rsidRPr="03287D14">
              <w:rPr>
                <w:rFonts w:eastAsia="Times New Roman"/>
                <w:noProof/>
                <w:color w:val="004300"/>
                <w:sz w:val="18"/>
                <w:szCs w:val="18"/>
                <w:lang w:val="en-IE"/>
              </w:rPr>
              <w:t>accepted</w:t>
            </w:r>
          </w:p>
        </w:tc>
        <w:tc>
          <w:tcPr>
            <w:tcW w:w="1701" w:type="dxa"/>
            <w:shd w:val="clear" w:color="auto" w:fill="C6EFCE"/>
          </w:tcPr>
          <w:p w:rsidRPr="00D627E5" w:rsidR="00D87E44" w:rsidRDefault="00D87E44" w14:paraId="154577A6" w14:textId="77777777">
            <w:pPr>
              <w:spacing w:before="0" w:after="0" w:line="240" w:lineRule="auto"/>
              <w:rPr>
                <w:rFonts w:eastAsia="Times New Roman"/>
                <w:noProof/>
                <w:color w:val="004300"/>
                <w:sz w:val="18"/>
                <w:szCs w:val="18"/>
                <w:lang w:val="en-IE"/>
              </w:rPr>
            </w:pPr>
          </w:p>
        </w:tc>
        <w:tc>
          <w:tcPr>
            <w:tcW w:w="1559" w:type="dxa"/>
            <w:shd w:val="clear" w:color="auto" w:fill="C6EFCE"/>
            <w:hideMark/>
          </w:tcPr>
          <w:p w:rsidRPr="00D627E5" w:rsidR="00D87E44" w:rsidRDefault="00D87E44" w14:paraId="154577A7" w14:textId="77777777">
            <w:pPr>
              <w:spacing w:before="0" w:after="0" w:line="240" w:lineRule="auto"/>
              <w:rPr>
                <w:noProof/>
                <w:color w:val="004300"/>
                <w:sz w:val="18"/>
                <w:szCs w:val="18"/>
                <w:lang w:val="en-IE"/>
              </w:rPr>
            </w:pPr>
            <w:r w:rsidRPr="63503832">
              <w:rPr>
                <w:noProof/>
                <w:color w:val="004300"/>
                <w:sz w:val="18"/>
                <w:szCs w:val="18"/>
                <w:lang w:val="en-IE"/>
              </w:rPr>
              <w:t xml:space="preserve">Number of </w:t>
            </w:r>
            <w:r>
              <w:rPr>
                <w:noProof/>
                <w:color w:val="004300"/>
                <w:sz w:val="18"/>
                <w:szCs w:val="18"/>
                <w:lang w:val="en-IE"/>
              </w:rPr>
              <w:t>projects</w:t>
            </w:r>
          </w:p>
        </w:tc>
        <w:tc>
          <w:tcPr>
            <w:tcW w:w="993" w:type="dxa"/>
            <w:shd w:val="clear" w:color="auto" w:fill="C6EFCE"/>
            <w:hideMark/>
          </w:tcPr>
          <w:p w:rsidRPr="00D627E5" w:rsidR="00D87E44" w:rsidRDefault="00D87E44" w14:paraId="154577A8"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0</w:t>
            </w:r>
          </w:p>
        </w:tc>
        <w:tc>
          <w:tcPr>
            <w:tcW w:w="1134" w:type="dxa"/>
            <w:shd w:val="clear" w:color="auto" w:fill="C6EFCE"/>
            <w:hideMark/>
          </w:tcPr>
          <w:p w:rsidRPr="009B52CA" w:rsidR="00D87E44" w:rsidRDefault="00D87E44" w14:paraId="154577A9" w14:textId="77777777">
            <w:pPr>
              <w:spacing w:before="0" w:after="0" w:line="240" w:lineRule="auto"/>
              <w:rPr>
                <w:noProof/>
                <w:color w:val="004300"/>
                <w:sz w:val="18"/>
                <w:szCs w:val="18"/>
                <w:lang w:val="en-IE"/>
              </w:rPr>
            </w:pPr>
            <w:r w:rsidRPr="2818FDC2">
              <w:rPr>
                <w:rFonts w:eastAsia="Times New Roman"/>
                <w:noProof/>
                <w:color w:val="004300"/>
                <w:sz w:val="18"/>
                <w:szCs w:val="18"/>
                <w:lang w:val="en-IE"/>
              </w:rPr>
              <w:t>60</w:t>
            </w:r>
          </w:p>
        </w:tc>
        <w:tc>
          <w:tcPr>
            <w:tcW w:w="850" w:type="dxa"/>
            <w:shd w:val="clear" w:color="auto" w:fill="C6EFCE"/>
            <w:hideMark/>
          </w:tcPr>
          <w:p w:rsidRPr="009B52CA" w:rsidR="00D87E44" w:rsidRDefault="00D87E44" w14:paraId="154577AA" w14:textId="77777777">
            <w:pPr>
              <w:spacing w:before="0" w:after="0" w:line="240" w:lineRule="auto"/>
              <w:rPr>
                <w:rFonts w:eastAsia="Times New Roman"/>
                <w:noProof/>
                <w:color w:val="004300"/>
                <w:sz w:val="18"/>
                <w:szCs w:val="18"/>
                <w:lang w:val="en-IE"/>
              </w:rPr>
            </w:pPr>
            <w:r w:rsidRPr="009B52CA">
              <w:rPr>
                <w:rFonts w:eastAsia="Times New Roman"/>
                <w:noProof/>
                <w:color w:val="004300"/>
                <w:sz w:val="18"/>
                <w:szCs w:val="18"/>
                <w:lang w:val="en-IE"/>
              </w:rPr>
              <w:t>Q4</w:t>
            </w:r>
          </w:p>
        </w:tc>
        <w:tc>
          <w:tcPr>
            <w:tcW w:w="709" w:type="dxa"/>
            <w:shd w:val="clear" w:color="auto" w:fill="C6EFCE"/>
            <w:hideMark/>
          </w:tcPr>
          <w:p w:rsidRPr="009B52CA" w:rsidR="00D87E44" w:rsidRDefault="00D87E44" w14:paraId="154577AB" w14:textId="77777777">
            <w:pPr>
              <w:spacing w:before="0" w:after="0" w:line="240" w:lineRule="auto"/>
              <w:rPr>
                <w:rFonts w:eastAsia="Times New Roman"/>
                <w:noProof/>
                <w:color w:val="004300"/>
                <w:sz w:val="18"/>
                <w:szCs w:val="18"/>
                <w:lang w:val="en-IE"/>
              </w:rPr>
            </w:pPr>
            <w:r w:rsidRPr="009B52CA">
              <w:rPr>
                <w:rFonts w:eastAsia="Times New Roman"/>
                <w:noProof/>
                <w:color w:val="004300"/>
                <w:sz w:val="18"/>
                <w:szCs w:val="18"/>
                <w:lang w:val="en-IE"/>
              </w:rPr>
              <w:t>2025</w:t>
            </w:r>
          </w:p>
        </w:tc>
        <w:tc>
          <w:tcPr>
            <w:tcW w:w="3433" w:type="dxa"/>
            <w:shd w:val="clear" w:color="auto" w:fill="C6EFCE"/>
          </w:tcPr>
          <w:p w:rsidRPr="009B52CA" w:rsidR="00D87E44" w:rsidRDefault="00D87E44" w14:paraId="154577AC" w14:textId="77777777">
            <w:pPr>
              <w:spacing w:before="0" w:after="0" w:line="240" w:lineRule="auto"/>
              <w:rPr>
                <w:rFonts w:eastAsia="Times New Roman"/>
                <w:noProof/>
                <w:color w:val="004300"/>
                <w:sz w:val="18"/>
                <w:szCs w:val="18"/>
                <w:lang w:val="en-IE"/>
              </w:rPr>
            </w:pPr>
            <w:r>
              <w:rPr>
                <w:noProof/>
                <w:color w:val="004300"/>
                <w:sz w:val="18"/>
                <w:szCs w:val="18"/>
                <w:lang w:val="en-IE"/>
              </w:rPr>
              <w:t>At least 60</w:t>
            </w:r>
            <w:r w:rsidRPr="01E9B625">
              <w:rPr>
                <w:noProof/>
                <w:color w:val="004300"/>
                <w:sz w:val="18"/>
                <w:szCs w:val="18"/>
                <w:lang w:val="en-IE"/>
              </w:rPr>
              <w:t xml:space="preserve"> cybersecurity</w:t>
            </w:r>
            <w:r>
              <w:rPr>
                <w:noProof/>
                <w:color w:val="004300"/>
                <w:sz w:val="18"/>
                <w:szCs w:val="18"/>
                <w:lang w:val="en-IE"/>
              </w:rPr>
              <w:t xml:space="preserve"> projects accepted by the contracting authority or authorities</w:t>
            </w:r>
            <w:r w:rsidRPr="7AF8F0FA">
              <w:rPr>
                <w:noProof/>
                <w:color w:val="004300"/>
                <w:sz w:val="18"/>
                <w:szCs w:val="18"/>
                <w:lang w:val="en-IE"/>
              </w:rPr>
              <w:t>.</w:t>
            </w:r>
          </w:p>
        </w:tc>
      </w:tr>
      <w:tr w:rsidRPr="00FE48E2" w:rsidR="00E3458A" w:rsidTr="4A45BCA2" w14:paraId="154577BA" w14:textId="77777777">
        <w:trPr>
          <w:trHeight w:val="300"/>
          <w:jc w:val="center"/>
        </w:trPr>
        <w:tc>
          <w:tcPr>
            <w:tcW w:w="704" w:type="dxa"/>
            <w:shd w:val="clear" w:color="auto" w:fill="C6EFCE"/>
            <w:hideMark/>
          </w:tcPr>
          <w:p w:rsidRPr="00D627E5" w:rsidR="00D87E44" w:rsidRDefault="00D87E44" w14:paraId="154577AE"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25</w:t>
            </w:r>
          </w:p>
        </w:tc>
        <w:tc>
          <w:tcPr>
            <w:tcW w:w="1276" w:type="dxa"/>
            <w:shd w:val="clear" w:color="auto" w:fill="C6EFCE"/>
            <w:hideMark/>
          </w:tcPr>
          <w:p w:rsidRPr="00D627E5" w:rsidR="00D87E44" w:rsidRDefault="00D87E44" w14:paraId="154577AF" w14:textId="77777777">
            <w:pPr>
              <w:spacing w:before="0" w:after="0" w:line="240" w:lineRule="auto"/>
              <w:rPr>
                <w:noProof/>
                <w:color w:val="004300"/>
                <w:sz w:val="18"/>
                <w:szCs w:val="18"/>
                <w:lang w:val="en-IE"/>
              </w:rPr>
            </w:pPr>
            <w:r w:rsidRPr="00D627E5">
              <w:rPr>
                <w:noProof/>
                <w:color w:val="004300"/>
                <w:sz w:val="18"/>
                <w:szCs w:val="18"/>
                <w:lang w:val="en-IE"/>
              </w:rPr>
              <w:t>Reforms 1:</w:t>
            </w:r>
          </w:p>
          <w:p w:rsidRPr="00D627E5" w:rsidR="00D87E44" w:rsidRDefault="00D87E44" w14:paraId="154577B0" w14:textId="77777777">
            <w:pPr>
              <w:spacing w:before="0" w:after="0" w:line="240" w:lineRule="auto"/>
              <w:rPr>
                <w:rFonts w:eastAsia="Times New Roman"/>
                <w:noProof/>
                <w:color w:val="004300"/>
                <w:sz w:val="18"/>
                <w:szCs w:val="18"/>
                <w:lang w:val="en-IE"/>
              </w:rPr>
            </w:pPr>
            <w:r w:rsidRPr="00D627E5" w:rsidDel="005765B6">
              <w:rPr>
                <w:noProof/>
                <w:color w:val="004300"/>
                <w:sz w:val="18"/>
                <w:szCs w:val="18"/>
                <w:lang w:val="en-IE"/>
              </w:rPr>
              <w:t>Centr</w:t>
            </w:r>
            <w:r>
              <w:rPr>
                <w:noProof/>
                <w:color w:val="004300"/>
                <w:sz w:val="18"/>
                <w:szCs w:val="18"/>
                <w:lang w:val="en-IE"/>
              </w:rPr>
              <w:t>e</w:t>
            </w:r>
            <w:r w:rsidRPr="00D627E5" w:rsidDel="005765B6">
              <w:rPr>
                <w:noProof/>
                <w:color w:val="004300"/>
                <w:sz w:val="18"/>
                <w:szCs w:val="18"/>
                <w:lang w:val="en-IE"/>
              </w:rPr>
              <w:t>s</w:t>
            </w:r>
            <w:r w:rsidRPr="00D627E5">
              <w:rPr>
                <w:noProof/>
                <w:color w:val="004300"/>
                <w:sz w:val="18"/>
                <w:szCs w:val="18"/>
                <w:lang w:val="en-IE"/>
              </w:rPr>
              <w:t xml:space="preserve"> of competence for supporting eGovernment, Cybersecurity and eHealth</w:t>
            </w:r>
          </w:p>
        </w:tc>
        <w:tc>
          <w:tcPr>
            <w:tcW w:w="1134" w:type="dxa"/>
            <w:shd w:val="clear" w:color="auto" w:fill="C6EFCE"/>
            <w:hideMark/>
          </w:tcPr>
          <w:p w:rsidRPr="00D627E5" w:rsidR="00D87E44" w:rsidRDefault="00D87E44" w14:paraId="154577B1"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hideMark/>
          </w:tcPr>
          <w:p w:rsidRPr="00D627E5" w:rsidR="00D87E44" w:rsidRDefault="00D87E44" w14:paraId="154577B2" w14:textId="77777777">
            <w:pPr>
              <w:spacing w:before="0" w:after="0" w:line="240" w:lineRule="auto"/>
              <w:rPr>
                <w:noProof/>
                <w:color w:val="004300"/>
                <w:sz w:val="18"/>
                <w:szCs w:val="18"/>
                <w:lang w:val="en-IE"/>
              </w:rPr>
            </w:pPr>
            <w:r w:rsidRPr="00D627E5">
              <w:rPr>
                <w:noProof/>
                <w:color w:val="004300"/>
                <w:sz w:val="18"/>
                <w:szCs w:val="18"/>
                <w:lang w:val="en-IE"/>
              </w:rPr>
              <w:t>Full operation of three competence centres providing consulting services to authorities implementing the changes in information systems and eGovernment ecosystem foreseen under component 1.1 and 1.2</w:t>
            </w:r>
          </w:p>
        </w:tc>
        <w:tc>
          <w:tcPr>
            <w:tcW w:w="1701" w:type="dxa"/>
            <w:shd w:val="clear" w:color="auto" w:fill="C6EFCE"/>
            <w:hideMark/>
          </w:tcPr>
          <w:p w:rsidRPr="00D627E5" w:rsidR="00D87E44" w:rsidRDefault="00D87E44" w14:paraId="154577B3"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Competence centres shall be considered fully operational as soon as public authorities have submitted and competence centres have approved official requests for consulting services</w:t>
            </w:r>
          </w:p>
        </w:tc>
        <w:tc>
          <w:tcPr>
            <w:tcW w:w="1559" w:type="dxa"/>
            <w:shd w:val="clear" w:color="auto" w:fill="C6EFCE"/>
          </w:tcPr>
          <w:p w:rsidRPr="00D627E5" w:rsidR="00D87E44" w:rsidRDefault="00D87E44" w14:paraId="154577B4"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D627E5" w:rsidR="00D87E44" w:rsidRDefault="00D87E44" w14:paraId="154577B5"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B6"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B7"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B8"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B9" w14:textId="77777777">
            <w:pPr>
              <w:spacing w:before="0" w:after="0" w:line="240" w:lineRule="auto"/>
              <w:rPr>
                <w:noProof/>
                <w:color w:val="004300"/>
                <w:sz w:val="18"/>
                <w:szCs w:val="18"/>
                <w:lang w:val="en-IE"/>
              </w:rPr>
            </w:pPr>
            <w:r w:rsidRPr="00D627E5">
              <w:rPr>
                <w:rFonts w:eastAsia="Times New Roman"/>
                <w:noProof/>
                <w:color w:val="004300"/>
                <w:sz w:val="18"/>
                <w:szCs w:val="18"/>
                <w:lang w:val="en-IE"/>
              </w:rPr>
              <w:t>Three competence centres in eGovernment, cybersecurity and eHealth shall provide consulting and advisory services to authorities in implementing projects under component 1.1 and 1.2</w:t>
            </w:r>
            <w:r w:rsidRPr="00D627E5">
              <w:rPr>
                <w:noProof/>
                <w:color w:val="004300"/>
                <w:sz w:val="18"/>
                <w:szCs w:val="18"/>
                <w:lang w:val="en-IE"/>
              </w:rPr>
              <w:t xml:space="preserve"> </w:t>
            </w:r>
          </w:p>
        </w:tc>
      </w:tr>
      <w:tr w:rsidRPr="00FE48E2" w:rsidR="00E3458A" w:rsidTr="4A45BCA2" w14:paraId="154577C7" w14:textId="77777777">
        <w:trPr>
          <w:trHeight w:val="300"/>
          <w:jc w:val="center"/>
        </w:trPr>
        <w:tc>
          <w:tcPr>
            <w:tcW w:w="704" w:type="dxa"/>
            <w:shd w:val="clear" w:color="auto" w:fill="C6EFCE"/>
            <w:hideMark/>
          </w:tcPr>
          <w:p w:rsidRPr="00D627E5" w:rsidR="00D87E44" w:rsidRDefault="00D87E44" w14:paraId="154577BB"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27</w:t>
            </w:r>
          </w:p>
        </w:tc>
        <w:tc>
          <w:tcPr>
            <w:tcW w:w="1276" w:type="dxa"/>
            <w:shd w:val="clear" w:color="auto" w:fill="C6EFCE"/>
            <w:hideMark/>
          </w:tcPr>
          <w:p w:rsidRPr="00D627E5" w:rsidR="00D87E44" w:rsidRDefault="00D87E44" w14:paraId="154577BC" w14:textId="77777777">
            <w:pPr>
              <w:spacing w:before="0" w:after="0" w:line="240" w:lineRule="auto"/>
              <w:rPr>
                <w:noProof/>
                <w:color w:val="004300"/>
                <w:sz w:val="18"/>
                <w:szCs w:val="18"/>
                <w:lang w:val="en-IE"/>
              </w:rPr>
            </w:pPr>
            <w:r w:rsidRPr="00D627E5" w:rsidDel="00B57D63">
              <w:rPr>
                <w:noProof/>
                <w:color w:val="004300"/>
                <w:sz w:val="18"/>
                <w:szCs w:val="18"/>
                <w:lang w:val="en-IE"/>
              </w:rPr>
              <w:t>Reform 2</w:t>
            </w:r>
            <w:r w:rsidRPr="00D627E5">
              <w:rPr>
                <w:noProof/>
                <w:color w:val="004300"/>
                <w:sz w:val="18"/>
                <w:szCs w:val="18"/>
                <w:lang w:val="en-IE"/>
              </w:rPr>
              <w:t>:</w:t>
            </w:r>
          </w:p>
          <w:p w:rsidRPr="00D627E5" w:rsidR="00D87E44" w:rsidRDefault="00D87E44" w14:paraId="154577BD"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Development of systems supporting eHealth</w:t>
            </w:r>
          </w:p>
        </w:tc>
        <w:tc>
          <w:tcPr>
            <w:tcW w:w="1134" w:type="dxa"/>
            <w:shd w:val="clear" w:color="auto" w:fill="C6EFCE"/>
            <w:hideMark/>
          </w:tcPr>
          <w:p w:rsidRPr="00D627E5" w:rsidR="00D87E44" w:rsidRDefault="00D87E44" w14:paraId="154577BE"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hideMark/>
          </w:tcPr>
          <w:p w:rsidRPr="00D627E5" w:rsidR="00D87E44" w:rsidRDefault="00D87E44" w14:paraId="154577BF"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Extension of Shared Drug Recording (ePrescription) to narcotics and psychotropic substances and to electronic vouchers for </w:t>
            </w:r>
            <w:r w:rsidRPr="00D627E5">
              <w:rPr>
                <w:noProof/>
                <w:color w:val="004300"/>
                <w:sz w:val="18"/>
                <w:szCs w:val="18"/>
                <w:lang w:val="en-IE"/>
              </w:rPr>
              <w:t>medical devices</w:t>
            </w:r>
          </w:p>
        </w:tc>
        <w:tc>
          <w:tcPr>
            <w:tcW w:w="1701" w:type="dxa"/>
            <w:shd w:val="clear" w:color="auto" w:fill="C6EFCE"/>
            <w:hideMark/>
          </w:tcPr>
          <w:p w:rsidRPr="00D627E5" w:rsidR="00D87E44" w:rsidRDefault="00D87E44" w14:paraId="154577C0"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Functionalities of ePrescription are extended with prescriptions for narcotics and psychotropic substances and with the prescription of medical device vouchers</w:t>
            </w:r>
          </w:p>
        </w:tc>
        <w:tc>
          <w:tcPr>
            <w:tcW w:w="1559" w:type="dxa"/>
            <w:shd w:val="clear" w:color="auto" w:fill="C6EFCE"/>
          </w:tcPr>
          <w:p w:rsidRPr="00D627E5" w:rsidR="00D87E44" w:rsidRDefault="00D87E44" w14:paraId="154577C1"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D627E5" w:rsidR="00D87E44" w:rsidRDefault="00D87E44" w14:paraId="154577C2"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C3"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C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C5"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2023</w:t>
            </w:r>
          </w:p>
        </w:tc>
        <w:tc>
          <w:tcPr>
            <w:tcW w:w="3433" w:type="dxa"/>
            <w:shd w:val="clear" w:color="auto" w:fill="C6EFCE"/>
            <w:hideMark/>
          </w:tcPr>
          <w:p w:rsidRPr="00D627E5" w:rsidR="00D87E44" w:rsidRDefault="00D87E44" w14:paraId="154577C6"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The existing functionalities of the ePrescription shall be extended by this measure enabling the prescription of narcotics and psychotropic substances and vouchers for the purchase of medical devices.</w:t>
            </w:r>
          </w:p>
        </w:tc>
      </w:tr>
      <w:tr w:rsidRPr="00FE48E2" w:rsidR="00E3458A" w:rsidTr="4A45BCA2" w14:paraId="154577D5" w14:textId="77777777">
        <w:trPr>
          <w:trHeight w:val="300"/>
          <w:jc w:val="center"/>
        </w:trPr>
        <w:tc>
          <w:tcPr>
            <w:tcW w:w="704" w:type="dxa"/>
            <w:shd w:val="clear" w:color="auto" w:fill="C6EFCE"/>
            <w:hideMark/>
          </w:tcPr>
          <w:p w:rsidRPr="00D627E5" w:rsidR="00D87E44" w:rsidRDefault="00D87E44" w14:paraId="154577C8"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28</w:t>
            </w:r>
          </w:p>
        </w:tc>
        <w:tc>
          <w:tcPr>
            <w:tcW w:w="1276" w:type="dxa"/>
            <w:shd w:val="clear" w:color="auto" w:fill="C6EFCE"/>
            <w:hideMark/>
          </w:tcPr>
          <w:p w:rsidRPr="00D627E5" w:rsidR="00D87E44" w:rsidRDefault="00D87E44" w14:paraId="154577C9" w14:textId="77777777">
            <w:pPr>
              <w:spacing w:before="0" w:after="0" w:line="240" w:lineRule="auto"/>
              <w:rPr>
                <w:noProof/>
                <w:color w:val="004300"/>
                <w:sz w:val="18"/>
                <w:szCs w:val="18"/>
                <w:lang w:val="en-IE"/>
              </w:rPr>
            </w:pPr>
            <w:r w:rsidRPr="00D627E5" w:rsidDel="00B57D63">
              <w:rPr>
                <w:noProof/>
                <w:color w:val="004300"/>
                <w:sz w:val="18"/>
                <w:szCs w:val="18"/>
                <w:lang w:val="en-IE"/>
              </w:rPr>
              <w:t>Reform 2</w:t>
            </w:r>
            <w:r w:rsidRPr="00D627E5">
              <w:rPr>
                <w:noProof/>
                <w:color w:val="004300"/>
                <w:sz w:val="18"/>
                <w:szCs w:val="18"/>
                <w:lang w:val="en-IE"/>
              </w:rPr>
              <w:t>:</w:t>
            </w:r>
          </w:p>
          <w:p w:rsidRPr="00D627E5" w:rsidR="00D87E44" w:rsidRDefault="00D87E44" w14:paraId="154577CA"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Development of systems supporting eHealth</w:t>
            </w:r>
          </w:p>
        </w:tc>
        <w:tc>
          <w:tcPr>
            <w:tcW w:w="1134" w:type="dxa"/>
            <w:shd w:val="clear" w:color="auto" w:fill="C6EFCE"/>
            <w:hideMark/>
          </w:tcPr>
          <w:p w:rsidRPr="00D627E5" w:rsidR="00D87E44" w:rsidRDefault="00D87E44" w14:paraId="154577CB"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tcPr>
          <w:p w:rsidRPr="00D627E5" w:rsidR="00D87E44" w:rsidRDefault="00D87E44" w14:paraId="154577CC" w14:textId="77777777">
            <w:pPr>
              <w:spacing w:before="0" w:after="0" w:line="240" w:lineRule="auto"/>
              <w:rPr>
                <w:noProof/>
                <w:color w:val="004300"/>
                <w:sz w:val="18"/>
                <w:szCs w:val="18"/>
                <w:lang w:val="en-IE"/>
              </w:rPr>
            </w:pPr>
            <w:r>
              <w:rPr>
                <w:noProof/>
                <w:color w:val="004300"/>
                <w:sz w:val="18"/>
                <w:szCs w:val="18"/>
                <w:lang w:val="en-IE"/>
              </w:rPr>
              <w:t xml:space="preserve">Acceptance of  </w:t>
            </w:r>
            <w:r w:rsidRPr="63503832">
              <w:rPr>
                <w:noProof/>
                <w:color w:val="004300"/>
                <w:sz w:val="18"/>
                <w:szCs w:val="18"/>
                <w:lang w:val="en-IE"/>
              </w:rPr>
              <w:t xml:space="preserve">eHealth projects  </w:t>
            </w:r>
          </w:p>
          <w:p w:rsidRPr="00D627E5" w:rsidR="00D87E44" w:rsidRDefault="00D87E44" w14:paraId="154577CD" w14:textId="77777777">
            <w:pPr>
              <w:spacing w:before="0" w:after="0" w:line="240" w:lineRule="auto"/>
              <w:rPr>
                <w:rFonts w:eastAsia="Times New Roman"/>
                <w:noProof/>
                <w:color w:val="004300"/>
                <w:sz w:val="18"/>
                <w:szCs w:val="18"/>
                <w:lang w:val="en-IE"/>
              </w:rPr>
            </w:pPr>
          </w:p>
        </w:tc>
        <w:tc>
          <w:tcPr>
            <w:tcW w:w="1701" w:type="dxa"/>
            <w:shd w:val="clear" w:color="auto" w:fill="C6EFCE"/>
            <w:hideMark/>
          </w:tcPr>
          <w:p w:rsidRPr="00122AF2" w:rsidR="00D87E44" w:rsidRDefault="00D87E44" w14:paraId="154577CE" w14:textId="77777777">
            <w:pPr>
              <w:spacing w:before="0" w:after="0" w:line="240" w:lineRule="auto"/>
              <w:rPr>
                <w:rFonts w:eastAsia="Times New Roman"/>
                <w:noProof/>
                <w:color w:val="004300"/>
                <w:sz w:val="18"/>
                <w:szCs w:val="18"/>
                <w:lang w:val="en-IE"/>
              </w:rPr>
            </w:pPr>
            <w:r w:rsidRPr="00122AF2">
              <w:rPr>
                <w:noProof/>
                <w:color w:val="004300"/>
                <w:sz w:val="18"/>
                <w:szCs w:val="18"/>
                <w:lang w:val="en-IE"/>
              </w:rPr>
              <w:t xml:space="preserve">Acceptance </w:t>
            </w:r>
            <w:r w:rsidRPr="00122AF2">
              <w:rPr>
                <w:noProof/>
                <w:color w:val="004300"/>
                <w:sz w:val="18"/>
                <w:szCs w:val="18"/>
                <w:lang w:val="en-IE"/>
              </w:rPr>
              <w:t>protocols</w:t>
            </w:r>
          </w:p>
        </w:tc>
        <w:tc>
          <w:tcPr>
            <w:tcW w:w="1559" w:type="dxa"/>
            <w:shd w:val="clear" w:color="auto" w:fill="C6EFCE"/>
          </w:tcPr>
          <w:p w:rsidRPr="00122AF2" w:rsidR="00D87E44" w:rsidRDefault="00D87E44" w14:paraId="154577CF"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122AF2" w:rsidR="00D87E44" w:rsidRDefault="00D87E44" w14:paraId="154577D0"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122AF2" w:rsidR="00D87E44" w:rsidRDefault="00D87E44" w14:paraId="154577D1"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D2"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D3"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2025</w:t>
            </w:r>
          </w:p>
        </w:tc>
        <w:tc>
          <w:tcPr>
            <w:tcW w:w="3433" w:type="dxa"/>
            <w:shd w:val="clear" w:color="auto" w:fill="C6EFCE"/>
            <w:hideMark/>
          </w:tcPr>
          <w:p w:rsidRPr="00D627E5" w:rsidR="00D87E44" w:rsidRDefault="00D87E44" w14:paraId="154577D4" w14:textId="77777777">
            <w:pPr>
              <w:spacing w:before="0" w:after="0" w:line="240" w:lineRule="auto"/>
              <w:rPr>
                <w:noProof/>
                <w:color w:val="004300"/>
                <w:sz w:val="18"/>
                <w:szCs w:val="18"/>
                <w:lang w:val="en-IE"/>
              </w:rPr>
            </w:pPr>
            <w:r>
              <w:rPr>
                <w:noProof/>
                <w:color w:val="004300"/>
                <w:sz w:val="18"/>
                <w:szCs w:val="18"/>
                <w:lang w:val="en-IE"/>
              </w:rPr>
              <w:t>Acceptance of 6</w:t>
            </w:r>
            <w:r w:rsidRPr="63503832">
              <w:rPr>
                <w:noProof/>
                <w:color w:val="004300"/>
                <w:sz w:val="18"/>
                <w:szCs w:val="18"/>
                <w:lang w:val="en-IE"/>
              </w:rPr>
              <w:t xml:space="preserve"> e-Health projects</w:t>
            </w:r>
            <w:r>
              <w:rPr>
                <w:noProof/>
                <w:color w:val="004300"/>
                <w:sz w:val="18"/>
                <w:szCs w:val="18"/>
                <w:lang w:val="en-IE"/>
              </w:rPr>
              <w:t xml:space="preserve"> by the contracting authority or authorities</w:t>
            </w:r>
            <w:r w:rsidRPr="63503832">
              <w:rPr>
                <w:noProof/>
                <w:color w:val="004300"/>
                <w:sz w:val="18"/>
                <w:szCs w:val="18"/>
                <w:lang w:val="en-IE"/>
              </w:rPr>
              <w:t>.</w:t>
            </w:r>
          </w:p>
        </w:tc>
      </w:tr>
      <w:tr w:rsidRPr="00FE48E2" w:rsidR="00E3458A" w:rsidTr="4A45BCA2" w14:paraId="154577E2" w14:textId="77777777">
        <w:trPr>
          <w:trHeight w:val="300"/>
          <w:jc w:val="center"/>
        </w:trPr>
        <w:tc>
          <w:tcPr>
            <w:tcW w:w="704" w:type="dxa"/>
            <w:shd w:val="clear" w:color="auto" w:fill="C6EFCE"/>
            <w:hideMark/>
          </w:tcPr>
          <w:p w:rsidRPr="00D627E5" w:rsidR="00D87E44" w:rsidRDefault="00D87E44" w14:paraId="154577D6"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29</w:t>
            </w:r>
          </w:p>
        </w:tc>
        <w:tc>
          <w:tcPr>
            <w:tcW w:w="1276" w:type="dxa"/>
            <w:shd w:val="clear" w:color="auto" w:fill="C6EFCE"/>
            <w:hideMark/>
          </w:tcPr>
          <w:p w:rsidRPr="00D627E5" w:rsidR="00D87E44" w:rsidRDefault="00D87E44" w14:paraId="154577D7" w14:textId="77777777">
            <w:pPr>
              <w:spacing w:before="0" w:after="0" w:line="240" w:lineRule="auto"/>
              <w:rPr>
                <w:noProof/>
                <w:color w:val="004300"/>
                <w:sz w:val="18"/>
                <w:szCs w:val="18"/>
                <w:lang w:val="en-IE"/>
              </w:rPr>
            </w:pPr>
            <w:r w:rsidRPr="00D627E5">
              <w:rPr>
                <w:noProof/>
                <w:color w:val="004300"/>
                <w:sz w:val="18"/>
                <w:szCs w:val="18"/>
                <w:lang w:val="en-IE"/>
              </w:rPr>
              <w:t xml:space="preserve">Investment </w:t>
            </w:r>
            <w:r w:rsidRPr="00D627E5" w:rsidDel="00B57D63">
              <w:rPr>
                <w:noProof/>
                <w:color w:val="004300"/>
                <w:sz w:val="18"/>
                <w:szCs w:val="18"/>
                <w:lang w:val="en-IE"/>
              </w:rPr>
              <w:t>4</w:t>
            </w:r>
            <w:r w:rsidRPr="00D627E5">
              <w:rPr>
                <w:noProof/>
                <w:color w:val="004300"/>
                <w:sz w:val="18"/>
                <w:szCs w:val="18"/>
                <w:lang w:val="en-IE"/>
              </w:rPr>
              <w:t>:</w:t>
            </w:r>
          </w:p>
          <w:p w:rsidRPr="00D627E5" w:rsidR="00D87E44" w:rsidRDefault="00D87E44" w14:paraId="154577D8"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Creating the conditions for digital justice</w:t>
            </w:r>
          </w:p>
        </w:tc>
        <w:tc>
          <w:tcPr>
            <w:tcW w:w="1134" w:type="dxa"/>
            <w:shd w:val="clear" w:color="auto" w:fill="C6EFCE"/>
            <w:hideMark/>
          </w:tcPr>
          <w:p w:rsidRPr="00D627E5" w:rsidR="00D87E44" w:rsidRDefault="00D87E44" w14:paraId="154577D9"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Milestone</w:t>
            </w:r>
          </w:p>
        </w:tc>
        <w:tc>
          <w:tcPr>
            <w:tcW w:w="1559" w:type="dxa"/>
            <w:shd w:val="clear" w:color="auto" w:fill="C6EFCE"/>
            <w:hideMark/>
          </w:tcPr>
          <w:p w:rsidRPr="00D627E5" w:rsidR="00D87E44" w:rsidRDefault="00D87E44" w14:paraId="154577DA"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 xml:space="preserve">Analysis of data management and use of data in the justice sector and the </w:t>
            </w:r>
            <w:r w:rsidRPr="00D627E5">
              <w:rPr>
                <w:noProof/>
                <w:color w:val="004300"/>
                <w:sz w:val="18"/>
                <w:szCs w:val="18"/>
                <w:lang w:val="en-IE"/>
              </w:rPr>
              <w:t>deployment of a data warehouse</w:t>
            </w:r>
          </w:p>
        </w:tc>
        <w:tc>
          <w:tcPr>
            <w:tcW w:w="1701" w:type="dxa"/>
            <w:shd w:val="clear" w:color="auto" w:fill="C6EFCE"/>
            <w:hideMark/>
          </w:tcPr>
          <w:p w:rsidRPr="00D627E5" w:rsidR="00D87E44" w:rsidRDefault="00D87E44" w14:paraId="154577DB"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The analysis is approved by the Ministry of Justice and the data warehouse is deployed</w:t>
            </w:r>
          </w:p>
        </w:tc>
        <w:tc>
          <w:tcPr>
            <w:tcW w:w="1559" w:type="dxa"/>
            <w:shd w:val="clear" w:color="auto" w:fill="C6EFCE"/>
          </w:tcPr>
          <w:p w:rsidRPr="00D627E5" w:rsidR="00D87E44" w:rsidRDefault="00D87E44" w14:paraId="154577DC" w14:textId="77777777">
            <w:pPr>
              <w:spacing w:before="0" w:after="0" w:line="240" w:lineRule="auto"/>
              <w:rPr>
                <w:rFonts w:eastAsia="Times New Roman"/>
                <w:noProof/>
                <w:color w:val="004300"/>
                <w:sz w:val="18"/>
                <w:szCs w:val="18"/>
                <w:lang w:val="en-IE"/>
              </w:rPr>
            </w:pPr>
          </w:p>
        </w:tc>
        <w:tc>
          <w:tcPr>
            <w:tcW w:w="993" w:type="dxa"/>
            <w:shd w:val="clear" w:color="auto" w:fill="C6EFCE"/>
          </w:tcPr>
          <w:p w:rsidRPr="00D627E5" w:rsidR="00D87E44" w:rsidRDefault="00D87E44" w14:paraId="154577DD" w14:textId="77777777">
            <w:pPr>
              <w:spacing w:before="0" w:after="0" w:line="240" w:lineRule="auto"/>
              <w:rPr>
                <w:rFonts w:eastAsia="Times New Roman"/>
                <w:noProof/>
                <w:color w:val="004300"/>
                <w:sz w:val="18"/>
                <w:szCs w:val="18"/>
                <w:lang w:val="en-IE"/>
              </w:rPr>
            </w:pPr>
          </w:p>
        </w:tc>
        <w:tc>
          <w:tcPr>
            <w:tcW w:w="1134" w:type="dxa"/>
            <w:shd w:val="clear" w:color="auto" w:fill="C6EFCE"/>
          </w:tcPr>
          <w:p w:rsidRPr="00D627E5" w:rsidR="00D87E44" w:rsidRDefault="00D87E44" w14:paraId="154577DE" w14:textId="77777777">
            <w:pPr>
              <w:spacing w:before="0" w:after="0" w:line="240" w:lineRule="auto"/>
              <w:rPr>
                <w:rFonts w:eastAsia="Times New Roman"/>
                <w:noProof/>
                <w:color w:val="004300"/>
                <w:sz w:val="18"/>
                <w:szCs w:val="18"/>
                <w:lang w:val="en-IE"/>
              </w:rPr>
            </w:pPr>
          </w:p>
        </w:tc>
        <w:tc>
          <w:tcPr>
            <w:tcW w:w="850" w:type="dxa"/>
            <w:shd w:val="clear" w:color="auto" w:fill="C6EFCE"/>
            <w:hideMark/>
          </w:tcPr>
          <w:p w:rsidRPr="00D627E5" w:rsidR="00D87E44" w:rsidRDefault="00D87E44" w14:paraId="154577DF"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Q2</w:t>
            </w:r>
          </w:p>
        </w:tc>
        <w:tc>
          <w:tcPr>
            <w:tcW w:w="709" w:type="dxa"/>
            <w:shd w:val="clear" w:color="auto" w:fill="C6EFCE"/>
            <w:hideMark/>
          </w:tcPr>
          <w:p w:rsidRPr="00D627E5" w:rsidR="00D87E44" w:rsidRDefault="00D87E44" w14:paraId="154577E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E1" w14:textId="77777777">
            <w:pPr>
              <w:spacing w:before="0" w:after="0" w:line="240" w:lineRule="auto"/>
              <w:rPr>
                <w:rFonts w:eastAsia="Times New Roman"/>
                <w:noProof/>
                <w:color w:val="004300"/>
                <w:sz w:val="18"/>
                <w:szCs w:val="18"/>
                <w:lang w:val="en-IE"/>
              </w:rPr>
            </w:pPr>
            <w:r w:rsidRPr="00D627E5">
              <w:rPr>
                <w:noProof/>
                <w:color w:val="004300"/>
                <w:sz w:val="18"/>
                <w:szCs w:val="18"/>
                <w:lang w:val="en-IE"/>
              </w:rPr>
              <w:t>The milestone shall include an analysis mapping the data use and data management needs of the Justice sector and the Ministry of the Justice, which shall serve as a basis for the preparation of future projects aiming at the digitalisation of the sector and it shall also include the deployment of a data warehouse for the Ministry of Justice.</w:t>
            </w:r>
          </w:p>
        </w:tc>
      </w:tr>
      <w:tr w:rsidRPr="00FE48E2" w:rsidR="00E3458A" w:rsidTr="4A45BCA2" w14:paraId="154577EF" w14:textId="77777777">
        <w:trPr>
          <w:trHeight w:val="300"/>
          <w:jc w:val="center"/>
        </w:trPr>
        <w:tc>
          <w:tcPr>
            <w:tcW w:w="704" w:type="dxa"/>
            <w:shd w:val="clear" w:color="auto" w:fill="C6EFCE"/>
            <w:hideMark/>
          </w:tcPr>
          <w:p w:rsidRPr="00D627E5" w:rsidR="00D87E44" w:rsidRDefault="00D87E44" w14:paraId="154577E3"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lastRenderedPageBreak/>
              <w:t>30</w:t>
            </w:r>
          </w:p>
        </w:tc>
        <w:tc>
          <w:tcPr>
            <w:tcW w:w="1276" w:type="dxa"/>
            <w:shd w:val="clear" w:color="auto" w:fill="C6EFCE"/>
            <w:hideMark/>
          </w:tcPr>
          <w:p w:rsidRPr="00D627E5" w:rsidR="00D87E44" w:rsidRDefault="00D87E44" w14:paraId="154577E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Investment </w:t>
            </w:r>
            <w:r w:rsidRPr="00D627E5" w:rsidDel="00B57D63">
              <w:rPr>
                <w:rFonts w:eastAsia="Times New Roman"/>
                <w:noProof/>
                <w:color w:val="004300"/>
                <w:sz w:val="18"/>
                <w:szCs w:val="18"/>
                <w:lang w:val="en-IE"/>
              </w:rPr>
              <w:t>4</w:t>
            </w:r>
            <w:r w:rsidRPr="00D627E5">
              <w:rPr>
                <w:rFonts w:eastAsia="Times New Roman"/>
                <w:noProof/>
                <w:color w:val="004300"/>
                <w:sz w:val="18"/>
                <w:szCs w:val="18"/>
                <w:lang w:val="en-IE"/>
              </w:rPr>
              <w:t>:</w:t>
            </w:r>
          </w:p>
          <w:p w:rsidRPr="00D627E5" w:rsidR="00D87E44" w:rsidRDefault="00D87E44" w14:paraId="154577E5"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Creating the </w:t>
            </w:r>
            <w:r w:rsidRPr="00D627E5">
              <w:rPr>
                <w:rFonts w:eastAsia="Times New Roman"/>
                <w:noProof/>
                <w:color w:val="004300"/>
                <w:sz w:val="18"/>
                <w:szCs w:val="18"/>
                <w:lang w:val="en-IE"/>
              </w:rPr>
              <w:t>conditions for digital justice</w:t>
            </w:r>
          </w:p>
        </w:tc>
        <w:tc>
          <w:tcPr>
            <w:tcW w:w="1134" w:type="dxa"/>
            <w:shd w:val="clear" w:color="auto" w:fill="C6EFCE"/>
            <w:hideMark/>
          </w:tcPr>
          <w:p w:rsidRPr="00D627E5" w:rsidR="00D87E44" w:rsidRDefault="00D87E44" w14:paraId="154577E6"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Target</w:t>
            </w:r>
          </w:p>
        </w:tc>
        <w:tc>
          <w:tcPr>
            <w:tcW w:w="1559" w:type="dxa"/>
            <w:shd w:val="clear" w:color="auto" w:fill="C6EFCE"/>
            <w:hideMark/>
          </w:tcPr>
          <w:p w:rsidRPr="00D627E5" w:rsidR="00D87E44" w:rsidRDefault="00D87E44" w14:paraId="154577E7" w14:textId="77777777">
            <w:pPr>
              <w:spacing w:before="0" w:after="0" w:line="240" w:lineRule="auto"/>
              <w:rPr>
                <w:noProof/>
                <w:color w:val="004300"/>
                <w:sz w:val="18"/>
                <w:szCs w:val="18"/>
                <w:lang w:val="en-IE"/>
              </w:rPr>
            </w:pPr>
            <w:r w:rsidRPr="00D627E5">
              <w:rPr>
                <w:noProof/>
                <w:color w:val="004300"/>
                <w:sz w:val="18"/>
                <w:szCs w:val="18"/>
                <w:lang w:val="en-IE"/>
              </w:rPr>
              <w:t>Increase in the number of conferencing rooms in the Justice system newly equipped and connected to enable video conferencing</w:t>
            </w:r>
          </w:p>
        </w:tc>
        <w:tc>
          <w:tcPr>
            <w:tcW w:w="1701" w:type="dxa"/>
            <w:shd w:val="clear" w:color="auto" w:fill="C6EFCE"/>
          </w:tcPr>
          <w:p w:rsidRPr="00D627E5" w:rsidR="00D87E44" w:rsidRDefault="00D87E44" w14:paraId="154577E8" w14:textId="77777777">
            <w:pPr>
              <w:spacing w:before="0" w:after="0" w:line="240" w:lineRule="auto"/>
              <w:rPr>
                <w:rFonts w:eastAsia="Times New Roman"/>
                <w:noProof/>
                <w:color w:val="004300"/>
                <w:sz w:val="18"/>
                <w:szCs w:val="18"/>
                <w:lang w:val="en-IE"/>
              </w:rPr>
            </w:pPr>
          </w:p>
        </w:tc>
        <w:tc>
          <w:tcPr>
            <w:tcW w:w="1559" w:type="dxa"/>
            <w:shd w:val="clear" w:color="auto" w:fill="C6EFCE"/>
            <w:hideMark/>
          </w:tcPr>
          <w:p w:rsidRPr="00D627E5" w:rsidR="00D87E44" w:rsidRDefault="00D87E44" w14:paraId="154577E9"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Number of conference rooms</w:t>
            </w:r>
          </w:p>
        </w:tc>
        <w:tc>
          <w:tcPr>
            <w:tcW w:w="993" w:type="dxa"/>
            <w:shd w:val="clear" w:color="auto" w:fill="C6EFCE"/>
            <w:hideMark/>
          </w:tcPr>
          <w:p w:rsidRPr="00D627E5" w:rsidR="00D87E44" w:rsidRDefault="00D87E44" w14:paraId="154577EA"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170</w:t>
            </w:r>
          </w:p>
        </w:tc>
        <w:tc>
          <w:tcPr>
            <w:tcW w:w="1134" w:type="dxa"/>
            <w:shd w:val="clear" w:color="auto" w:fill="C6EFCE"/>
            <w:hideMark/>
          </w:tcPr>
          <w:p w:rsidRPr="00D627E5" w:rsidR="00D87E44" w:rsidRDefault="00D87E44" w14:paraId="154577EB"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470</w:t>
            </w:r>
          </w:p>
        </w:tc>
        <w:tc>
          <w:tcPr>
            <w:tcW w:w="850" w:type="dxa"/>
            <w:shd w:val="clear" w:color="auto" w:fill="C6EFCE"/>
            <w:hideMark/>
          </w:tcPr>
          <w:p w:rsidRPr="00D627E5" w:rsidR="00D87E44" w:rsidRDefault="00D87E44" w14:paraId="154577EC"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ED"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2022</w:t>
            </w:r>
          </w:p>
        </w:tc>
        <w:tc>
          <w:tcPr>
            <w:tcW w:w="3433" w:type="dxa"/>
            <w:shd w:val="clear" w:color="auto" w:fill="C6EFCE"/>
            <w:hideMark/>
          </w:tcPr>
          <w:p w:rsidRPr="00D627E5" w:rsidR="00D87E44" w:rsidRDefault="00D87E44" w14:paraId="154577EE"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The measure shall increase the number of </w:t>
            </w:r>
            <w:r w:rsidRPr="00D627E5">
              <w:rPr>
                <w:rFonts w:eastAsia="Times New Roman"/>
                <w:noProof/>
                <w:color w:val="004300"/>
                <w:sz w:val="18"/>
                <w:szCs w:val="18"/>
                <w:lang w:val="en-IE"/>
              </w:rPr>
              <w:t>conference rooms equipped with videoconferencing tools.</w:t>
            </w:r>
          </w:p>
        </w:tc>
      </w:tr>
      <w:tr w:rsidRPr="00FE48E2" w:rsidR="00E3458A" w:rsidTr="4A45BCA2" w14:paraId="154577FC" w14:textId="77777777">
        <w:trPr>
          <w:trHeight w:val="300"/>
          <w:jc w:val="center"/>
        </w:trPr>
        <w:tc>
          <w:tcPr>
            <w:tcW w:w="704" w:type="dxa"/>
            <w:shd w:val="clear" w:color="auto" w:fill="C6EFCE"/>
            <w:hideMark/>
          </w:tcPr>
          <w:p w:rsidRPr="00D627E5" w:rsidR="00D87E44" w:rsidRDefault="00D87E44" w14:paraId="154577F0"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31</w:t>
            </w:r>
          </w:p>
        </w:tc>
        <w:tc>
          <w:tcPr>
            <w:tcW w:w="1276" w:type="dxa"/>
            <w:shd w:val="clear" w:color="auto" w:fill="C6EFCE"/>
            <w:hideMark/>
          </w:tcPr>
          <w:p w:rsidRPr="00D627E5" w:rsidR="00D87E44" w:rsidRDefault="00D87E44" w14:paraId="154577F1"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 xml:space="preserve">Investment </w:t>
            </w:r>
            <w:r w:rsidRPr="00D627E5" w:rsidDel="00B57D63">
              <w:rPr>
                <w:rFonts w:eastAsia="Times New Roman"/>
                <w:noProof/>
                <w:color w:val="004300"/>
                <w:sz w:val="18"/>
                <w:szCs w:val="18"/>
                <w:lang w:val="en-IE"/>
              </w:rPr>
              <w:t>4</w:t>
            </w:r>
            <w:r w:rsidRPr="00D627E5">
              <w:rPr>
                <w:rFonts w:eastAsia="Times New Roman"/>
                <w:noProof/>
                <w:color w:val="004300"/>
                <w:sz w:val="18"/>
                <w:szCs w:val="18"/>
                <w:lang w:val="en-IE"/>
              </w:rPr>
              <w:t>:</w:t>
            </w:r>
          </w:p>
          <w:p w:rsidRPr="00D627E5" w:rsidR="00D87E44" w:rsidRDefault="00D87E44" w14:paraId="154577F2"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Creating the conditions for digital justice</w:t>
            </w:r>
          </w:p>
        </w:tc>
        <w:tc>
          <w:tcPr>
            <w:tcW w:w="1134" w:type="dxa"/>
            <w:shd w:val="clear" w:color="auto" w:fill="C6EFCE"/>
            <w:hideMark/>
          </w:tcPr>
          <w:p w:rsidRPr="00D627E5" w:rsidR="00D87E44" w:rsidRDefault="00D87E44" w14:paraId="154577F3"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Target</w:t>
            </w:r>
          </w:p>
        </w:tc>
        <w:tc>
          <w:tcPr>
            <w:tcW w:w="1559" w:type="dxa"/>
            <w:shd w:val="clear" w:color="auto" w:fill="C6EFCE"/>
            <w:hideMark/>
          </w:tcPr>
          <w:p w:rsidRPr="00D627E5" w:rsidR="00D87E44" w:rsidRDefault="00D87E44" w14:paraId="154577F4"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Increase of the data storage capacity</w:t>
            </w:r>
          </w:p>
        </w:tc>
        <w:tc>
          <w:tcPr>
            <w:tcW w:w="1701" w:type="dxa"/>
            <w:shd w:val="clear" w:color="auto" w:fill="C6EFCE"/>
          </w:tcPr>
          <w:p w:rsidRPr="00D627E5" w:rsidR="00D87E44" w:rsidRDefault="00D87E44" w14:paraId="154577F5" w14:textId="77777777">
            <w:pPr>
              <w:spacing w:before="0" w:after="0" w:line="240" w:lineRule="auto"/>
              <w:rPr>
                <w:rFonts w:eastAsia="Times New Roman"/>
                <w:noProof/>
                <w:color w:val="004300"/>
                <w:sz w:val="18"/>
                <w:szCs w:val="18"/>
                <w:lang w:val="en-IE"/>
              </w:rPr>
            </w:pPr>
          </w:p>
        </w:tc>
        <w:tc>
          <w:tcPr>
            <w:tcW w:w="1559" w:type="dxa"/>
            <w:shd w:val="clear" w:color="auto" w:fill="C6EFCE"/>
            <w:hideMark/>
          </w:tcPr>
          <w:p w:rsidRPr="00D627E5" w:rsidR="00D87E44" w:rsidRDefault="00D87E44" w14:paraId="154577F6" w14:textId="77777777">
            <w:pPr>
              <w:spacing w:before="0" w:after="0" w:line="240" w:lineRule="auto"/>
              <w:rPr>
                <w:rFonts w:eastAsia="Times New Roman"/>
                <w:noProof/>
                <w:color w:val="004300"/>
                <w:sz w:val="18"/>
                <w:szCs w:val="18"/>
                <w:lang w:val="en-IE"/>
              </w:rPr>
            </w:pPr>
            <w:r w:rsidRPr="00D627E5" w:rsidDel="00F836AA">
              <w:rPr>
                <w:rFonts w:eastAsia="Times New Roman"/>
                <w:noProof/>
                <w:color w:val="004300"/>
                <w:sz w:val="18"/>
                <w:szCs w:val="18"/>
                <w:lang w:val="en-IE"/>
              </w:rPr>
              <w:t>Petabyte</w:t>
            </w:r>
          </w:p>
        </w:tc>
        <w:tc>
          <w:tcPr>
            <w:tcW w:w="993" w:type="dxa"/>
            <w:shd w:val="clear" w:color="auto" w:fill="C6EFCE"/>
            <w:hideMark/>
          </w:tcPr>
          <w:p w:rsidRPr="008C7F7F" w:rsidR="00D87E44" w:rsidRDefault="00D87E44" w14:paraId="154577F7" w14:textId="77777777">
            <w:pPr>
              <w:spacing w:before="0" w:after="0" w:line="240" w:lineRule="auto"/>
              <w:rPr>
                <w:noProof/>
                <w:sz w:val="18"/>
                <w:lang w:val="en-IE"/>
              </w:rPr>
            </w:pPr>
            <w:r w:rsidRPr="008C7F7F">
              <w:rPr>
                <w:noProof/>
                <w:color w:val="004300"/>
                <w:sz w:val="18"/>
                <w:lang w:val="en-IE"/>
              </w:rPr>
              <w:t>0</w:t>
            </w:r>
          </w:p>
        </w:tc>
        <w:tc>
          <w:tcPr>
            <w:tcW w:w="1134" w:type="dxa"/>
            <w:shd w:val="clear" w:color="auto" w:fill="C6EFCE"/>
            <w:hideMark/>
          </w:tcPr>
          <w:p w:rsidRPr="008C7F7F" w:rsidR="00D87E44" w:rsidRDefault="00D87E44" w14:paraId="154577F8" w14:textId="77777777">
            <w:pPr>
              <w:spacing w:before="0" w:after="0" w:line="240" w:lineRule="auto"/>
              <w:rPr>
                <w:noProof/>
                <w:color w:val="004300"/>
                <w:sz w:val="18"/>
                <w:lang w:val="en-IE"/>
              </w:rPr>
            </w:pPr>
            <w:r w:rsidRPr="008C7F7F">
              <w:rPr>
                <w:rFonts w:eastAsia="Times New Roman"/>
                <w:noProof/>
                <w:color w:val="004300"/>
                <w:sz w:val="18"/>
                <w:szCs w:val="18"/>
                <w:lang w:val="en-IE"/>
              </w:rPr>
              <w:t>2</w:t>
            </w:r>
          </w:p>
        </w:tc>
        <w:tc>
          <w:tcPr>
            <w:tcW w:w="850" w:type="dxa"/>
            <w:shd w:val="clear" w:color="auto" w:fill="C6EFCE"/>
            <w:hideMark/>
          </w:tcPr>
          <w:p w:rsidRPr="00D627E5" w:rsidR="00D87E44" w:rsidRDefault="00D87E44" w14:paraId="154577F9"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Q4</w:t>
            </w:r>
          </w:p>
        </w:tc>
        <w:tc>
          <w:tcPr>
            <w:tcW w:w="709" w:type="dxa"/>
            <w:shd w:val="clear" w:color="auto" w:fill="C6EFCE"/>
            <w:hideMark/>
          </w:tcPr>
          <w:p w:rsidRPr="00D627E5" w:rsidR="00D87E44" w:rsidRDefault="00D87E44" w14:paraId="154577FA"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2024</w:t>
            </w:r>
          </w:p>
        </w:tc>
        <w:tc>
          <w:tcPr>
            <w:tcW w:w="3433" w:type="dxa"/>
            <w:shd w:val="clear" w:color="auto" w:fill="C6EFCE"/>
            <w:hideMark/>
          </w:tcPr>
          <w:p w:rsidRPr="00D627E5" w:rsidR="00D87E44" w:rsidRDefault="00D87E44" w14:paraId="154577FB" w14:textId="77777777">
            <w:pPr>
              <w:spacing w:before="0" w:after="0" w:line="240" w:lineRule="auto"/>
              <w:rPr>
                <w:rFonts w:eastAsia="Times New Roman"/>
                <w:noProof/>
                <w:color w:val="004300"/>
                <w:sz w:val="18"/>
                <w:szCs w:val="18"/>
                <w:lang w:val="en-IE"/>
              </w:rPr>
            </w:pPr>
            <w:r w:rsidRPr="00D627E5">
              <w:rPr>
                <w:rFonts w:eastAsia="Times New Roman"/>
                <w:noProof/>
                <w:color w:val="004300"/>
                <w:sz w:val="18"/>
                <w:szCs w:val="18"/>
                <w:lang w:val="en-IE"/>
              </w:rPr>
              <w:t>The measure shall increase the data storage capacity</w:t>
            </w:r>
            <w:r>
              <w:rPr>
                <w:rFonts w:eastAsia="Times New Roman"/>
                <w:noProof/>
                <w:color w:val="004300"/>
                <w:sz w:val="18"/>
                <w:szCs w:val="18"/>
                <w:lang w:val="en-IE"/>
              </w:rPr>
              <w:t xml:space="preserve"> </w:t>
            </w:r>
            <w:r w:rsidRPr="00D627E5">
              <w:rPr>
                <w:rFonts w:eastAsia="Times New Roman"/>
                <w:noProof/>
                <w:color w:val="004300"/>
                <w:sz w:val="18"/>
                <w:szCs w:val="18"/>
                <w:lang w:val="en-IE"/>
              </w:rPr>
              <w:t xml:space="preserve">of the </w:t>
            </w:r>
            <w:r w:rsidRPr="00D627E5">
              <w:rPr>
                <w:rFonts w:eastAsia="Times New Roman"/>
                <w:noProof/>
                <w:color w:val="004300"/>
                <w:sz w:val="18"/>
                <w:szCs w:val="18"/>
                <w:lang w:val="en-IE"/>
              </w:rPr>
              <w:t>Ministry of Justice</w:t>
            </w:r>
            <w:r>
              <w:rPr>
                <w:rFonts w:eastAsia="Times New Roman"/>
                <w:noProof/>
                <w:color w:val="004300"/>
                <w:sz w:val="18"/>
                <w:szCs w:val="18"/>
                <w:lang w:val="en-IE"/>
              </w:rPr>
              <w:t>,</w:t>
            </w:r>
            <w:r w:rsidRPr="00D627E5">
              <w:rPr>
                <w:rFonts w:eastAsia="Times New Roman"/>
                <w:noProof/>
                <w:color w:val="004300"/>
                <w:sz w:val="18"/>
                <w:szCs w:val="18"/>
                <w:lang w:val="en-IE"/>
              </w:rPr>
              <w:t xml:space="preserve"> strengthening the infrastructure for digital workplace and remote working.</w:t>
            </w:r>
          </w:p>
        </w:tc>
      </w:tr>
      <w:tr w:rsidR="00E3458A" w:rsidTr="4A45BCA2" w14:paraId="15457808" w14:textId="77777777">
        <w:trPr>
          <w:trHeight w:val="300"/>
          <w:jc w:val="center"/>
        </w:trPr>
        <w:tc>
          <w:tcPr>
            <w:tcW w:w="704" w:type="dxa"/>
            <w:shd w:val="clear" w:color="auto" w:fill="C6EFCE"/>
            <w:hideMark/>
          </w:tcPr>
          <w:p w:rsidRPr="008C7F7F" w:rsidR="00D87E44" w:rsidRDefault="00D87E44" w14:paraId="154577FD" w14:textId="77777777">
            <w:pPr>
              <w:spacing w:line="240" w:lineRule="auto"/>
              <w:rPr>
                <w:rFonts w:eastAsia="Times New Roman"/>
                <w:noProof/>
                <w:color w:val="004300"/>
                <w:sz w:val="18"/>
                <w:szCs w:val="18"/>
                <w:lang w:val="en-IE"/>
              </w:rPr>
            </w:pPr>
            <w:r w:rsidRPr="008C7F7F">
              <w:rPr>
                <w:rFonts w:eastAsia="Times New Roman"/>
                <w:noProof/>
                <w:color w:val="004300"/>
                <w:sz w:val="18"/>
                <w:szCs w:val="18"/>
                <w:lang w:val="en-IE"/>
              </w:rPr>
              <w:t>249</w:t>
            </w:r>
          </w:p>
        </w:tc>
        <w:tc>
          <w:tcPr>
            <w:tcW w:w="1276" w:type="dxa"/>
            <w:shd w:val="clear" w:color="auto" w:fill="C6EFCE"/>
            <w:hideMark/>
          </w:tcPr>
          <w:p w:rsidRPr="008C7F7F" w:rsidR="00D87E44" w:rsidRDefault="00D87E44" w14:paraId="154577FE" w14:textId="77777777">
            <w:pPr>
              <w:spacing w:before="0" w:after="0" w:line="240" w:lineRule="auto"/>
              <w:rPr>
                <w:noProof/>
                <w:color w:val="004300"/>
                <w:sz w:val="18"/>
                <w:szCs w:val="18"/>
                <w:lang w:val="en-IE"/>
              </w:rPr>
            </w:pPr>
            <w:r w:rsidRPr="008C7F7F">
              <w:rPr>
                <w:noProof/>
                <w:color w:val="004300"/>
                <w:sz w:val="18"/>
                <w:szCs w:val="18"/>
                <w:lang w:val="en-IE"/>
              </w:rPr>
              <w:t>Investment 6:</w:t>
            </w:r>
            <w:r>
              <w:rPr>
                <w:noProof/>
                <w:color w:val="004300"/>
                <w:sz w:val="18"/>
                <w:szCs w:val="18"/>
                <w:lang w:val="en-IE"/>
              </w:rPr>
              <w:t xml:space="preserve"> </w:t>
            </w:r>
            <w:r w:rsidRPr="008C7F7F">
              <w:rPr>
                <w:noProof/>
                <w:color w:val="004300"/>
                <w:sz w:val="18"/>
                <w:szCs w:val="18"/>
                <w:lang w:val="en-IE"/>
              </w:rPr>
              <w:t>Development of  information systems in social area</w:t>
            </w:r>
          </w:p>
        </w:tc>
        <w:tc>
          <w:tcPr>
            <w:tcW w:w="1134" w:type="dxa"/>
            <w:shd w:val="clear" w:color="auto" w:fill="C6EFCE"/>
            <w:hideMark/>
          </w:tcPr>
          <w:p w:rsidRPr="008C7F7F" w:rsidR="00D87E44" w:rsidRDefault="00D87E44" w14:paraId="154577FF" w14:textId="77777777">
            <w:pPr>
              <w:spacing w:before="0" w:after="0" w:line="240" w:lineRule="auto"/>
              <w:rPr>
                <w:noProof/>
                <w:color w:val="004300"/>
                <w:sz w:val="18"/>
                <w:szCs w:val="18"/>
                <w:lang w:val="en-IE"/>
              </w:rPr>
            </w:pPr>
            <w:r w:rsidRPr="008C7F7F">
              <w:rPr>
                <w:noProof/>
                <w:color w:val="004300"/>
                <w:sz w:val="18"/>
                <w:szCs w:val="18"/>
                <w:lang w:val="en-IE"/>
              </w:rPr>
              <w:t>Target</w:t>
            </w:r>
          </w:p>
        </w:tc>
        <w:tc>
          <w:tcPr>
            <w:tcW w:w="1559" w:type="dxa"/>
            <w:shd w:val="clear" w:color="auto" w:fill="C6EFCE"/>
            <w:hideMark/>
          </w:tcPr>
          <w:p w:rsidRPr="008C7F7F" w:rsidR="00D87E44" w:rsidRDefault="00D87E44" w14:paraId="15457800" w14:textId="77777777">
            <w:pPr>
              <w:spacing w:before="0" w:after="0" w:line="240" w:lineRule="auto"/>
              <w:rPr>
                <w:noProof/>
                <w:color w:val="004300"/>
                <w:sz w:val="18"/>
                <w:szCs w:val="18"/>
                <w:lang w:val="en-IE"/>
              </w:rPr>
            </w:pPr>
            <w:r w:rsidRPr="008C7F7F">
              <w:rPr>
                <w:noProof/>
                <w:color w:val="004300"/>
                <w:sz w:val="18"/>
                <w:szCs w:val="18"/>
                <w:lang w:val="en-IE"/>
              </w:rPr>
              <w:t>Upgraded information systems in the area of social policy</w:t>
            </w:r>
          </w:p>
        </w:tc>
        <w:tc>
          <w:tcPr>
            <w:tcW w:w="1701" w:type="dxa"/>
            <w:shd w:val="clear" w:color="auto" w:fill="C6EFCE"/>
          </w:tcPr>
          <w:p w:rsidRPr="008C7F7F" w:rsidR="00D87E44" w:rsidRDefault="00D87E44" w14:paraId="15457801" w14:textId="77777777">
            <w:pPr>
              <w:spacing w:line="240" w:lineRule="auto"/>
              <w:rPr>
                <w:rFonts w:eastAsia="Times New Roman"/>
                <w:noProof/>
                <w:color w:val="004300"/>
                <w:sz w:val="18"/>
                <w:szCs w:val="18"/>
                <w:lang w:val="en-IE"/>
              </w:rPr>
            </w:pPr>
          </w:p>
        </w:tc>
        <w:tc>
          <w:tcPr>
            <w:tcW w:w="1559" w:type="dxa"/>
            <w:shd w:val="clear" w:color="auto" w:fill="C6EFCE"/>
            <w:hideMark/>
          </w:tcPr>
          <w:p w:rsidRPr="008C7F7F" w:rsidR="00D87E44" w:rsidRDefault="00D87E44" w14:paraId="15457802" w14:textId="77777777">
            <w:pPr>
              <w:spacing w:before="0" w:after="0" w:line="240" w:lineRule="auto"/>
              <w:rPr>
                <w:noProof/>
                <w:color w:val="004300"/>
                <w:sz w:val="18"/>
                <w:szCs w:val="18"/>
                <w:lang w:val="en-IE"/>
              </w:rPr>
            </w:pPr>
            <w:r w:rsidRPr="008C7F7F">
              <w:rPr>
                <w:noProof/>
                <w:color w:val="004300"/>
                <w:sz w:val="18"/>
                <w:szCs w:val="18"/>
                <w:lang w:val="en-IE"/>
              </w:rPr>
              <w:t>Number</w:t>
            </w:r>
          </w:p>
        </w:tc>
        <w:tc>
          <w:tcPr>
            <w:tcW w:w="993" w:type="dxa"/>
            <w:shd w:val="clear" w:color="auto" w:fill="C6EFCE"/>
            <w:hideMark/>
          </w:tcPr>
          <w:p w:rsidRPr="008C7F7F" w:rsidR="00D87E44" w:rsidRDefault="00D87E44" w14:paraId="15457803" w14:textId="77777777">
            <w:pPr>
              <w:spacing w:before="0" w:after="0" w:line="240" w:lineRule="auto"/>
              <w:rPr>
                <w:noProof/>
                <w:color w:val="004300"/>
                <w:sz w:val="18"/>
                <w:szCs w:val="18"/>
                <w:lang w:val="en-IE"/>
              </w:rPr>
            </w:pPr>
            <w:r w:rsidRPr="008C7F7F">
              <w:rPr>
                <w:noProof/>
                <w:color w:val="004300"/>
                <w:sz w:val="18"/>
                <w:szCs w:val="18"/>
                <w:lang w:val="en-IE"/>
              </w:rPr>
              <w:t>0</w:t>
            </w:r>
          </w:p>
        </w:tc>
        <w:tc>
          <w:tcPr>
            <w:tcW w:w="1134" w:type="dxa"/>
            <w:shd w:val="clear" w:color="auto" w:fill="C6EFCE"/>
            <w:hideMark/>
          </w:tcPr>
          <w:p w:rsidRPr="008C7F7F" w:rsidR="00D87E44" w:rsidRDefault="00D87E44" w14:paraId="15457804" w14:textId="77777777">
            <w:pPr>
              <w:spacing w:before="0" w:after="0" w:line="240" w:lineRule="auto"/>
              <w:rPr>
                <w:noProof/>
                <w:color w:val="004300"/>
                <w:sz w:val="18"/>
                <w:szCs w:val="18"/>
                <w:lang w:val="en-IE"/>
              </w:rPr>
            </w:pPr>
            <w:r w:rsidRPr="008C7F7F">
              <w:rPr>
                <w:noProof/>
                <w:color w:val="004300"/>
                <w:sz w:val="18"/>
                <w:szCs w:val="18"/>
                <w:lang w:val="en-IE"/>
              </w:rPr>
              <w:t>6</w:t>
            </w:r>
          </w:p>
        </w:tc>
        <w:tc>
          <w:tcPr>
            <w:tcW w:w="850" w:type="dxa"/>
            <w:shd w:val="clear" w:color="auto" w:fill="C6EFCE"/>
            <w:hideMark/>
          </w:tcPr>
          <w:p w:rsidRPr="008C7F7F" w:rsidR="00D87E44" w:rsidRDefault="00D87E44" w14:paraId="15457805" w14:textId="77777777">
            <w:pPr>
              <w:spacing w:before="0" w:after="0" w:line="240" w:lineRule="auto"/>
              <w:rPr>
                <w:noProof/>
                <w:color w:val="004300"/>
                <w:sz w:val="18"/>
                <w:szCs w:val="18"/>
                <w:lang w:val="en-IE"/>
              </w:rPr>
            </w:pPr>
            <w:r w:rsidRPr="008C7F7F">
              <w:rPr>
                <w:noProof/>
                <w:color w:val="004300"/>
                <w:sz w:val="18"/>
                <w:szCs w:val="18"/>
                <w:lang w:val="en-IE"/>
              </w:rPr>
              <w:t>Q2</w:t>
            </w:r>
          </w:p>
        </w:tc>
        <w:tc>
          <w:tcPr>
            <w:tcW w:w="709" w:type="dxa"/>
            <w:shd w:val="clear" w:color="auto" w:fill="C6EFCE"/>
            <w:hideMark/>
          </w:tcPr>
          <w:p w:rsidRPr="008C7F7F" w:rsidR="00D87E44" w:rsidRDefault="00D87E44" w14:paraId="15457806" w14:textId="77777777">
            <w:pPr>
              <w:spacing w:before="0" w:after="0" w:line="240" w:lineRule="auto"/>
              <w:rPr>
                <w:noProof/>
                <w:color w:val="004300"/>
                <w:sz w:val="18"/>
                <w:szCs w:val="18"/>
                <w:lang w:val="en-IE"/>
              </w:rPr>
            </w:pPr>
            <w:r w:rsidRPr="008C7F7F">
              <w:rPr>
                <w:noProof/>
                <w:color w:val="004300"/>
                <w:sz w:val="18"/>
                <w:szCs w:val="18"/>
                <w:lang w:val="en-IE"/>
              </w:rPr>
              <w:t>2026</w:t>
            </w:r>
          </w:p>
        </w:tc>
        <w:tc>
          <w:tcPr>
            <w:tcW w:w="3433" w:type="dxa"/>
            <w:shd w:val="clear" w:color="auto" w:fill="C6EFCE"/>
            <w:hideMark/>
          </w:tcPr>
          <w:p w:rsidRPr="00FF1320" w:rsidR="00D87E44" w:rsidP="00FF1320" w:rsidRDefault="00D87E44" w14:paraId="15457807" w14:textId="77777777">
            <w:pPr>
              <w:spacing w:line="240" w:lineRule="auto"/>
              <w:rPr>
                <w:color w:val="004300"/>
                <w:sz w:val="18"/>
                <w:lang w:val="en-IE"/>
              </w:rPr>
            </w:pPr>
            <w:r w:rsidRPr="008C7FAF">
              <w:rPr>
                <w:noProof/>
                <w:color w:val="004300"/>
                <w:sz w:val="18"/>
                <w:szCs w:val="18"/>
                <w:lang w:val="en-IE"/>
              </w:rPr>
              <w:t>Acceptance of the upgrade of 6 information systems in the area of social policy</w:t>
            </w:r>
            <w:r w:rsidRPr="008C7FAF" w:rsidDel="003D546C">
              <w:rPr>
                <w:noProof/>
                <w:color w:val="004300"/>
                <w:sz w:val="18"/>
                <w:szCs w:val="18"/>
                <w:lang w:val="en-IE"/>
              </w:rPr>
              <w:t xml:space="preserve"> </w:t>
            </w:r>
            <w:r w:rsidRPr="008C7FAF">
              <w:rPr>
                <w:noProof/>
                <w:color w:val="004300"/>
                <w:sz w:val="18"/>
                <w:szCs w:val="18"/>
                <w:lang w:val="en-IE"/>
              </w:rPr>
              <w:t>by the contracting authority or authorities.</w:t>
            </w:r>
          </w:p>
        </w:tc>
      </w:tr>
    </w:tbl>
    <w:p w:rsidRPr="00D627E5" w:rsidR="00D87E44" w:rsidP="00D226F4" w:rsidRDefault="00D87E44" w14:paraId="15457809" w14:textId="77777777">
      <w:pPr>
        <w:pBdr>
          <w:top w:val="nil"/>
          <w:left w:val="nil"/>
          <w:bottom w:val="nil"/>
          <w:right w:val="nil"/>
          <w:between w:val="nil"/>
        </w:pBdr>
        <w:spacing w:line="240" w:lineRule="auto"/>
        <w:rPr>
          <w:rFonts w:ascii="Calibri" w:hAnsi="Calibri"/>
          <w:b/>
          <w:noProof/>
          <w:color w:val="000000"/>
          <w:sz w:val="22"/>
          <w:u w:val="single"/>
          <w:lang w:val="en-IE"/>
        </w:rPr>
        <w:sectPr w:rsidRPr="00D627E5" w:rsidR="00C16C1F" w:rsidSect="00D226F4">
          <w:headerReference w:type="even" r:id="Ra078e1536b9d482c"/>
          <w:headerReference w:type="default" r:id="R6ffd3a644cea44dd"/>
          <w:footerReference w:type="even" r:id="Rb98c33e26bf542f0"/>
          <w:footerReference w:type="default" r:id="Rfff0a203e4494e0d"/>
          <w:headerReference w:type="first" r:id="R5d2f4cc83aba470e"/>
          <w:footerReference w:type="first" r:id="R1189d998fac947d6"/>
          <w:pgSz w:w="16839" w:h="11907" w:orient="landscape"/>
          <w:pgMar w:top="1134" w:right="1134" w:bottom="1134" w:left="1134" w:header="567" w:footer="567" w:gutter="0"/>
          <w:cols w:space="720"/>
          <w:docGrid w:linePitch="326"/>
        </w:sectPr>
      </w:pPr>
    </w:p>
    <w:p w:rsidRPr="00D627E5" w:rsidR="00D87E44" w:rsidP="00D226F4" w:rsidRDefault="00D87E44" w14:paraId="1545780A" w14:textId="77777777">
      <w:pPr>
        <w:spacing w:line="240" w:lineRule="auto"/>
        <w:jc w:val="both"/>
        <w:rPr>
          <w:b/>
          <w:bCs/>
          <w:noProof/>
          <w:u w:val="single"/>
          <w:lang w:val="en-IE"/>
        </w:rPr>
      </w:pPr>
      <w:r w:rsidRPr="00D627E5">
        <w:rPr>
          <w:b/>
          <w:bCs/>
          <w:noProof/>
          <w:u w:val="single"/>
          <w:lang w:val="en-IE"/>
        </w:rPr>
        <w:lastRenderedPageBreak/>
        <w:t>B.3. Description of the reforms and investments for the loan</w:t>
      </w:r>
    </w:p>
    <w:p w:rsidRPr="00D627E5" w:rsidR="00D87E44" w:rsidP="00D226F4" w:rsidRDefault="00D87E44" w14:paraId="1545780B" w14:textId="77777777">
      <w:pPr>
        <w:pStyle w:val="P68B1DB1-Normln35"/>
        <w:widowControl w:val="0"/>
        <w:spacing w:after="0" w:line="240" w:lineRule="auto"/>
        <w:jc w:val="both"/>
        <w:rPr>
          <w:rFonts w:ascii="Times New Roman" w:hAnsi="Times New Roman" w:eastAsia="Times New Roman" w:cs="Times New Roman"/>
          <w:b/>
          <w:noProof/>
          <w:color w:val="000000" w:themeColor="text1"/>
          <w:lang w:val="en-IE"/>
        </w:rPr>
      </w:pPr>
      <w:r w:rsidRPr="41EDE7EF">
        <w:rPr>
          <w:rFonts w:ascii="Times New Roman" w:hAnsi="Times New Roman" w:eastAsia="Times New Roman" w:cs="Times New Roman"/>
          <w:b/>
          <w:noProof/>
          <w:color w:val="000000" w:themeColor="text1"/>
          <w:lang w:val="en-IE"/>
        </w:rPr>
        <w:t xml:space="preserve">Investment 5: Top-up of </w:t>
      </w:r>
      <w:r w:rsidRPr="00BA4A15">
        <w:rPr>
          <w:rFonts w:ascii="Times New Roman" w:hAnsi="Times New Roman" w:eastAsia="Times New Roman" w:cs="Times New Roman"/>
          <w:b/>
          <w:noProof/>
          <w:color w:val="000000" w:themeColor="text1"/>
          <w:lang w:val="en-IE"/>
        </w:rPr>
        <w:t>cybersecurity</w:t>
      </w:r>
      <w:r w:rsidRPr="41EDE7EF">
        <w:rPr>
          <w:rFonts w:ascii="Times New Roman" w:hAnsi="Times New Roman" w:eastAsia="Times New Roman" w:cs="Times New Roman"/>
          <w:b/>
          <w:noProof/>
          <w:color w:val="000000" w:themeColor="text1"/>
          <w:lang w:val="en-IE"/>
        </w:rPr>
        <w:t xml:space="preserve"> investment</w:t>
      </w:r>
    </w:p>
    <w:p w:rsidRPr="00FF1320" w:rsidR="00D87E44" w:rsidP="00D226F4" w:rsidRDefault="00D87E44" w14:paraId="1545780C" w14:textId="77777777">
      <w:pPr>
        <w:spacing w:line="240" w:lineRule="auto"/>
        <w:jc w:val="both"/>
        <w:rPr>
          <w:color w:val="000000" w:themeColor="text1"/>
          <w:lang w:val="en-IE"/>
        </w:rPr>
      </w:pPr>
      <w:r w:rsidRPr="55EFE7FB">
        <w:rPr>
          <w:noProof/>
          <w:color w:val="000000" w:themeColor="text1"/>
          <w:lang w:val="en-IE"/>
        </w:rPr>
        <w:t>The objective of the measure is to top-up the cybersecurity investment under the non-repayable financial support. The measure consists in increasing the number of supported projects</w:t>
      </w:r>
      <w:r w:rsidRPr="55EFE7FB">
        <w:rPr>
          <w:rFonts w:eastAsia="Times New Roman"/>
          <w:noProof/>
          <w:lang w:val="en-IE"/>
        </w:rPr>
        <w:t xml:space="preserve"> enhancing the cybersecurity of </w:t>
      </w:r>
      <w:r w:rsidRPr="00FF1320" w:rsidDel="00955EA4">
        <w:rPr>
          <w:lang w:val="en-IE"/>
        </w:rPr>
        <w:t>information systems</w:t>
      </w:r>
      <w:r w:rsidRPr="55EFE7FB">
        <w:rPr>
          <w:rFonts w:eastAsia="Times New Roman"/>
          <w:noProof/>
          <w:lang w:val="en-IE"/>
        </w:rPr>
        <w:t>.</w:t>
      </w:r>
    </w:p>
    <w:p w:rsidR="00D87E44" w:rsidP="00D226F4" w:rsidRDefault="00D87E44" w14:paraId="1545780D" w14:textId="77777777">
      <w:pPr>
        <w:spacing w:line="240" w:lineRule="auto"/>
        <w:jc w:val="both"/>
        <w:rPr>
          <w:noProof/>
          <w:color w:val="000000"/>
          <w:szCs w:val="24"/>
          <w:lang w:val="en-IE"/>
        </w:rPr>
        <w:sectPr w:rsidR="00C16C1F" w:rsidSect="00D226F4">
          <w:headerReference w:type="even" r:id="Ra0cd462845e14a0d"/>
          <w:headerReference w:type="default" r:id="Redd4d83527d44a5f"/>
          <w:footerReference w:type="even" r:id="Rab8fe78b81244553"/>
          <w:footerReference w:type="default" r:id="Rb2307f4f32874912"/>
          <w:headerReference w:type="first" r:id="R0f298b9f612c4d2e"/>
          <w:footerReference w:type="first" r:id="R85d89eca5a444ea7"/>
          <w:pgSz w:w="11907" w:h="16839"/>
          <w:pgMar w:top="1134" w:right="1134" w:bottom="1134" w:left="1134" w:header="567" w:footer="567" w:gutter="0"/>
          <w:cols w:space="720"/>
          <w:docGrid w:linePitch="360"/>
        </w:sectPr>
      </w:pPr>
    </w:p>
    <w:p w:rsidRPr="002B5D13" w:rsidR="00D87E44" w:rsidP="00D226F4" w:rsidRDefault="00D87E44" w14:paraId="1545780E" w14:textId="77777777">
      <w:pPr>
        <w:pBdr>
          <w:top w:val="nil"/>
          <w:left w:val="nil"/>
          <w:bottom w:val="nil"/>
          <w:right w:val="nil"/>
          <w:between w:val="nil"/>
        </w:pBdr>
        <w:spacing w:line="240" w:lineRule="auto"/>
        <w:jc w:val="both"/>
        <w:rPr>
          <w:b/>
          <w:noProof/>
          <w:color w:val="000000"/>
          <w:szCs w:val="24"/>
          <w:u w:val="single"/>
          <w:lang w:val="en-IE"/>
        </w:rPr>
      </w:pPr>
      <w:r w:rsidRPr="002B5D13">
        <w:rPr>
          <w:b/>
          <w:noProof/>
          <w:color w:val="000000"/>
          <w:szCs w:val="24"/>
          <w:u w:val="single"/>
          <w:lang w:val="en-IE"/>
        </w:rPr>
        <w:lastRenderedPageBreak/>
        <w:t>B.4. Milestones, targets, indicators, and timetable for monitoring and implementation for the loan</w:t>
      </w:r>
    </w:p>
    <w:tbl>
      <w:tblPr>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1062"/>
        <w:gridCol w:w="1330"/>
        <w:gridCol w:w="1046"/>
        <w:gridCol w:w="1557"/>
        <w:gridCol w:w="1174"/>
        <w:gridCol w:w="1455"/>
        <w:gridCol w:w="1046"/>
        <w:gridCol w:w="662"/>
        <w:gridCol w:w="918"/>
        <w:gridCol w:w="662"/>
        <w:gridCol w:w="4083"/>
      </w:tblGrid>
      <w:tr w:rsidRPr="00FE48E2" w:rsidR="00E3458A" w:rsidTr="4A45BCA2" w14:paraId="15457817" w14:textId="77777777">
        <w:trPr>
          <w:trHeight w:val="615"/>
          <w:tblHeader/>
          <w:jc w:val="center"/>
        </w:trPr>
        <w:tc>
          <w:tcPr>
            <w:tcW w:w="1062" w:type="dxa"/>
            <w:vMerge w:val="restart"/>
            <w:shd w:val="clear" w:color="auto" w:fill="BDD7EE"/>
            <w:vAlign w:val="center"/>
          </w:tcPr>
          <w:p w:rsidRPr="00D627E5" w:rsidR="00D87E44" w:rsidRDefault="00D87E44" w14:paraId="1545780F"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Seq. Num. </w:t>
            </w:r>
          </w:p>
        </w:tc>
        <w:tc>
          <w:tcPr>
            <w:tcW w:w="1330" w:type="dxa"/>
            <w:vMerge w:val="restart"/>
            <w:shd w:val="clear" w:color="auto" w:fill="BDD7EE"/>
            <w:vAlign w:val="center"/>
          </w:tcPr>
          <w:p w:rsidRPr="00D627E5" w:rsidR="00D87E44" w:rsidRDefault="00D87E44" w14:paraId="15457810"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Related measure (Reform or Investment) </w:t>
            </w:r>
          </w:p>
        </w:tc>
        <w:tc>
          <w:tcPr>
            <w:tcW w:w="1046" w:type="dxa"/>
            <w:vMerge w:val="restart"/>
            <w:shd w:val="clear" w:color="auto" w:fill="BDD7EE"/>
            <w:vAlign w:val="center"/>
          </w:tcPr>
          <w:p w:rsidRPr="00D627E5" w:rsidR="00D87E44" w:rsidRDefault="00D87E44" w14:paraId="15457811"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 xml:space="preserve">Milestone / Target </w:t>
            </w:r>
          </w:p>
        </w:tc>
        <w:tc>
          <w:tcPr>
            <w:tcW w:w="1557" w:type="dxa"/>
            <w:vMerge w:val="restart"/>
            <w:shd w:val="clear" w:color="auto" w:fill="BDD7EE"/>
            <w:vAlign w:val="center"/>
          </w:tcPr>
          <w:p w:rsidRPr="00D627E5" w:rsidR="00D87E44" w:rsidRDefault="00D87E44" w14:paraId="15457812"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Name</w:t>
            </w:r>
          </w:p>
        </w:tc>
        <w:tc>
          <w:tcPr>
            <w:tcW w:w="1174" w:type="dxa"/>
            <w:vMerge w:val="restart"/>
            <w:shd w:val="clear" w:color="auto" w:fill="BDD7EE"/>
            <w:vAlign w:val="center"/>
          </w:tcPr>
          <w:p w:rsidRPr="00D627E5" w:rsidR="00D87E44" w:rsidRDefault="00D87E44" w14:paraId="15457813" w14:textId="77777777">
            <w:pPr>
              <w:spacing w:line="240" w:lineRule="auto"/>
              <w:jc w:val="center"/>
              <w:rPr>
                <w:rFonts w:eastAsia="Times New Roman"/>
                <w:noProof/>
                <w:sz w:val="18"/>
                <w:szCs w:val="18"/>
                <w:lang w:val="en-IE"/>
              </w:rPr>
            </w:pPr>
            <w:r w:rsidRPr="00D627E5">
              <w:rPr>
                <w:rFonts w:eastAsia="Times New Roman"/>
                <w:b/>
                <w:bCs/>
                <w:noProof/>
                <w:sz w:val="18"/>
                <w:szCs w:val="18"/>
                <w:lang w:val="en-IE"/>
              </w:rPr>
              <w:t>Qualitative indicators</w:t>
            </w:r>
            <w:r w:rsidRPr="00D627E5">
              <w:rPr>
                <w:noProof/>
                <w:sz w:val="18"/>
                <w:szCs w:val="18"/>
                <w:lang w:val="en-IE"/>
              </w:rPr>
              <w:br/>
            </w:r>
            <w:r w:rsidRPr="00D627E5">
              <w:rPr>
                <w:rFonts w:eastAsia="Times New Roman"/>
                <w:b/>
                <w:bCs/>
                <w:noProof/>
                <w:sz w:val="18"/>
                <w:szCs w:val="18"/>
                <w:lang w:val="en-IE"/>
              </w:rPr>
              <w:t xml:space="preserve"> (for milestones) </w:t>
            </w:r>
          </w:p>
        </w:tc>
        <w:tc>
          <w:tcPr>
            <w:tcW w:w="3163" w:type="dxa"/>
            <w:gridSpan w:val="3"/>
            <w:shd w:val="clear" w:color="auto" w:fill="BDD7EE"/>
            <w:vAlign w:val="center"/>
          </w:tcPr>
          <w:p w:rsidRPr="00D627E5" w:rsidR="00D87E44" w:rsidRDefault="00D87E44" w14:paraId="15457814" w14:textId="77777777">
            <w:pPr>
              <w:spacing w:line="240" w:lineRule="auto"/>
              <w:jc w:val="center"/>
              <w:rPr>
                <w:rFonts w:eastAsia="Times New Roman"/>
                <w:noProof/>
                <w:sz w:val="18"/>
                <w:szCs w:val="18"/>
                <w:lang w:val="en-IE"/>
              </w:rPr>
            </w:pPr>
            <w:r w:rsidRPr="00D627E5">
              <w:rPr>
                <w:rFonts w:eastAsia="Times New Roman"/>
                <w:b/>
                <w:bCs/>
                <w:noProof/>
                <w:sz w:val="18"/>
                <w:szCs w:val="18"/>
                <w:lang w:val="en-IE"/>
              </w:rPr>
              <w:t>Quantitative indicators</w:t>
            </w:r>
            <w:r w:rsidRPr="00D627E5">
              <w:rPr>
                <w:noProof/>
                <w:sz w:val="18"/>
                <w:szCs w:val="18"/>
                <w:lang w:val="en-IE"/>
              </w:rPr>
              <w:br/>
            </w:r>
            <w:r w:rsidRPr="00D627E5">
              <w:rPr>
                <w:rFonts w:eastAsia="Times New Roman"/>
                <w:b/>
                <w:bCs/>
                <w:noProof/>
                <w:sz w:val="18"/>
                <w:szCs w:val="18"/>
                <w:lang w:val="en-IE"/>
              </w:rPr>
              <w:t xml:space="preserve"> (for targets)</w:t>
            </w:r>
          </w:p>
        </w:tc>
        <w:tc>
          <w:tcPr>
            <w:tcW w:w="1580" w:type="dxa"/>
            <w:gridSpan w:val="2"/>
            <w:shd w:val="clear" w:color="auto" w:fill="BDD7EE"/>
            <w:vAlign w:val="center"/>
          </w:tcPr>
          <w:p w:rsidRPr="00D627E5" w:rsidR="00D87E44" w:rsidRDefault="00D87E44" w14:paraId="15457815"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Indicative timeline for completion</w:t>
            </w:r>
          </w:p>
        </w:tc>
        <w:tc>
          <w:tcPr>
            <w:tcW w:w="4083" w:type="dxa"/>
            <w:vMerge w:val="restart"/>
            <w:shd w:val="clear" w:color="auto" w:fill="BDD7EE"/>
            <w:vAlign w:val="center"/>
          </w:tcPr>
          <w:p w:rsidRPr="00D627E5" w:rsidR="00D87E44" w:rsidRDefault="00D87E44" w14:paraId="15457816"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Description and clear definition of each milestone and target</w:t>
            </w:r>
          </w:p>
        </w:tc>
      </w:tr>
      <w:tr w:rsidRPr="00FE48E2" w:rsidR="00E3458A" w:rsidTr="4A45BCA2" w14:paraId="15457823" w14:textId="77777777">
        <w:trPr>
          <w:trHeight w:val="159"/>
          <w:tblHeader/>
          <w:jc w:val="center"/>
        </w:trPr>
        <w:tc>
          <w:tcPr>
            <w:tcW w:w="1062" w:type="dxa"/>
            <w:vMerge/>
            <w:vAlign w:val="center"/>
          </w:tcPr>
          <w:p w:rsidRPr="00D627E5" w:rsidR="00D87E44" w:rsidRDefault="00D87E44" w14:paraId="15457818"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0" w:type="dxa"/>
            <w:vMerge/>
            <w:vAlign w:val="center"/>
          </w:tcPr>
          <w:p w:rsidRPr="00D627E5" w:rsidR="00D87E44" w:rsidRDefault="00D87E44" w14:paraId="15457819"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46" w:type="dxa"/>
            <w:vMerge/>
            <w:vAlign w:val="center"/>
          </w:tcPr>
          <w:p w:rsidRPr="00D627E5" w:rsidR="00D87E44" w:rsidRDefault="00D87E44" w14:paraId="1545781A"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57" w:type="dxa"/>
            <w:vMerge/>
            <w:vAlign w:val="center"/>
          </w:tcPr>
          <w:p w:rsidRPr="00D627E5" w:rsidR="00D87E44" w:rsidRDefault="00D87E44" w14:paraId="1545781B"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74" w:type="dxa"/>
            <w:vMerge/>
            <w:vAlign w:val="center"/>
          </w:tcPr>
          <w:p w:rsidRPr="00D627E5" w:rsidR="00D87E44" w:rsidRDefault="00D87E44" w14:paraId="1545781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55" w:type="dxa"/>
            <w:shd w:val="clear" w:color="auto" w:fill="BDD7EE"/>
            <w:vAlign w:val="center"/>
          </w:tcPr>
          <w:p w:rsidRPr="00D627E5" w:rsidR="00D87E44" w:rsidRDefault="00D87E44" w14:paraId="1545781D"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Unit of measure</w:t>
            </w:r>
          </w:p>
        </w:tc>
        <w:tc>
          <w:tcPr>
            <w:tcW w:w="1046" w:type="dxa"/>
            <w:shd w:val="clear" w:color="auto" w:fill="BDD7EE"/>
            <w:vAlign w:val="center"/>
          </w:tcPr>
          <w:p w:rsidRPr="00D627E5" w:rsidR="00D87E44" w:rsidRDefault="00D87E44" w14:paraId="1545781E"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Baseline</w:t>
            </w:r>
          </w:p>
        </w:tc>
        <w:tc>
          <w:tcPr>
            <w:tcW w:w="662" w:type="dxa"/>
            <w:shd w:val="clear" w:color="auto" w:fill="BDD7EE"/>
            <w:vAlign w:val="center"/>
          </w:tcPr>
          <w:p w:rsidRPr="00D627E5" w:rsidR="00D87E44" w:rsidRDefault="00D87E44" w14:paraId="1545781F"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Goal</w:t>
            </w:r>
          </w:p>
        </w:tc>
        <w:tc>
          <w:tcPr>
            <w:tcW w:w="918" w:type="dxa"/>
            <w:shd w:val="clear" w:color="auto" w:fill="BDD7EE"/>
            <w:vAlign w:val="center"/>
          </w:tcPr>
          <w:p w:rsidRPr="00D627E5" w:rsidR="00D87E44" w:rsidRDefault="00D87E44" w14:paraId="15457820"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Quarter</w:t>
            </w:r>
          </w:p>
        </w:tc>
        <w:tc>
          <w:tcPr>
            <w:tcW w:w="662" w:type="dxa"/>
            <w:shd w:val="clear" w:color="auto" w:fill="BDD7EE"/>
            <w:vAlign w:val="center"/>
          </w:tcPr>
          <w:p w:rsidRPr="00D627E5" w:rsidR="00D87E44" w:rsidRDefault="00D87E44" w14:paraId="15457821" w14:textId="77777777">
            <w:pPr>
              <w:spacing w:line="240" w:lineRule="auto"/>
              <w:jc w:val="center"/>
              <w:rPr>
                <w:rFonts w:eastAsia="Times New Roman"/>
                <w:noProof/>
                <w:sz w:val="18"/>
                <w:szCs w:val="18"/>
                <w:lang w:val="en-IE"/>
              </w:rPr>
            </w:pPr>
            <w:r w:rsidRPr="00D627E5">
              <w:rPr>
                <w:rFonts w:eastAsia="Times New Roman"/>
                <w:b/>
                <w:noProof/>
                <w:sz w:val="18"/>
                <w:szCs w:val="18"/>
                <w:lang w:val="en-IE"/>
              </w:rPr>
              <w:t>Year</w:t>
            </w:r>
          </w:p>
        </w:tc>
        <w:tc>
          <w:tcPr>
            <w:tcW w:w="4083" w:type="dxa"/>
            <w:vMerge/>
            <w:vAlign w:val="center"/>
          </w:tcPr>
          <w:p w:rsidRPr="00D627E5" w:rsidR="00D87E44" w:rsidRDefault="00D87E44" w14:paraId="15457822"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rsidTr="4A45BCA2" w14:paraId="1545782F" w14:textId="77777777">
        <w:trPr>
          <w:trHeight w:val="945"/>
          <w:jc w:val="center"/>
        </w:trPr>
        <w:tc>
          <w:tcPr>
            <w:tcW w:w="1062" w:type="dxa"/>
            <w:shd w:val="clear" w:color="auto" w:fill="C6EFCE"/>
          </w:tcPr>
          <w:p w:rsidRPr="00062C72" w:rsidR="00D87E44" w:rsidRDefault="00D87E44" w14:paraId="15457824" w14:textId="77777777">
            <w:pPr>
              <w:spacing w:before="0" w:after="0" w:line="240" w:lineRule="auto"/>
              <w:rPr>
                <w:noProof/>
                <w:color w:val="004300"/>
                <w:sz w:val="18"/>
                <w:szCs w:val="18"/>
                <w:lang w:val="en-IE"/>
              </w:rPr>
            </w:pPr>
            <w:r w:rsidRPr="00062C72">
              <w:rPr>
                <w:noProof/>
                <w:color w:val="004300"/>
                <w:sz w:val="18"/>
                <w:szCs w:val="18"/>
                <w:lang w:val="en-IE"/>
              </w:rPr>
              <w:t>247</w:t>
            </w:r>
          </w:p>
        </w:tc>
        <w:tc>
          <w:tcPr>
            <w:tcW w:w="1330" w:type="dxa"/>
            <w:shd w:val="clear" w:color="auto" w:fill="C6EFCE"/>
          </w:tcPr>
          <w:p w:rsidRPr="00D627E5" w:rsidR="00D87E44" w:rsidRDefault="00D87E44" w14:paraId="15457825" w14:textId="77777777">
            <w:pPr>
              <w:spacing w:before="0" w:after="0" w:line="240" w:lineRule="auto"/>
              <w:rPr>
                <w:noProof/>
                <w:color w:val="004300"/>
                <w:sz w:val="18"/>
                <w:szCs w:val="18"/>
                <w:lang w:val="en-IE"/>
              </w:rPr>
            </w:pPr>
            <w:r w:rsidRPr="00D627E5">
              <w:rPr>
                <w:noProof/>
                <w:color w:val="004300"/>
                <w:sz w:val="18"/>
                <w:szCs w:val="18"/>
                <w:lang w:val="en-IE"/>
              </w:rPr>
              <w:t xml:space="preserve">Investment </w:t>
            </w:r>
            <w:r>
              <w:rPr>
                <w:noProof/>
                <w:color w:val="004300"/>
                <w:sz w:val="18"/>
                <w:szCs w:val="18"/>
                <w:lang w:val="en-IE"/>
              </w:rPr>
              <w:t>5</w:t>
            </w:r>
            <w:r w:rsidRPr="00D627E5">
              <w:rPr>
                <w:noProof/>
                <w:color w:val="004300"/>
                <w:sz w:val="18"/>
                <w:szCs w:val="18"/>
                <w:lang w:val="en-IE"/>
              </w:rPr>
              <w:t xml:space="preserve">: Top-up of </w:t>
            </w:r>
            <w:r w:rsidRPr="00BA4A15">
              <w:rPr>
                <w:noProof/>
                <w:color w:val="004300"/>
                <w:sz w:val="18"/>
                <w:szCs w:val="18"/>
                <w:lang w:val="en-IE"/>
              </w:rPr>
              <w:t>cybersecurity</w:t>
            </w:r>
            <w:r w:rsidRPr="00D627E5">
              <w:rPr>
                <w:noProof/>
                <w:color w:val="004300"/>
                <w:sz w:val="18"/>
                <w:szCs w:val="18"/>
                <w:lang w:val="en-IE"/>
              </w:rPr>
              <w:t xml:space="preserve"> investment</w:t>
            </w:r>
          </w:p>
        </w:tc>
        <w:tc>
          <w:tcPr>
            <w:tcW w:w="1046" w:type="dxa"/>
            <w:shd w:val="clear" w:color="auto" w:fill="C6EFCE"/>
          </w:tcPr>
          <w:p w:rsidRPr="00062C72" w:rsidR="00D87E44" w:rsidRDefault="00D87E44" w14:paraId="15457826" w14:textId="77777777">
            <w:pPr>
              <w:spacing w:before="0" w:after="0" w:line="240" w:lineRule="auto"/>
              <w:rPr>
                <w:noProof/>
                <w:color w:val="004300"/>
                <w:sz w:val="18"/>
                <w:szCs w:val="18"/>
                <w:lang w:val="en-IE"/>
              </w:rPr>
            </w:pPr>
            <w:r w:rsidRPr="00D627E5">
              <w:rPr>
                <w:noProof/>
                <w:color w:val="004300"/>
                <w:sz w:val="18"/>
                <w:szCs w:val="18"/>
                <w:lang w:val="en-IE"/>
              </w:rPr>
              <w:t>Milestone</w:t>
            </w:r>
          </w:p>
        </w:tc>
        <w:tc>
          <w:tcPr>
            <w:tcW w:w="1557" w:type="dxa"/>
            <w:shd w:val="clear" w:color="auto" w:fill="C6EFCE"/>
          </w:tcPr>
          <w:p w:rsidRPr="00062C72" w:rsidR="00D87E44" w:rsidRDefault="00D87E44" w14:paraId="15457827" w14:textId="77777777">
            <w:pPr>
              <w:spacing w:before="0" w:after="0" w:line="240" w:lineRule="auto"/>
              <w:rPr>
                <w:noProof/>
                <w:color w:val="004300"/>
                <w:sz w:val="18"/>
                <w:szCs w:val="18"/>
                <w:lang w:val="en-IE"/>
              </w:rPr>
            </w:pPr>
            <w:r w:rsidRPr="00D627E5">
              <w:rPr>
                <w:noProof/>
                <w:color w:val="004300"/>
                <w:sz w:val="18"/>
                <w:szCs w:val="18"/>
                <w:lang w:val="en-IE"/>
              </w:rPr>
              <w:t>Publication of the call related to the strengthening of information systems in accordance with Act No 181/2014 Coll. on cybersecurity</w:t>
            </w:r>
          </w:p>
        </w:tc>
        <w:tc>
          <w:tcPr>
            <w:tcW w:w="1174" w:type="dxa"/>
            <w:shd w:val="clear" w:color="auto" w:fill="C6EFCE"/>
          </w:tcPr>
          <w:p w:rsidRPr="00062C72" w:rsidR="00D87E44" w:rsidRDefault="00D87E44" w14:paraId="15457828" w14:textId="77777777">
            <w:pPr>
              <w:spacing w:before="0" w:after="0" w:line="240" w:lineRule="auto"/>
              <w:rPr>
                <w:noProof/>
                <w:color w:val="004300"/>
                <w:sz w:val="18"/>
                <w:szCs w:val="18"/>
                <w:lang w:val="en-IE"/>
              </w:rPr>
            </w:pPr>
            <w:r w:rsidRPr="00062C72">
              <w:rPr>
                <w:noProof/>
                <w:color w:val="004300"/>
                <w:sz w:val="18"/>
                <w:szCs w:val="18"/>
                <w:lang w:val="en-IE"/>
              </w:rPr>
              <w:t>Publication of a call for projects</w:t>
            </w:r>
          </w:p>
        </w:tc>
        <w:tc>
          <w:tcPr>
            <w:tcW w:w="1455" w:type="dxa"/>
            <w:shd w:val="clear" w:color="auto" w:fill="C6EFCE"/>
          </w:tcPr>
          <w:p w:rsidRPr="00062C72" w:rsidR="00D87E44" w:rsidRDefault="00D87E44" w14:paraId="15457829" w14:textId="77777777">
            <w:pPr>
              <w:spacing w:before="0" w:after="0" w:line="240" w:lineRule="auto"/>
              <w:rPr>
                <w:noProof/>
                <w:color w:val="004300"/>
                <w:sz w:val="18"/>
                <w:szCs w:val="18"/>
                <w:lang w:val="en-IE"/>
              </w:rPr>
            </w:pPr>
          </w:p>
        </w:tc>
        <w:tc>
          <w:tcPr>
            <w:tcW w:w="1046" w:type="dxa"/>
            <w:shd w:val="clear" w:color="auto" w:fill="C6EFCE"/>
          </w:tcPr>
          <w:p w:rsidRPr="00062C72" w:rsidR="00D87E44" w:rsidRDefault="00D87E44" w14:paraId="1545782A" w14:textId="77777777">
            <w:pPr>
              <w:spacing w:before="0" w:after="0" w:line="240" w:lineRule="auto"/>
              <w:rPr>
                <w:noProof/>
                <w:color w:val="004300"/>
                <w:sz w:val="18"/>
                <w:szCs w:val="18"/>
                <w:lang w:val="en-IE"/>
              </w:rPr>
            </w:pPr>
          </w:p>
        </w:tc>
        <w:tc>
          <w:tcPr>
            <w:tcW w:w="662" w:type="dxa"/>
            <w:shd w:val="clear" w:color="auto" w:fill="C6EFCE"/>
          </w:tcPr>
          <w:p w:rsidRPr="00062C72" w:rsidR="00D87E44" w:rsidRDefault="00D87E44" w14:paraId="1545782B" w14:textId="77777777">
            <w:pPr>
              <w:spacing w:before="0" w:after="0" w:line="240" w:lineRule="auto"/>
              <w:rPr>
                <w:noProof/>
                <w:color w:val="004300"/>
                <w:sz w:val="18"/>
                <w:szCs w:val="18"/>
                <w:lang w:val="en-IE"/>
              </w:rPr>
            </w:pPr>
          </w:p>
        </w:tc>
        <w:tc>
          <w:tcPr>
            <w:tcW w:w="918" w:type="dxa"/>
            <w:shd w:val="clear" w:color="auto" w:fill="C6EFCE"/>
          </w:tcPr>
          <w:p w:rsidRPr="00062C72" w:rsidR="00D87E44" w:rsidRDefault="00D87E44" w14:paraId="1545782C" w14:textId="77777777">
            <w:pPr>
              <w:spacing w:before="0" w:after="0" w:line="240" w:lineRule="auto"/>
              <w:rPr>
                <w:noProof/>
                <w:color w:val="004300"/>
                <w:sz w:val="18"/>
                <w:szCs w:val="18"/>
                <w:lang w:val="en-IE"/>
              </w:rPr>
            </w:pPr>
            <w:r w:rsidRPr="00062C72">
              <w:rPr>
                <w:noProof/>
                <w:color w:val="004300"/>
                <w:sz w:val="18"/>
                <w:szCs w:val="18"/>
                <w:lang w:val="en-IE"/>
              </w:rPr>
              <w:t>Q1</w:t>
            </w:r>
          </w:p>
        </w:tc>
        <w:tc>
          <w:tcPr>
            <w:tcW w:w="662" w:type="dxa"/>
            <w:shd w:val="clear" w:color="auto" w:fill="C6EFCE"/>
          </w:tcPr>
          <w:p w:rsidRPr="00062C72" w:rsidR="00D87E44" w:rsidRDefault="00D87E44" w14:paraId="1545782D" w14:textId="77777777">
            <w:pPr>
              <w:spacing w:before="0" w:after="0" w:line="240" w:lineRule="auto"/>
              <w:rPr>
                <w:noProof/>
                <w:color w:val="004300"/>
                <w:sz w:val="18"/>
                <w:szCs w:val="18"/>
                <w:lang w:val="en-IE"/>
              </w:rPr>
            </w:pPr>
            <w:r w:rsidRPr="00062C72">
              <w:rPr>
                <w:noProof/>
                <w:color w:val="004300"/>
                <w:sz w:val="18"/>
                <w:szCs w:val="18"/>
                <w:lang w:val="en-IE"/>
              </w:rPr>
              <w:t>2024</w:t>
            </w:r>
          </w:p>
        </w:tc>
        <w:tc>
          <w:tcPr>
            <w:tcW w:w="4083" w:type="dxa"/>
            <w:shd w:val="clear" w:color="auto" w:fill="C6EFCE"/>
          </w:tcPr>
          <w:p w:rsidRPr="00062C72" w:rsidR="00D87E44" w:rsidRDefault="00D87E44" w14:paraId="1545782E" w14:textId="77777777">
            <w:pPr>
              <w:spacing w:before="0" w:after="0" w:line="240" w:lineRule="auto"/>
              <w:rPr>
                <w:noProof/>
                <w:color w:val="004300"/>
                <w:sz w:val="18"/>
                <w:szCs w:val="18"/>
                <w:lang w:val="en-IE"/>
              </w:rPr>
            </w:pPr>
            <w:r w:rsidRPr="00D627E5">
              <w:rPr>
                <w:noProof/>
                <w:color w:val="004300"/>
                <w:sz w:val="18"/>
                <w:szCs w:val="18"/>
                <w:lang w:val="en-IE"/>
              </w:rPr>
              <w:t xml:space="preserve">Publication of a call for projects supporting the strengthening of information systems according to Act No. 181/2014 Coll. on </w:t>
            </w:r>
            <w:r w:rsidRPr="00BA4A15">
              <w:rPr>
                <w:noProof/>
                <w:color w:val="004300"/>
                <w:sz w:val="18"/>
                <w:szCs w:val="18"/>
                <w:lang w:val="en-IE"/>
              </w:rPr>
              <w:t>cybersecurity</w:t>
            </w:r>
            <w:r w:rsidRPr="00D627E5">
              <w:rPr>
                <w:noProof/>
                <w:color w:val="004300"/>
                <w:sz w:val="18"/>
                <w:szCs w:val="18"/>
                <w:lang w:val="en-IE"/>
              </w:rPr>
              <w:t>.</w:t>
            </w:r>
          </w:p>
        </w:tc>
      </w:tr>
      <w:tr w:rsidRPr="00FE48E2" w:rsidR="00E3458A" w:rsidTr="4A45BCA2" w14:paraId="1545783B" w14:textId="77777777">
        <w:trPr>
          <w:trHeight w:val="945"/>
          <w:jc w:val="center"/>
        </w:trPr>
        <w:tc>
          <w:tcPr>
            <w:tcW w:w="1062" w:type="dxa"/>
            <w:shd w:val="clear" w:color="auto" w:fill="C6EFCE"/>
          </w:tcPr>
          <w:p w:rsidRPr="00062C72" w:rsidR="00D87E44" w:rsidRDefault="00D87E44" w14:paraId="15457830" w14:textId="77777777">
            <w:pPr>
              <w:spacing w:before="0" w:after="0" w:line="240" w:lineRule="auto"/>
              <w:rPr>
                <w:noProof/>
                <w:color w:val="004300"/>
                <w:sz w:val="18"/>
                <w:szCs w:val="18"/>
                <w:lang w:val="en-IE"/>
              </w:rPr>
            </w:pPr>
            <w:r w:rsidRPr="00062C72">
              <w:rPr>
                <w:noProof/>
                <w:color w:val="004300"/>
                <w:sz w:val="18"/>
                <w:szCs w:val="18"/>
                <w:lang w:val="en-IE"/>
              </w:rPr>
              <w:t>248</w:t>
            </w:r>
          </w:p>
        </w:tc>
        <w:tc>
          <w:tcPr>
            <w:tcW w:w="1330" w:type="dxa"/>
            <w:shd w:val="clear" w:color="auto" w:fill="C6EFCE"/>
          </w:tcPr>
          <w:p w:rsidRPr="00FE48E2" w:rsidR="00D87E44" w:rsidRDefault="00D87E44" w14:paraId="15457831" w14:textId="77777777">
            <w:pPr>
              <w:spacing w:before="0" w:after="0" w:line="240" w:lineRule="auto"/>
              <w:rPr>
                <w:noProof/>
                <w:color w:val="004300"/>
                <w:sz w:val="18"/>
                <w:szCs w:val="18"/>
                <w:lang w:val="en-IE"/>
              </w:rPr>
            </w:pPr>
            <w:r w:rsidRPr="00FE48E2">
              <w:rPr>
                <w:noProof/>
                <w:color w:val="004300"/>
                <w:sz w:val="18"/>
                <w:szCs w:val="18"/>
                <w:lang w:val="en-IE"/>
              </w:rPr>
              <w:t xml:space="preserve">Investment </w:t>
            </w:r>
            <w:r>
              <w:rPr>
                <w:noProof/>
                <w:color w:val="004300"/>
                <w:sz w:val="18"/>
                <w:szCs w:val="18"/>
                <w:lang w:val="en-IE"/>
              </w:rPr>
              <w:t>5</w:t>
            </w:r>
            <w:r w:rsidRPr="00FE48E2">
              <w:rPr>
                <w:noProof/>
                <w:color w:val="004300"/>
                <w:sz w:val="18"/>
                <w:szCs w:val="18"/>
                <w:lang w:val="en-IE"/>
              </w:rPr>
              <w:t xml:space="preserve">: Top-up of </w:t>
            </w:r>
            <w:r w:rsidRPr="00BA4A15">
              <w:rPr>
                <w:noProof/>
                <w:color w:val="004300"/>
                <w:sz w:val="18"/>
                <w:szCs w:val="18"/>
                <w:lang w:val="en-IE"/>
              </w:rPr>
              <w:t>cybersecurity</w:t>
            </w:r>
            <w:r w:rsidRPr="00FE48E2">
              <w:rPr>
                <w:noProof/>
                <w:color w:val="004300"/>
                <w:sz w:val="18"/>
                <w:szCs w:val="18"/>
                <w:lang w:val="en-IE"/>
              </w:rPr>
              <w:t xml:space="preserve"> investment</w:t>
            </w:r>
          </w:p>
        </w:tc>
        <w:tc>
          <w:tcPr>
            <w:tcW w:w="1046" w:type="dxa"/>
            <w:shd w:val="clear" w:color="auto" w:fill="C6EFCE"/>
          </w:tcPr>
          <w:p w:rsidRPr="00062C72" w:rsidR="00D87E44" w:rsidRDefault="00D87E44" w14:paraId="15457832" w14:textId="77777777">
            <w:pPr>
              <w:spacing w:before="0" w:after="0" w:line="240" w:lineRule="auto"/>
              <w:rPr>
                <w:noProof/>
                <w:color w:val="004300"/>
                <w:sz w:val="18"/>
                <w:szCs w:val="18"/>
                <w:lang w:val="en-IE"/>
              </w:rPr>
            </w:pPr>
            <w:r w:rsidRPr="00FE48E2">
              <w:rPr>
                <w:noProof/>
                <w:color w:val="004300"/>
                <w:sz w:val="18"/>
                <w:szCs w:val="18"/>
                <w:lang w:val="en-IE"/>
              </w:rPr>
              <w:t>Target</w:t>
            </w:r>
          </w:p>
        </w:tc>
        <w:tc>
          <w:tcPr>
            <w:tcW w:w="1557" w:type="dxa"/>
            <w:shd w:val="clear" w:color="auto" w:fill="C6EFCE"/>
          </w:tcPr>
          <w:p w:rsidRPr="00FE48E2" w:rsidR="00D87E44" w:rsidRDefault="00D87E44" w14:paraId="15457833" w14:textId="77777777">
            <w:pPr>
              <w:spacing w:before="0" w:after="0" w:line="240" w:lineRule="auto"/>
              <w:rPr>
                <w:noProof/>
                <w:color w:val="004300"/>
                <w:sz w:val="18"/>
                <w:szCs w:val="18"/>
                <w:lang w:val="en-IE"/>
              </w:rPr>
            </w:pPr>
            <w:r w:rsidRPr="4A45BCA2">
              <w:rPr>
                <w:rFonts w:eastAsia="Times New Roman"/>
                <w:noProof/>
                <w:color w:val="004300"/>
                <w:sz w:val="18"/>
                <w:szCs w:val="18"/>
                <w:lang w:val="en-IE"/>
              </w:rPr>
              <w:t>Number of cybersecurity projects accepted</w:t>
            </w:r>
          </w:p>
        </w:tc>
        <w:tc>
          <w:tcPr>
            <w:tcW w:w="1174" w:type="dxa"/>
            <w:shd w:val="clear" w:color="auto" w:fill="C6EFCE"/>
          </w:tcPr>
          <w:p w:rsidRPr="00062C72" w:rsidR="00D87E44" w:rsidRDefault="00D87E44" w14:paraId="15457834" w14:textId="77777777">
            <w:pPr>
              <w:spacing w:before="0" w:after="0" w:line="240" w:lineRule="auto"/>
              <w:rPr>
                <w:noProof/>
                <w:color w:val="004300"/>
                <w:sz w:val="18"/>
                <w:szCs w:val="18"/>
                <w:lang w:val="en-IE"/>
              </w:rPr>
            </w:pPr>
          </w:p>
        </w:tc>
        <w:tc>
          <w:tcPr>
            <w:tcW w:w="1455" w:type="dxa"/>
            <w:shd w:val="clear" w:color="auto" w:fill="C6EFCE"/>
          </w:tcPr>
          <w:p w:rsidRPr="00062C72" w:rsidR="00D87E44" w:rsidRDefault="00D87E44" w14:paraId="15457835" w14:textId="77777777">
            <w:pPr>
              <w:spacing w:before="0" w:after="0" w:line="240" w:lineRule="auto"/>
              <w:rPr>
                <w:noProof/>
                <w:color w:val="004300"/>
                <w:sz w:val="18"/>
                <w:szCs w:val="18"/>
                <w:lang w:val="en-IE"/>
              </w:rPr>
            </w:pPr>
            <w:r w:rsidRPr="63503832">
              <w:rPr>
                <w:noProof/>
                <w:color w:val="004300"/>
                <w:sz w:val="18"/>
                <w:szCs w:val="18"/>
                <w:lang w:val="en-IE"/>
              </w:rPr>
              <w:t xml:space="preserve">Number of </w:t>
            </w:r>
            <w:r>
              <w:rPr>
                <w:noProof/>
                <w:color w:val="004300"/>
                <w:sz w:val="18"/>
                <w:szCs w:val="18"/>
                <w:lang w:val="en-IE"/>
              </w:rPr>
              <w:t>projects</w:t>
            </w:r>
          </w:p>
        </w:tc>
        <w:tc>
          <w:tcPr>
            <w:tcW w:w="1046" w:type="dxa"/>
            <w:shd w:val="clear" w:color="auto" w:fill="C6EFCE"/>
          </w:tcPr>
          <w:p w:rsidRPr="00062C72" w:rsidR="00D87E44" w:rsidRDefault="00D87E44" w14:paraId="15457836" w14:textId="77777777">
            <w:pPr>
              <w:spacing w:before="0" w:after="0" w:line="240" w:lineRule="auto"/>
              <w:rPr>
                <w:noProof/>
                <w:color w:val="004300"/>
                <w:sz w:val="18"/>
                <w:szCs w:val="18"/>
                <w:lang w:val="en-IE"/>
              </w:rPr>
            </w:pPr>
          </w:p>
        </w:tc>
        <w:tc>
          <w:tcPr>
            <w:tcW w:w="662" w:type="dxa"/>
            <w:shd w:val="clear" w:color="auto" w:fill="C6EFCE"/>
          </w:tcPr>
          <w:p w:rsidRPr="00DD7051" w:rsidR="00D87E44" w:rsidRDefault="00D87E44" w14:paraId="15457837" w14:textId="77777777">
            <w:pPr>
              <w:spacing w:before="0" w:after="0" w:line="240" w:lineRule="auto"/>
              <w:rPr>
                <w:noProof/>
                <w:color w:val="004300"/>
                <w:sz w:val="18"/>
                <w:szCs w:val="18"/>
                <w:lang w:val="en-IE"/>
              </w:rPr>
            </w:pPr>
            <w:r>
              <w:rPr>
                <w:noProof/>
                <w:color w:val="004300"/>
                <w:sz w:val="18"/>
                <w:szCs w:val="18"/>
                <w:lang w:val="en-IE"/>
              </w:rPr>
              <w:t>10</w:t>
            </w:r>
          </w:p>
        </w:tc>
        <w:tc>
          <w:tcPr>
            <w:tcW w:w="918" w:type="dxa"/>
            <w:shd w:val="clear" w:color="auto" w:fill="C6EFCE"/>
          </w:tcPr>
          <w:p w:rsidRPr="00062C72" w:rsidR="00D87E44" w:rsidRDefault="00D87E44" w14:paraId="15457838" w14:textId="77777777">
            <w:pPr>
              <w:spacing w:before="0" w:after="0" w:line="240" w:lineRule="auto"/>
              <w:rPr>
                <w:noProof/>
                <w:color w:val="004300"/>
                <w:sz w:val="18"/>
                <w:szCs w:val="18"/>
                <w:lang w:val="en-IE"/>
              </w:rPr>
            </w:pPr>
            <w:r w:rsidRPr="23C7C56F">
              <w:rPr>
                <w:noProof/>
                <w:color w:val="004300"/>
                <w:sz w:val="18"/>
                <w:szCs w:val="18"/>
                <w:lang w:val="en-IE"/>
              </w:rPr>
              <w:t>Q1</w:t>
            </w:r>
          </w:p>
        </w:tc>
        <w:tc>
          <w:tcPr>
            <w:tcW w:w="662" w:type="dxa"/>
            <w:shd w:val="clear" w:color="auto" w:fill="C6EFCE"/>
          </w:tcPr>
          <w:p w:rsidRPr="00062C72" w:rsidR="00D87E44" w:rsidRDefault="00D87E44" w14:paraId="15457839" w14:textId="77777777">
            <w:pPr>
              <w:spacing w:before="0" w:after="0" w:line="240" w:lineRule="auto"/>
              <w:rPr>
                <w:noProof/>
                <w:color w:val="004300"/>
                <w:sz w:val="18"/>
                <w:szCs w:val="18"/>
                <w:lang w:val="en-IE"/>
              </w:rPr>
            </w:pPr>
            <w:r w:rsidRPr="23C7C56F">
              <w:rPr>
                <w:noProof/>
                <w:color w:val="004300"/>
                <w:sz w:val="18"/>
                <w:szCs w:val="18"/>
                <w:lang w:val="en-IE"/>
              </w:rPr>
              <w:t>2026</w:t>
            </w:r>
          </w:p>
        </w:tc>
        <w:tc>
          <w:tcPr>
            <w:tcW w:w="4083" w:type="dxa"/>
            <w:shd w:val="clear" w:color="auto" w:fill="C6EFCE"/>
          </w:tcPr>
          <w:p w:rsidRPr="00062C72" w:rsidR="00D87E44" w:rsidRDefault="00D87E44" w14:paraId="1545783A" w14:textId="77777777">
            <w:pPr>
              <w:spacing w:before="0" w:after="0" w:line="240" w:lineRule="auto"/>
              <w:rPr>
                <w:noProof/>
                <w:color w:val="004300"/>
                <w:sz w:val="18"/>
                <w:szCs w:val="18"/>
                <w:lang w:val="en-IE"/>
              </w:rPr>
            </w:pPr>
            <w:r>
              <w:rPr>
                <w:noProof/>
                <w:color w:val="004300"/>
                <w:sz w:val="18"/>
                <w:szCs w:val="18"/>
                <w:lang w:val="en-IE"/>
              </w:rPr>
              <w:t xml:space="preserve">At least 10 </w:t>
            </w:r>
            <w:r w:rsidRPr="60F9C899">
              <w:rPr>
                <w:noProof/>
                <w:color w:val="004300"/>
                <w:sz w:val="18"/>
                <w:szCs w:val="18"/>
                <w:lang w:val="en-IE"/>
              </w:rPr>
              <w:t xml:space="preserve">cybersecurity </w:t>
            </w:r>
            <w:r>
              <w:rPr>
                <w:noProof/>
                <w:color w:val="004300"/>
                <w:sz w:val="18"/>
                <w:szCs w:val="18"/>
                <w:lang w:val="en-IE"/>
              </w:rPr>
              <w:t xml:space="preserve">projects accepted by the </w:t>
            </w:r>
            <w:r>
              <w:rPr>
                <w:noProof/>
                <w:color w:val="004300"/>
                <w:sz w:val="18"/>
                <w:szCs w:val="18"/>
                <w:lang w:val="en-IE"/>
              </w:rPr>
              <w:t>contracting authority or authorities</w:t>
            </w:r>
            <w:r w:rsidRPr="60F9C899">
              <w:rPr>
                <w:noProof/>
                <w:color w:val="004300"/>
                <w:sz w:val="18"/>
                <w:szCs w:val="18"/>
                <w:lang w:val="en-IE"/>
              </w:rPr>
              <w:t>.</w:t>
            </w:r>
            <w:r>
              <w:rPr>
                <w:noProof/>
                <w:color w:val="004300"/>
                <w:sz w:val="18"/>
                <w:szCs w:val="18"/>
                <w:lang w:val="en-IE"/>
              </w:rPr>
              <w:t xml:space="preserve"> </w:t>
            </w:r>
          </w:p>
        </w:tc>
      </w:tr>
    </w:tbl>
    <w:p w:rsidRPr="00FE48E2" w:rsidR="00D87E44" w:rsidP="00D226F4" w:rsidRDefault="00D87E44" w14:paraId="1545783C" w14:textId="77777777">
      <w:pPr>
        <w:pBdr>
          <w:top w:val="nil"/>
          <w:left w:val="nil"/>
          <w:bottom w:val="nil"/>
          <w:right w:val="nil"/>
          <w:between w:val="nil"/>
        </w:pBdr>
        <w:spacing w:before="0" w:after="0" w:line="240" w:lineRule="auto"/>
        <w:jc w:val="both"/>
        <w:rPr>
          <w:b/>
          <w:noProof/>
          <w:u w:val="single"/>
          <w:lang w:val="en-IE"/>
        </w:rPr>
        <w:sectPr w:rsidRPr="00FE48E2" w:rsidR="00C16C1F" w:rsidSect="00D226F4">
          <w:headerReference w:type="even" r:id="R3d7e5dc32f6d4f23"/>
          <w:headerReference w:type="default" r:id="R625d669baa5c48f8"/>
          <w:footerReference w:type="even" r:id="R5c2ace2a37b146f8"/>
          <w:footerReference w:type="default" r:id="Rcf78935746154e35"/>
          <w:headerReference w:type="first" r:id="Rc7e75740c22940f5"/>
          <w:footerReference w:type="first" r:id="Rd471eb2b65504969"/>
          <w:pgSz w:w="16839" w:h="11907" w:orient="landscape"/>
          <w:pgMar w:top="1134" w:right="1134" w:bottom="1134" w:left="1134" w:header="567" w:footer="567" w:gutter="0"/>
          <w:cols w:space="720"/>
          <w:docGrid w:linePitch="360"/>
        </w:sectPr>
      </w:pPr>
    </w:p>
    <w:p w:rsidRPr="00FE48E2" w:rsidR="00D87E44" w:rsidP="00D226F4" w:rsidRDefault="00D87E44" w14:paraId="1545783D" w14:textId="77777777">
      <w:pPr>
        <w:keepNext/>
        <w:tabs>
          <w:tab w:val="left" w:pos="850"/>
        </w:tabs>
        <w:spacing w:before="360" w:line="240" w:lineRule="auto"/>
        <w:jc w:val="both"/>
        <w:outlineLvl w:val="0"/>
        <w:rPr>
          <w:b/>
          <w:bCs/>
          <w:smallCaps/>
          <w:noProof/>
          <w:lang w:val="en-IE"/>
        </w:rPr>
      </w:pPr>
      <w:r w:rsidRPr="2F543682">
        <w:rPr>
          <w:b/>
          <w:bCs/>
          <w:smallCaps/>
          <w:noProof/>
          <w:lang w:val="en-IE"/>
        </w:rPr>
        <w:lastRenderedPageBreak/>
        <w:t xml:space="preserve">C. COMPONENT 1.3: High-Capacity Digital Networks </w:t>
      </w:r>
    </w:p>
    <w:p w:rsidRPr="00FE48E2" w:rsidR="00D87E44" w:rsidP="00D226F4" w:rsidRDefault="00D87E44" w14:paraId="1545783E" w14:textId="77777777">
      <w:pPr>
        <w:spacing w:line="240" w:lineRule="auto"/>
        <w:jc w:val="both"/>
        <w:rPr>
          <w:b/>
          <w:smallCaps/>
          <w:noProof/>
          <w:color w:val="000000"/>
          <w:szCs w:val="24"/>
          <w:lang w:val="en-IE"/>
        </w:rPr>
      </w:pPr>
      <w:r w:rsidRPr="00FE48E2">
        <w:rPr>
          <w:noProof/>
          <w:color w:val="000000"/>
          <w:szCs w:val="24"/>
          <w:shd w:val="clear" w:color="auto" w:fill="FFFFFF"/>
          <w:lang w:val="en-IE"/>
        </w:rPr>
        <w:t>This component of the Czech recovery and resilience plan supports addressing the challenge of deploying very high-capacity networks (VHCN) to maximise access to online services through internet connectivity for citizens, enterprises, public administrations and institutions, especially in rural areas. The component also aims at creating conditions supporting the development of 5G networks and services.</w:t>
      </w:r>
    </w:p>
    <w:p w:rsidRPr="00FE48E2" w:rsidR="00D87E44" w:rsidP="00D226F4" w:rsidRDefault="00D87E44" w14:paraId="1545783F" w14:textId="77777777">
      <w:pPr>
        <w:spacing w:line="240" w:lineRule="auto"/>
        <w:jc w:val="both"/>
        <w:textAlignment w:val="baseline"/>
        <w:rPr>
          <w:rFonts w:eastAsia="Times New Roman"/>
          <w:noProof/>
          <w:szCs w:val="24"/>
          <w:lang w:val="en-IE" w:eastAsia="en-IE"/>
        </w:rPr>
      </w:pPr>
      <w:r w:rsidRPr="00FE48E2">
        <w:rPr>
          <w:rFonts w:eastAsia="Times New Roman"/>
          <w:noProof/>
          <w:color w:val="000000"/>
          <w:szCs w:val="24"/>
          <w:lang w:val="en-IE" w:eastAsia="en-IE"/>
        </w:rPr>
        <w:t xml:space="preserve">The component </w:t>
      </w:r>
      <w:r w:rsidRPr="00FE48E2">
        <w:rPr>
          <w:rFonts w:eastAsia="Times New Roman"/>
          <w:noProof/>
          <w:szCs w:val="24"/>
          <w:lang w:val="en-IE" w:eastAsia="en-GB"/>
        </w:rPr>
        <w:t>contributes to addressing c</w:t>
      </w:r>
      <w:r w:rsidRPr="00FE48E2">
        <w:rPr>
          <w:noProof/>
          <w:szCs w:val="24"/>
          <w:lang w:val="en-IE"/>
        </w:rPr>
        <w:t>ountry specific recommendation</w:t>
      </w:r>
      <w:r w:rsidRPr="00FE48E2">
        <w:rPr>
          <w:rFonts w:eastAsia="Times New Roman"/>
          <w:noProof/>
          <w:szCs w:val="24"/>
          <w:lang w:val="en-IE" w:eastAsia="en-GB"/>
        </w:rPr>
        <w:t xml:space="preserve">, according to which Czechia shall </w:t>
      </w:r>
      <w:r w:rsidRPr="00FE48E2">
        <w:rPr>
          <w:rFonts w:eastAsia="Times New Roman"/>
          <w:noProof/>
          <w:color w:val="000000"/>
          <w:szCs w:val="24"/>
          <w:lang w:val="en-IE" w:eastAsia="en-IE"/>
        </w:rPr>
        <w:t xml:space="preserve">focus investment-related economic policy on digital infrastructure (Country Specific Recommendation 3 2019), and the </w:t>
      </w:r>
      <w:r w:rsidRPr="00FE48E2">
        <w:rPr>
          <w:noProof/>
          <w:szCs w:val="24"/>
          <w:lang w:val="en-IE"/>
        </w:rPr>
        <w:t>country specific recommendation</w:t>
      </w:r>
      <w:r w:rsidRPr="00FE48E2">
        <w:rPr>
          <w:rFonts w:eastAsia="Times New Roman"/>
          <w:noProof/>
          <w:color w:val="000000"/>
          <w:szCs w:val="24"/>
          <w:lang w:val="en-IE" w:eastAsia="en-IE"/>
        </w:rPr>
        <w:t>, according to which Czechia shall focus investment on the digital transition, in particular on high-capacity digital infrastructure and technologies (Country Specific Recommendation 3 2020).</w:t>
      </w:r>
    </w:p>
    <w:p w:rsidRPr="00FE48E2" w:rsidR="00D87E44" w:rsidP="00D226F4" w:rsidRDefault="00D87E44" w14:paraId="15457840" w14:textId="77777777">
      <w:pPr>
        <w:spacing w:line="240" w:lineRule="auto"/>
        <w:jc w:val="both"/>
        <w:textAlignment w:val="baseline"/>
        <w:rPr>
          <w:noProof/>
          <w:lang w:val="en-IE" w:eastAsia="en-IE"/>
        </w:rPr>
      </w:pPr>
      <w:r w:rsidRPr="00FE48E2">
        <w:rPr>
          <w:rFonts w:eastAsia="Times New Roman"/>
          <w:noProof/>
          <w:lang w:val="en-IE" w:eastAsia="en-IE"/>
        </w:rPr>
        <w:t xml:space="preserve">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For all infrastructure investments, </w:t>
      </w:r>
      <w:r w:rsidRPr="00FE48E2">
        <w:rPr>
          <w:noProof/>
          <w:lang w:val="en-IE"/>
        </w:rPr>
        <w:t>at least 70 % of construction and demolition waste shall be reused or recycled in accordance with the ‘Do no significant harm’ Technical Guidance (2021/C58/01)</w:t>
      </w:r>
      <w:r>
        <w:rPr>
          <w:rStyle w:val="FootnoteReference"/>
          <w:noProof/>
          <w:lang w:val="en-IE"/>
        </w:rPr>
        <w:footnoteReference w:id="2"/>
      </w:r>
      <w:r w:rsidRPr="00FE48E2">
        <w:rPr>
          <w:noProof/>
          <w:lang w:val="en-IE"/>
        </w:rPr>
        <w:t>.</w:t>
      </w:r>
    </w:p>
    <w:p w:rsidRPr="00FE48E2" w:rsidR="00D87E44" w:rsidP="00D226F4" w:rsidRDefault="00D87E44" w14:paraId="15457841" w14:textId="77777777">
      <w:pPr>
        <w:spacing w:line="240" w:lineRule="auto"/>
        <w:jc w:val="both"/>
        <w:textAlignment w:val="baseline"/>
        <w:rPr>
          <w:rFonts w:eastAsia="Times New Roman"/>
          <w:noProof/>
          <w:szCs w:val="24"/>
          <w:lang w:val="en-IE" w:eastAsia="en-IE"/>
        </w:rPr>
      </w:pPr>
    </w:p>
    <w:p w:rsidRPr="00FE48E2" w:rsidR="00D87E44" w:rsidP="00D226F4" w:rsidRDefault="00D87E44" w14:paraId="15457842" w14:textId="77777777">
      <w:pPr>
        <w:pBdr>
          <w:top w:val="nil"/>
          <w:left w:val="nil"/>
          <w:bottom w:val="nil"/>
          <w:right w:val="nil"/>
          <w:between w:val="nil"/>
        </w:pBdr>
        <w:spacing w:line="240" w:lineRule="auto"/>
        <w:rPr>
          <w:b/>
          <w:i/>
          <w:noProof/>
          <w:szCs w:val="24"/>
          <w:lang w:val="en-IE"/>
        </w:rPr>
      </w:pPr>
      <w:r w:rsidRPr="00FE48E2">
        <w:rPr>
          <w:b/>
          <w:noProof/>
          <w:color w:val="000000"/>
          <w:szCs w:val="24"/>
          <w:u w:val="single"/>
          <w:lang w:val="en-IE"/>
        </w:rPr>
        <w:t>C.1. Description of the reforms and investments for non-repayable financial support</w:t>
      </w:r>
    </w:p>
    <w:p w:rsidRPr="00FE48E2" w:rsidR="00D87E44" w:rsidP="00D226F4" w:rsidRDefault="00D87E44" w14:paraId="15457843" w14:textId="77777777">
      <w:pPr>
        <w:pBdr>
          <w:top w:val="nil"/>
          <w:left w:val="nil"/>
          <w:bottom w:val="nil"/>
          <w:right w:val="nil"/>
          <w:between w:val="nil"/>
        </w:pBdr>
        <w:spacing w:line="240" w:lineRule="auto"/>
        <w:rPr>
          <w:noProof/>
          <w:color w:val="000000"/>
          <w:szCs w:val="24"/>
          <w:lang w:val="en-IE"/>
        </w:rPr>
      </w:pPr>
      <w:r w:rsidRPr="00FE48E2">
        <w:rPr>
          <w:b/>
          <w:noProof/>
          <w:color w:val="000000"/>
          <w:szCs w:val="24"/>
          <w:lang w:val="en-IE"/>
        </w:rPr>
        <w:t>Reform 1: Improving the environment for the deployment of electronic communication networks</w:t>
      </w:r>
      <w:r w:rsidRPr="00FE48E2">
        <w:rPr>
          <w:noProof/>
          <w:color w:val="000000"/>
          <w:szCs w:val="24"/>
          <w:lang w:val="en-IE"/>
        </w:rPr>
        <w:t xml:space="preserve"> </w:t>
      </w:r>
    </w:p>
    <w:p w:rsidRPr="00FE48E2" w:rsidR="00D87E44" w:rsidP="00D226F4" w:rsidRDefault="00D87E44" w14:paraId="15457844" w14:textId="77777777">
      <w:pPr>
        <w:pBdr>
          <w:top w:val="nil"/>
          <w:left w:val="nil"/>
          <w:bottom w:val="nil"/>
          <w:right w:val="nil"/>
          <w:between w:val="nil"/>
        </w:pBdr>
        <w:spacing w:line="240" w:lineRule="auto"/>
        <w:jc w:val="both"/>
        <w:rPr>
          <w:noProof/>
          <w:color w:val="000000"/>
          <w:szCs w:val="24"/>
          <w:lang w:val="en-IE"/>
        </w:rPr>
      </w:pPr>
      <w:r w:rsidRPr="7A4682B2">
        <w:rPr>
          <w:noProof/>
          <w:color w:val="000000" w:themeColor="text1"/>
          <w:lang w:val="en-IE"/>
        </w:rPr>
        <w:t xml:space="preserve">The objective of this measure is </w:t>
      </w:r>
      <w:r w:rsidRPr="00FF1320">
        <w:rPr>
          <w:color w:val="000000" w:themeColor="text1"/>
          <w:lang w:val="en-IE"/>
        </w:rPr>
        <w:t xml:space="preserve">to </w:t>
      </w:r>
      <w:r w:rsidRPr="7A4682B2">
        <w:rPr>
          <w:noProof/>
          <w:color w:val="000000" w:themeColor="text1"/>
          <w:lang w:val="en-IE"/>
        </w:rPr>
        <w:t>make</w:t>
      </w:r>
      <w:r w:rsidRPr="00FF1320">
        <w:rPr>
          <w:lang w:val="en-IE"/>
        </w:rPr>
        <w:t xml:space="preserve"> </w:t>
      </w:r>
      <w:r w:rsidRPr="00FF1320">
        <w:rPr>
          <w:color w:val="000000" w:themeColor="text1"/>
          <w:lang w:val="en-IE"/>
        </w:rPr>
        <w:t xml:space="preserve">information </w:t>
      </w:r>
      <w:r>
        <w:rPr>
          <w:noProof/>
          <w:color w:val="000000" w:themeColor="text1"/>
          <w:lang w:val="en-IE"/>
        </w:rPr>
        <w:t>available</w:t>
      </w:r>
      <w:r w:rsidRPr="7A4682B2">
        <w:rPr>
          <w:noProof/>
          <w:color w:val="000000" w:themeColor="text1"/>
          <w:lang w:val="en-IE"/>
        </w:rPr>
        <w:t xml:space="preserve"> </w:t>
      </w:r>
      <w:r w:rsidRPr="00FF1320">
        <w:rPr>
          <w:color w:val="000000" w:themeColor="text1"/>
          <w:lang w:val="en-IE"/>
        </w:rPr>
        <w:t xml:space="preserve">on </w:t>
      </w:r>
      <w:r w:rsidRPr="7A4682B2">
        <w:rPr>
          <w:noProof/>
          <w:color w:val="000000" w:themeColor="text1"/>
          <w:lang w:val="en-IE"/>
        </w:rPr>
        <w:t>physical</w:t>
      </w:r>
      <w:r w:rsidRPr="00FF1320">
        <w:rPr>
          <w:color w:val="000000" w:themeColor="text1"/>
          <w:lang w:val="en-IE"/>
        </w:rPr>
        <w:t xml:space="preserve"> infrastructure </w:t>
      </w:r>
      <w:r w:rsidRPr="7A4682B2">
        <w:rPr>
          <w:noProof/>
          <w:color w:val="000000" w:themeColor="text1"/>
          <w:lang w:val="en-IE"/>
        </w:rPr>
        <w:t xml:space="preserve">and civil engineering </w:t>
      </w:r>
      <w:r w:rsidRPr="260EF761">
        <w:rPr>
          <w:noProof/>
          <w:color w:val="000000" w:themeColor="text1"/>
          <w:lang w:val="en-IE"/>
        </w:rPr>
        <w:t xml:space="preserve">works </w:t>
      </w:r>
      <w:r w:rsidRPr="7A4682B2">
        <w:rPr>
          <w:noProof/>
          <w:color w:val="000000" w:themeColor="text1"/>
          <w:lang w:val="en-IE"/>
        </w:rPr>
        <w:t>on</w:t>
      </w:r>
      <w:r w:rsidRPr="00FF1320">
        <w:rPr>
          <w:color w:val="000000" w:themeColor="text1"/>
          <w:lang w:val="en-IE"/>
        </w:rPr>
        <w:t xml:space="preserve"> electronic </w:t>
      </w:r>
      <w:r w:rsidRPr="7A4682B2">
        <w:rPr>
          <w:noProof/>
          <w:color w:val="000000" w:themeColor="text1"/>
          <w:lang w:val="en-IE"/>
        </w:rPr>
        <w:t xml:space="preserve">communications. This measure consists </w:t>
      </w:r>
      <w:r>
        <w:rPr>
          <w:noProof/>
          <w:color w:val="000000" w:themeColor="text1"/>
          <w:lang w:val="en-IE"/>
        </w:rPr>
        <w:t>i)</w:t>
      </w:r>
      <w:r w:rsidRPr="00FF1320">
        <w:rPr>
          <w:color w:val="000000" w:themeColor="text1"/>
          <w:lang w:val="en-IE"/>
        </w:rPr>
        <w:t xml:space="preserve"> of the entry into force of necessary </w:t>
      </w:r>
      <w:r w:rsidRPr="7A4682B2">
        <w:rPr>
          <w:noProof/>
          <w:color w:val="000000" w:themeColor="text1"/>
          <w:lang w:val="en-IE"/>
        </w:rPr>
        <w:t>legislation to establish</w:t>
      </w:r>
      <w:r w:rsidRPr="00FF1320">
        <w:rPr>
          <w:color w:val="000000" w:themeColor="text1"/>
          <w:lang w:val="en-IE"/>
        </w:rPr>
        <w:t xml:space="preserve"> databases of </w:t>
      </w:r>
      <w:r w:rsidRPr="7A4682B2">
        <w:rPr>
          <w:noProof/>
          <w:color w:val="000000" w:themeColor="text1"/>
          <w:lang w:val="en-IE"/>
        </w:rPr>
        <w:t>investment</w:t>
      </w:r>
      <w:r w:rsidRPr="00FF1320">
        <w:rPr>
          <w:color w:val="000000" w:themeColor="text1"/>
          <w:lang w:val="en-IE"/>
        </w:rPr>
        <w:t xml:space="preserve"> projects</w:t>
      </w:r>
      <w:r w:rsidRPr="7A4682B2">
        <w:rPr>
          <w:noProof/>
          <w:color w:val="000000" w:themeColor="text1"/>
          <w:lang w:val="en-IE"/>
        </w:rPr>
        <w:t xml:space="preserve">, </w:t>
      </w:r>
      <w:r>
        <w:rPr>
          <w:noProof/>
          <w:color w:val="000000" w:themeColor="text1"/>
          <w:lang w:val="en-IE"/>
        </w:rPr>
        <w:t xml:space="preserve">ii) </w:t>
      </w:r>
      <w:r w:rsidRPr="7A4682B2">
        <w:rPr>
          <w:noProof/>
          <w:color w:val="000000" w:themeColor="text1"/>
          <w:lang w:val="en-IE"/>
        </w:rPr>
        <w:t xml:space="preserve">of the digitisation of </w:t>
      </w:r>
      <w:r w:rsidRPr="00FF1320">
        <w:rPr>
          <w:color w:val="000000" w:themeColor="text1"/>
          <w:lang w:val="en-IE"/>
        </w:rPr>
        <w:t>information on basic spatial situation</w:t>
      </w:r>
      <w:r w:rsidRPr="7A4682B2">
        <w:rPr>
          <w:noProof/>
          <w:color w:val="000000" w:themeColor="text1"/>
          <w:lang w:val="en-IE"/>
        </w:rPr>
        <w:t>,</w:t>
      </w:r>
      <w:r w:rsidRPr="00FF1320">
        <w:rPr>
          <w:color w:val="000000" w:themeColor="text1"/>
          <w:lang w:val="en-IE"/>
        </w:rPr>
        <w:t xml:space="preserve"> transportation and technical infrastructure</w:t>
      </w:r>
      <w:r w:rsidRPr="7A4682B2">
        <w:rPr>
          <w:noProof/>
          <w:color w:val="000000" w:themeColor="text1"/>
          <w:lang w:val="en-IE"/>
        </w:rPr>
        <w:t xml:space="preserve">, and </w:t>
      </w:r>
      <w:r>
        <w:rPr>
          <w:noProof/>
          <w:color w:val="000000" w:themeColor="text1"/>
          <w:lang w:val="en-IE"/>
        </w:rPr>
        <w:t>iii)</w:t>
      </w:r>
      <w:r w:rsidRPr="00FF1320">
        <w:rPr>
          <w:color w:val="000000" w:themeColor="text1"/>
          <w:lang w:val="en-IE"/>
        </w:rPr>
        <w:t xml:space="preserve"> of network quality measurements. </w:t>
      </w:r>
    </w:p>
    <w:p w:rsidRPr="00FE48E2" w:rsidR="00D87E44" w:rsidP="00D226F4" w:rsidRDefault="00D87E44" w14:paraId="15457845" w14:textId="77777777">
      <w:pPr>
        <w:pBdr>
          <w:top w:val="nil"/>
          <w:left w:val="nil"/>
          <w:bottom w:val="nil"/>
          <w:right w:val="nil"/>
          <w:between w:val="nil"/>
        </w:pBdr>
        <w:spacing w:line="240" w:lineRule="auto"/>
        <w:rPr>
          <w:b/>
          <w:noProof/>
          <w:color w:val="000000"/>
          <w:szCs w:val="24"/>
          <w:lang w:val="en-IE"/>
        </w:rPr>
      </w:pPr>
      <w:r w:rsidRPr="00FE48E2">
        <w:rPr>
          <w:b/>
          <w:noProof/>
          <w:color w:val="000000"/>
          <w:szCs w:val="24"/>
          <w:lang w:val="en-IE"/>
        </w:rPr>
        <w:t xml:space="preserve">Reform 2: Supporting the development of the 5G ecosystem </w:t>
      </w:r>
    </w:p>
    <w:p w:rsidRPr="00DB7775" w:rsidR="00D87E44" w:rsidP="00D226F4" w:rsidRDefault="00D87E44" w14:paraId="15457846" w14:textId="77777777">
      <w:pPr>
        <w:pBdr>
          <w:top w:val="nil"/>
          <w:left w:val="nil"/>
          <w:bottom w:val="nil"/>
          <w:right w:val="nil"/>
          <w:between w:val="nil"/>
        </w:pBdr>
        <w:spacing w:line="240" w:lineRule="auto"/>
        <w:jc w:val="both"/>
        <w:rPr>
          <w:noProof/>
          <w:color w:val="000000"/>
          <w:szCs w:val="24"/>
          <w:lang w:val="en-IE"/>
        </w:rPr>
      </w:pPr>
      <w:r w:rsidRPr="00DB7775">
        <w:rPr>
          <w:noProof/>
          <w:color w:val="000000"/>
          <w:szCs w:val="24"/>
          <w:lang w:val="en-IE"/>
        </w:rPr>
        <w:t>Th</w:t>
      </w:r>
      <w:r>
        <w:rPr>
          <w:noProof/>
          <w:color w:val="000000"/>
          <w:szCs w:val="24"/>
          <w:lang w:val="en-IE"/>
        </w:rPr>
        <w:t xml:space="preserve">e objective of this measure is to draw up </w:t>
      </w:r>
      <w:r w:rsidRPr="00DB7775">
        <w:rPr>
          <w:noProof/>
          <w:color w:val="000000"/>
          <w:szCs w:val="24"/>
          <w:lang w:val="en-IE"/>
        </w:rPr>
        <w:t xml:space="preserve">the strategic framework </w:t>
      </w:r>
      <w:r>
        <w:rPr>
          <w:noProof/>
          <w:color w:val="000000"/>
          <w:szCs w:val="24"/>
          <w:lang w:val="en-IE"/>
        </w:rPr>
        <w:t>for</w:t>
      </w:r>
      <w:r w:rsidRPr="00DB7775">
        <w:rPr>
          <w:noProof/>
          <w:color w:val="000000"/>
          <w:szCs w:val="24"/>
          <w:lang w:val="en-IE"/>
        </w:rPr>
        <w:t xml:space="preserve"> infrastructure sharing for 5G networks. </w:t>
      </w:r>
      <w:r>
        <w:rPr>
          <w:noProof/>
          <w:color w:val="000000"/>
          <w:szCs w:val="24"/>
          <w:lang w:val="en-IE"/>
        </w:rPr>
        <w:t>This meas</w:t>
      </w:r>
      <w:r>
        <w:rPr>
          <w:noProof/>
          <w:color w:val="000000"/>
          <w:szCs w:val="24"/>
          <w:lang w:val="en-IE"/>
        </w:rPr>
        <w:t>ure consists of publications of studies addressing key issues in 5G roll-out and of the publication of guidelines aimed at the facilitation of 5G network sharing and roll-out.</w:t>
      </w:r>
    </w:p>
    <w:p w:rsidRPr="00FE48E2" w:rsidR="00D87E44" w:rsidP="00D226F4" w:rsidRDefault="00D87E44" w14:paraId="15457847" w14:textId="77777777">
      <w:pPr>
        <w:keepNext/>
        <w:pBdr>
          <w:top w:val="nil"/>
          <w:left w:val="nil"/>
          <w:bottom w:val="nil"/>
          <w:right w:val="nil"/>
          <w:between w:val="nil"/>
        </w:pBdr>
        <w:spacing w:line="240" w:lineRule="auto"/>
        <w:jc w:val="both"/>
        <w:rPr>
          <w:rFonts w:ascii="Calibri" w:hAnsi="Calibri"/>
          <w:noProof/>
          <w:sz w:val="22"/>
          <w:lang w:val="en-IE"/>
        </w:rPr>
      </w:pPr>
      <w:r w:rsidRPr="00FE48E2">
        <w:rPr>
          <w:b/>
          <w:noProof/>
          <w:color w:val="000000"/>
          <w:szCs w:val="24"/>
          <w:lang w:val="en-IE"/>
        </w:rPr>
        <w:lastRenderedPageBreak/>
        <w:t>Investment 1: Building high-capacity connec</w:t>
      </w:r>
      <w:r w:rsidRPr="00BA4A15">
        <w:rPr>
          <w:b/>
          <w:noProof/>
          <w:color w:val="000000"/>
          <w:szCs w:val="24"/>
          <w:lang w:val="en-IE"/>
        </w:rPr>
        <w:t>tion</w:t>
      </w:r>
      <w:r w:rsidRPr="00FE48E2">
        <w:rPr>
          <w:b/>
          <w:noProof/>
          <w:color w:val="000000"/>
          <w:szCs w:val="24"/>
          <w:lang w:val="en-IE"/>
        </w:rPr>
        <w:t xml:space="preserve"> </w:t>
      </w:r>
    </w:p>
    <w:p w:rsidRPr="00FF1320" w:rsidR="00D87E44" w:rsidP="00D226F4" w:rsidRDefault="00D87E44" w14:paraId="15457848" w14:textId="77777777">
      <w:pPr>
        <w:pBdr>
          <w:top w:val="nil"/>
          <w:left w:val="nil"/>
          <w:bottom w:val="nil"/>
          <w:right w:val="nil"/>
          <w:between w:val="nil"/>
        </w:pBdr>
        <w:spacing w:line="240" w:lineRule="auto"/>
        <w:jc w:val="both"/>
        <w:rPr>
          <w:color w:val="000000" w:themeColor="text1"/>
          <w:lang w:val="en-IE"/>
        </w:rPr>
      </w:pPr>
      <w:r w:rsidRPr="78FD5CB5">
        <w:rPr>
          <w:noProof/>
          <w:color w:val="000000" w:themeColor="text1"/>
          <w:lang w:val="en-IE"/>
        </w:rPr>
        <w:t>The objective of this</w:t>
      </w:r>
      <w:r w:rsidRPr="00FF1320">
        <w:rPr>
          <w:color w:val="000000" w:themeColor="text1"/>
          <w:lang w:val="en-IE"/>
        </w:rPr>
        <w:t xml:space="preserve"> measure </w:t>
      </w:r>
      <w:r w:rsidRPr="78FD5CB5">
        <w:rPr>
          <w:noProof/>
          <w:color w:val="000000" w:themeColor="text1"/>
          <w:lang w:val="en-IE"/>
        </w:rPr>
        <w:t>is to support</w:t>
      </w:r>
      <w:r w:rsidRPr="00FF1320">
        <w:rPr>
          <w:color w:val="000000" w:themeColor="text1"/>
          <w:lang w:val="en-IE"/>
        </w:rPr>
        <w:t xml:space="preserve"> the construction of very high-capacity connectivity networks (VHCN</w:t>
      </w:r>
      <w:r w:rsidRPr="78FD5CB5">
        <w:rPr>
          <w:noProof/>
          <w:color w:val="000000" w:themeColor="text1"/>
          <w:lang w:val="en-IE"/>
        </w:rPr>
        <w:t xml:space="preserve">). This measure consists of the </w:t>
      </w:r>
      <w:r>
        <w:rPr>
          <w:noProof/>
          <w:color w:val="000000" w:themeColor="text1"/>
          <w:lang w:val="en-IE"/>
        </w:rPr>
        <w:t>connection</w:t>
      </w:r>
      <w:r w:rsidRPr="78FD5CB5">
        <w:rPr>
          <w:noProof/>
          <w:color w:val="000000" w:themeColor="text1"/>
          <w:lang w:val="en-IE"/>
        </w:rPr>
        <w:t xml:space="preserve"> of </w:t>
      </w:r>
      <w:r>
        <w:rPr>
          <w:noProof/>
          <w:color w:val="000000" w:themeColor="text1"/>
          <w:lang w:val="en-IE"/>
        </w:rPr>
        <w:t>230 basic settlement units</w:t>
      </w:r>
      <w:r w:rsidRPr="00FF1320">
        <w:rPr>
          <w:color w:val="000000" w:themeColor="text1"/>
          <w:lang w:val="en-IE"/>
        </w:rPr>
        <w:t xml:space="preserve"> with very</w:t>
      </w:r>
      <w:r w:rsidRPr="78FD5CB5">
        <w:rPr>
          <w:noProof/>
          <w:color w:val="000000" w:themeColor="text1"/>
          <w:lang w:val="en-IE"/>
        </w:rPr>
        <w:t>-</w:t>
      </w:r>
      <w:r w:rsidRPr="00FF1320">
        <w:rPr>
          <w:color w:val="000000" w:themeColor="text1"/>
          <w:lang w:val="en-IE"/>
        </w:rPr>
        <w:t>high</w:t>
      </w:r>
      <w:r w:rsidRPr="78FD5CB5">
        <w:rPr>
          <w:noProof/>
          <w:color w:val="000000" w:themeColor="text1"/>
          <w:lang w:val="en-IE"/>
        </w:rPr>
        <w:t xml:space="preserve"> </w:t>
      </w:r>
      <w:r w:rsidRPr="00FF1320">
        <w:rPr>
          <w:color w:val="000000" w:themeColor="text1"/>
          <w:lang w:val="en-IE"/>
        </w:rPr>
        <w:t xml:space="preserve">capacity </w:t>
      </w:r>
      <w:r w:rsidRPr="78FD5CB5">
        <w:rPr>
          <w:noProof/>
          <w:color w:val="000000" w:themeColor="text1"/>
          <w:lang w:val="en-IE"/>
        </w:rPr>
        <w:t>networks</w:t>
      </w:r>
      <w:r w:rsidRPr="00FF1320">
        <w:rPr>
          <w:color w:val="000000" w:themeColor="text1"/>
          <w:lang w:val="en-IE"/>
        </w:rPr>
        <w:t>.</w:t>
      </w:r>
    </w:p>
    <w:p w:rsidR="00D87E44" w:rsidRDefault="00D87E44" w14:paraId="15457849" w14:textId="77777777">
      <w:pPr>
        <w:spacing w:before="0" w:after="160" w:line="259" w:lineRule="auto"/>
        <w:rPr>
          <w:b/>
          <w:noProof/>
          <w:szCs w:val="24"/>
          <w:lang w:val="en-IE"/>
        </w:rPr>
      </w:pPr>
      <w:r>
        <w:rPr>
          <w:b/>
          <w:noProof/>
          <w:szCs w:val="24"/>
          <w:lang w:val="en-IE"/>
        </w:rPr>
        <w:br w:type="page"/>
      </w:r>
    </w:p>
    <w:p w:rsidRPr="00FE48E2" w:rsidR="00D87E44" w:rsidP="00D226F4" w:rsidRDefault="00D87E44" w14:paraId="1545784A" w14:textId="77777777">
      <w:pPr>
        <w:spacing w:line="240" w:lineRule="auto"/>
        <w:jc w:val="both"/>
        <w:rPr>
          <w:b/>
          <w:noProof/>
          <w:szCs w:val="24"/>
          <w:lang w:val="en-IE"/>
        </w:rPr>
      </w:pPr>
      <w:r w:rsidRPr="00FE48E2">
        <w:rPr>
          <w:b/>
          <w:noProof/>
          <w:szCs w:val="24"/>
          <w:lang w:val="en-IE"/>
        </w:rPr>
        <w:lastRenderedPageBreak/>
        <w:t xml:space="preserve">Investment 2: Covering 5G corridors and promoting the development of 5G </w:t>
      </w:r>
    </w:p>
    <w:p w:rsidRPr="00FE48E2" w:rsidR="00D87E44" w:rsidP="00FF1320" w:rsidRDefault="00D87E44" w14:paraId="1545784B" w14:textId="77777777">
      <w:pPr>
        <w:spacing w:line="240" w:lineRule="auto"/>
        <w:jc w:val="both"/>
        <w:rPr>
          <w:noProof/>
          <w:color w:val="000000"/>
          <w:lang w:val="en-IE"/>
        </w:rPr>
      </w:pPr>
      <w:r w:rsidRPr="78FD5CB5">
        <w:rPr>
          <w:noProof/>
          <w:lang w:val="en-IE"/>
        </w:rPr>
        <w:t>The objective of this measure is to enhance the 5G coverage of transport corridors. This measure consists of the construction of new Base Transceiver Stations (BTSs) on selected railway corridors, facilitating the technical solutions for 5G coverage in railway wagons, and the installation of</w:t>
      </w:r>
      <w:r w:rsidRPr="00FF1320">
        <w:rPr>
          <w:lang w:val="en-IE"/>
        </w:rPr>
        <w:t xml:space="preserve"> </w:t>
      </w:r>
      <w:r w:rsidRPr="00DB7775">
        <w:rPr>
          <w:noProof/>
          <w:color w:val="000000" w:themeColor="text1"/>
          <w:lang w:val="en-IE"/>
        </w:rPr>
        <w:t>a Cooperative Intelligent Transport System for rail</w:t>
      </w:r>
      <w:r>
        <w:rPr>
          <w:noProof/>
          <w:color w:val="000000" w:themeColor="text1"/>
          <w:lang w:val="en-IE"/>
        </w:rPr>
        <w:t xml:space="preserve">way use case </w:t>
      </w:r>
      <w:r w:rsidRPr="00DB7775">
        <w:rPr>
          <w:noProof/>
          <w:color w:val="000000" w:themeColor="text1"/>
          <w:lang w:val="en-IE"/>
        </w:rPr>
        <w:t>(C-ITS).</w:t>
      </w:r>
    </w:p>
    <w:p w:rsidRPr="00FE48E2" w:rsidR="00D87E44" w:rsidP="00D226F4" w:rsidRDefault="00D87E44" w14:paraId="1545784C" w14:textId="77777777">
      <w:pPr>
        <w:pBdr>
          <w:top w:val="nil"/>
          <w:left w:val="nil"/>
          <w:bottom w:val="nil"/>
          <w:right w:val="nil"/>
          <w:between w:val="nil"/>
        </w:pBdr>
        <w:spacing w:line="240" w:lineRule="auto"/>
        <w:jc w:val="both"/>
        <w:rPr>
          <w:noProof/>
          <w:color w:val="000000"/>
          <w:szCs w:val="24"/>
          <w:lang w:val="en-IE"/>
        </w:rPr>
      </w:pPr>
      <w:r w:rsidRPr="00FE48E2">
        <w:rPr>
          <w:b/>
          <w:noProof/>
          <w:color w:val="000000"/>
          <w:szCs w:val="24"/>
          <w:lang w:val="en-IE"/>
        </w:rPr>
        <w:t>Investment 3: Supporting the development of 5G mobile infrastructure in rural investment-intensive white areas</w:t>
      </w:r>
      <w:r w:rsidRPr="00FE48E2">
        <w:rPr>
          <w:noProof/>
          <w:color w:val="000000"/>
          <w:szCs w:val="24"/>
          <w:lang w:val="en-IE"/>
        </w:rPr>
        <w:t xml:space="preserve"> </w:t>
      </w:r>
    </w:p>
    <w:p w:rsidRPr="00FF1320" w:rsidR="00D87E44" w:rsidP="00D226F4" w:rsidRDefault="00D87E44" w14:paraId="1545784D" w14:textId="77777777">
      <w:pPr>
        <w:pBdr>
          <w:top w:val="nil"/>
          <w:left w:val="nil"/>
          <w:bottom w:val="nil"/>
          <w:right w:val="nil"/>
          <w:between w:val="nil"/>
        </w:pBdr>
        <w:spacing w:line="240" w:lineRule="auto"/>
        <w:jc w:val="both"/>
        <w:rPr>
          <w:color w:val="000000" w:themeColor="text1"/>
          <w:highlight w:val="cyan"/>
          <w:lang w:val="en-IE"/>
        </w:rPr>
      </w:pPr>
      <w:r w:rsidRPr="78FD5CB5">
        <w:rPr>
          <w:noProof/>
          <w:color w:val="000000" w:themeColor="text1"/>
          <w:lang w:val="en-IE"/>
        </w:rPr>
        <w:t>The objective of this</w:t>
      </w:r>
      <w:r w:rsidRPr="00FF1320">
        <w:rPr>
          <w:color w:val="000000" w:themeColor="text1"/>
          <w:lang w:val="en-IE"/>
        </w:rPr>
        <w:t xml:space="preserve"> measure </w:t>
      </w:r>
      <w:r w:rsidRPr="78FD5CB5">
        <w:rPr>
          <w:noProof/>
          <w:color w:val="000000" w:themeColor="text1"/>
          <w:lang w:val="en-IE"/>
        </w:rPr>
        <w:t>is to enhance</w:t>
      </w:r>
      <w:r w:rsidRPr="00FF1320">
        <w:rPr>
          <w:color w:val="000000" w:themeColor="text1"/>
          <w:lang w:val="en-IE"/>
        </w:rPr>
        <w:t xml:space="preserve"> the coverage of the 5G network in ‘white areas’, i.e. areas that have never been covered by any mobile signal higher than 3G and that can be assumed not to be covered by 5G base networks in the future due to the low expected profitability of the investment. </w:t>
      </w:r>
      <w:r>
        <w:rPr>
          <w:noProof/>
          <w:color w:val="000000" w:themeColor="text1"/>
          <w:lang w:val="en-IE"/>
        </w:rPr>
        <w:t>This measure consists of the construction of 30 base transceiver stations for</w:t>
      </w:r>
      <w:r>
        <w:rPr>
          <w:noProof/>
          <w:lang w:val="en-IE"/>
        </w:rPr>
        <w:t xml:space="preserve"> 5G</w:t>
      </w:r>
      <w:r w:rsidRPr="00DB7775">
        <w:rPr>
          <w:noProof/>
          <w:lang w:val="en-IE"/>
        </w:rPr>
        <w:t>.</w:t>
      </w:r>
    </w:p>
    <w:p w:rsidRPr="00FE48E2" w:rsidR="00D87E44" w:rsidP="00D226F4" w:rsidRDefault="00D87E44" w14:paraId="1545784E" w14:textId="77777777">
      <w:pPr>
        <w:spacing w:line="240" w:lineRule="auto"/>
        <w:jc w:val="both"/>
        <w:rPr>
          <w:b/>
          <w:noProof/>
          <w:szCs w:val="24"/>
          <w:lang w:val="en-IE"/>
        </w:rPr>
      </w:pPr>
      <w:r w:rsidRPr="00FE48E2">
        <w:rPr>
          <w:b/>
          <w:noProof/>
          <w:szCs w:val="24"/>
          <w:lang w:val="en-IE"/>
        </w:rPr>
        <w:t xml:space="preserve">Investment 4: Scientific research activities related to the development of 5G </w:t>
      </w:r>
      <w:r w:rsidRPr="00FE48E2">
        <w:rPr>
          <w:b/>
          <w:noProof/>
          <w:szCs w:val="24"/>
          <w:lang w:val="en-IE"/>
        </w:rPr>
        <w:t>networks and services</w:t>
      </w:r>
    </w:p>
    <w:p w:rsidRPr="00DB7775" w:rsidR="00D87E44" w:rsidP="4A45BCA2" w:rsidRDefault="00D87E44" w14:paraId="1545784F" w14:textId="77777777">
      <w:pPr>
        <w:spacing w:line="240" w:lineRule="auto"/>
        <w:jc w:val="both"/>
        <w:rPr>
          <w:noProof/>
          <w:color w:val="000000"/>
          <w:sz w:val="22"/>
          <w:lang w:val="en-IE"/>
        </w:rPr>
      </w:pPr>
      <w:r w:rsidRPr="4A45BCA2">
        <w:rPr>
          <w:noProof/>
          <w:lang w:val="en-IE"/>
        </w:rPr>
        <w:t xml:space="preserve">The objective of this measure is to support </w:t>
      </w:r>
      <w:r w:rsidRPr="4A45BCA2">
        <w:rPr>
          <w:rFonts w:eastAsia="Times New Roman"/>
          <w:noProof/>
          <w:lang w:val="en-IE"/>
        </w:rPr>
        <w:t xml:space="preserve">R&amp;D&amp;I </w:t>
      </w:r>
      <w:r w:rsidRPr="4A45BCA2">
        <w:rPr>
          <w:noProof/>
          <w:lang w:val="en-IE"/>
        </w:rPr>
        <w:t>related to 5G networks and services. This measure consists of the acceptance of project reports relating to 5G networks or applications</w:t>
      </w:r>
      <w:r w:rsidRPr="4A45BCA2">
        <w:rPr>
          <w:noProof/>
          <w:color w:val="000000" w:themeColor="text1"/>
          <w:lang w:val="en-IE"/>
        </w:rPr>
        <w:t>.</w:t>
      </w:r>
    </w:p>
    <w:p w:rsidRPr="00FE48E2" w:rsidR="00D87E44" w:rsidP="00D226F4" w:rsidRDefault="00D87E44" w14:paraId="15457850" w14:textId="77777777">
      <w:pPr>
        <w:pBdr>
          <w:top w:val="nil"/>
          <w:left w:val="nil"/>
          <w:bottom w:val="nil"/>
          <w:right w:val="nil"/>
          <w:between w:val="nil"/>
        </w:pBdr>
        <w:spacing w:line="240" w:lineRule="auto"/>
        <w:rPr>
          <w:b/>
          <w:noProof/>
          <w:u w:val="single"/>
          <w:lang w:val="en-IE"/>
        </w:rPr>
        <w:sectPr w:rsidRPr="00FE48E2" w:rsidR="00C16C1F" w:rsidSect="00D226F4">
          <w:headerReference w:type="even" r:id="R6e3c6600198c4dbb"/>
          <w:headerReference w:type="default" r:id="R3c30300ab93e4acf"/>
          <w:footerReference w:type="even" r:id="Raa9e045203d44d05"/>
          <w:footerReference w:type="default" r:id="Ra01c3018c58848ae"/>
          <w:headerReference w:type="first" r:id="R794b80a007084dfe"/>
          <w:footerReference w:type="first" r:id="Ref68c55b97db41fc"/>
          <w:pgSz w:w="11907" w:h="16839"/>
          <w:pgMar w:top="1134" w:right="1134" w:bottom="1134" w:left="1134" w:header="567" w:footer="567" w:gutter="0"/>
          <w:cols w:space="720"/>
          <w:docGrid w:linePitch="360"/>
        </w:sectPr>
      </w:pPr>
    </w:p>
    <w:p w:rsidRPr="00FE48E2" w:rsidR="00D87E44" w:rsidP="00D226F4" w:rsidRDefault="00D87E44" w14:paraId="15457851" w14:textId="77777777">
      <w:pPr>
        <w:pBdr>
          <w:top w:val="nil"/>
          <w:left w:val="nil"/>
          <w:bottom w:val="nil"/>
          <w:right w:val="nil"/>
          <w:between w:val="nil"/>
        </w:pBdr>
        <w:spacing w:line="240" w:lineRule="auto"/>
        <w:rPr>
          <w:b/>
          <w:noProof/>
          <w:u w:val="single"/>
          <w:lang w:val="en-IE"/>
        </w:rPr>
      </w:pPr>
      <w:r w:rsidRPr="00FE48E2">
        <w:rPr>
          <w:b/>
          <w:noProof/>
          <w:u w:val="single"/>
          <w:lang w:val="en-IE"/>
        </w:rPr>
        <w:lastRenderedPageBreak/>
        <w:t xml:space="preserve">C.2. Milestones, targets, indicators, and timetable for monitoring and implementation for non-repayable financial support </w:t>
      </w:r>
    </w:p>
    <w:tbl>
      <w:tblPr>
        <w:tblW w:w="15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6"/>
        <w:gridCol w:w="703"/>
        <w:gridCol w:w="2130"/>
        <w:gridCol w:w="986"/>
        <w:gridCol w:w="1982"/>
        <w:gridCol w:w="1275"/>
        <w:gridCol w:w="991"/>
        <w:gridCol w:w="991"/>
        <w:gridCol w:w="872"/>
        <w:gridCol w:w="859"/>
        <w:gridCol w:w="846"/>
        <w:gridCol w:w="3948"/>
        <w:gridCol w:w="10"/>
      </w:tblGrid>
      <w:tr w:rsidRPr="00FE48E2" w:rsidR="00E3458A" w14:paraId="1545785A" w14:textId="77777777">
        <w:trPr>
          <w:gridAfter w:val="1"/>
          <w:wAfter w:w="10" w:type="dxa"/>
          <w:trHeight w:val="615"/>
          <w:tblHeader/>
          <w:jc w:val="center"/>
        </w:trPr>
        <w:tc>
          <w:tcPr>
            <w:tcW w:w="704" w:type="dxa"/>
            <w:gridSpan w:val="2"/>
            <w:vMerge w:val="restart"/>
            <w:shd w:val="clear" w:color="auto" w:fill="BDD7EE"/>
            <w:vAlign w:val="center"/>
          </w:tcPr>
          <w:p w:rsidRPr="00FE48E2" w:rsidR="00D87E44" w:rsidRDefault="00D87E44" w14:paraId="1545785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2132" w:type="dxa"/>
            <w:vMerge w:val="restart"/>
            <w:shd w:val="clear" w:color="auto" w:fill="BDD7EE"/>
            <w:vAlign w:val="center"/>
          </w:tcPr>
          <w:p w:rsidRPr="00FE48E2" w:rsidR="00D87E44" w:rsidRDefault="00D87E44" w14:paraId="1545785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987" w:type="dxa"/>
            <w:vMerge w:val="restart"/>
            <w:shd w:val="clear" w:color="auto" w:fill="BDD7EE"/>
            <w:vAlign w:val="center"/>
          </w:tcPr>
          <w:p w:rsidRPr="00FE48E2" w:rsidR="00D87E44" w:rsidRDefault="00D87E44" w14:paraId="1545785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984" w:type="dxa"/>
            <w:vMerge w:val="restart"/>
            <w:shd w:val="clear" w:color="auto" w:fill="BDD7EE"/>
            <w:vAlign w:val="center"/>
          </w:tcPr>
          <w:p w:rsidRPr="00FE48E2" w:rsidR="00D87E44" w:rsidRDefault="00D87E44" w14:paraId="15457855"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Name</w:t>
            </w:r>
          </w:p>
        </w:tc>
        <w:tc>
          <w:tcPr>
            <w:tcW w:w="1276" w:type="dxa"/>
            <w:vMerge w:val="restart"/>
            <w:shd w:val="clear" w:color="auto" w:fill="BDD7EE"/>
            <w:vAlign w:val="center"/>
          </w:tcPr>
          <w:p w:rsidRPr="00FE48E2" w:rsidR="00D87E44" w:rsidRDefault="00D87E44" w14:paraId="1545785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2857" w:type="dxa"/>
            <w:gridSpan w:val="3"/>
            <w:shd w:val="clear" w:color="auto" w:fill="BDD7EE"/>
            <w:vAlign w:val="center"/>
          </w:tcPr>
          <w:p w:rsidRPr="00FE48E2" w:rsidR="00D87E44" w:rsidRDefault="00D87E44" w14:paraId="15457857"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707" w:type="dxa"/>
            <w:gridSpan w:val="2"/>
            <w:shd w:val="clear" w:color="auto" w:fill="BDD7EE"/>
            <w:vAlign w:val="center"/>
          </w:tcPr>
          <w:p w:rsidRPr="00FE48E2" w:rsidR="00D87E44" w:rsidRDefault="00D87E44" w14:paraId="15457858"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Indicative timeline for completion</w:t>
            </w:r>
          </w:p>
        </w:tc>
        <w:tc>
          <w:tcPr>
            <w:tcW w:w="3952" w:type="dxa"/>
            <w:vMerge w:val="restart"/>
            <w:shd w:val="clear" w:color="auto" w:fill="BDD7EE"/>
            <w:vAlign w:val="center"/>
          </w:tcPr>
          <w:p w:rsidRPr="00FE48E2" w:rsidR="00D87E44" w:rsidRDefault="00D87E44" w14:paraId="15457859"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14:paraId="15457866" w14:textId="77777777">
        <w:trPr>
          <w:gridAfter w:val="1"/>
          <w:wAfter w:w="10" w:type="dxa"/>
          <w:trHeight w:val="159"/>
          <w:tblHeader/>
          <w:jc w:val="center"/>
        </w:trPr>
        <w:tc>
          <w:tcPr>
            <w:tcW w:w="704" w:type="dxa"/>
            <w:gridSpan w:val="2"/>
            <w:vMerge/>
            <w:vAlign w:val="center"/>
          </w:tcPr>
          <w:p w:rsidRPr="00FE48E2" w:rsidR="00D87E44" w:rsidRDefault="00D87E44" w14:paraId="1545785B"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2132" w:type="dxa"/>
            <w:vMerge/>
            <w:vAlign w:val="center"/>
          </w:tcPr>
          <w:p w:rsidRPr="00FE48E2" w:rsidR="00D87E44" w:rsidRDefault="00D87E44" w14:paraId="1545785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87" w:type="dxa"/>
            <w:vMerge/>
            <w:vAlign w:val="center"/>
          </w:tcPr>
          <w:p w:rsidRPr="00FE48E2" w:rsidR="00D87E44" w:rsidRDefault="00D87E44" w14:paraId="1545785D"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984" w:type="dxa"/>
            <w:vMerge/>
            <w:vAlign w:val="center"/>
          </w:tcPr>
          <w:p w:rsidRPr="00FE48E2" w:rsidR="00D87E44" w:rsidRDefault="00D87E44" w14:paraId="1545785E"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vMerge/>
            <w:vAlign w:val="center"/>
          </w:tcPr>
          <w:p w:rsidRPr="00FE48E2" w:rsidR="00D87E44" w:rsidRDefault="00D87E44" w14:paraId="1545785F"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shd w:val="clear" w:color="auto" w:fill="BDD7EE"/>
            <w:vAlign w:val="center"/>
          </w:tcPr>
          <w:p w:rsidRPr="00FE48E2" w:rsidR="00D87E44" w:rsidRDefault="00D87E44" w14:paraId="1545786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Unit of measure</w:t>
            </w:r>
          </w:p>
        </w:tc>
        <w:tc>
          <w:tcPr>
            <w:tcW w:w="992" w:type="dxa"/>
            <w:shd w:val="clear" w:color="auto" w:fill="BDD7EE"/>
            <w:vAlign w:val="center"/>
          </w:tcPr>
          <w:p w:rsidRPr="00FE48E2" w:rsidR="00D87E44" w:rsidRDefault="00D87E44" w14:paraId="15457861"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Baseline</w:t>
            </w:r>
          </w:p>
        </w:tc>
        <w:tc>
          <w:tcPr>
            <w:tcW w:w="873" w:type="dxa"/>
            <w:shd w:val="clear" w:color="auto" w:fill="BDD7EE"/>
            <w:vAlign w:val="center"/>
          </w:tcPr>
          <w:p w:rsidRPr="00FE48E2" w:rsidR="00D87E44" w:rsidRDefault="00D87E44" w14:paraId="1545786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Goal</w:t>
            </w:r>
          </w:p>
        </w:tc>
        <w:tc>
          <w:tcPr>
            <w:tcW w:w="860" w:type="dxa"/>
            <w:shd w:val="clear" w:color="auto" w:fill="BDD7EE"/>
            <w:vAlign w:val="center"/>
          </w:tcPr>
          <w:p w:rsidRPr="00FE48E2" w:rsidR="00D87E44" w:rsidRDefault="00D87E44" w14:paraId="1545786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Quarter</w:t>
            </w:r>
          </w:p>
        </w:tc>
        <w:tc>
          <w:tcPr>
            <w:tcW w:w="847" w:type="dxa"/>
            <w:shd w:val="clear" w:color="auto" w:fill="BDD7EE"/>
            <w:vAlign w:val="center"/>
          </w:tcPr>
          <w:p w:rsidRPr="00FE48E2" w:rsidR="00D87E44" w:rsidRDefault="00D87E44" w14:paraId="1545786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Year</w:t>
            </w:r>
          </w:p>
        </w:tc>
        <w:tc>
          <w:tcPr>
            <w:tcW w:w="3952" w:type="dxa"/>
            <w:vMerge/>
            <w:vAlign w:val="center"/>
          </w:tcPr>
          <w:p w:rsidRPr="00FE48E2" w:rsidR="00D87E44" w:rsidRDefault="00D87E44" w14:paraId="15457865"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14:paraId="15457872" w14:textId="77777777">
        <w:trPr>
          <w:gridAfter w:val="1"/>
          <w:wAfter w:w="10" w:type="dxa"/>
          <w:trHeight w:val="945"/>
          <w:jc w:val="center"/>
        </w:trPr>
        <w:tc>
          <w:tcPr>
            <w:tcW w:w="704" w:type="dxa"/>
            <w:gridSpan w:val="2"/>
            <w:shd w:val="clear" w:color="auto" w:fill="C6EFCE"/>
          </w:tcPr>
          <w:p w:rsidRPr="00062C72" w:rsidR="00D87E44" w:rsidRDefault="00D87E44" w14:paraId="15457867" w14:textId="77777777">
            <w:pPr>
              <w:spacing w:before="0" w:after="0" w:line="240" w:lineRule="auto"/>
              <w:rPr>
                <w:noProof/>
                <w:color w:val="004300"/>
                <w:sz w:val="18"/>
                <w:szCs w:val="18"/>
                <w:lang w:val="en-IE"/>
              </w:rPr>
            </w:pPr>
            <w:r w:rsidRPr="00062C72">
              <w:rPr>
                <w:noProof/>
                <w:color w:val="004300"/>
                <w:sz w:val="18"/>
                <w:szCs w:val="18"/>
                <w:lang w:val="en-IE"/>
              </w:rPr>
              <w:t>32</w:t>
            </w:r>
          </w:p>
        </w:tc>
        <w:tc>
          <w:tcPr>
            <w:tcW w:w="2132" w:type="dxa"/>
            <w:shd w:val="clear" w:color="auto" w:fill="C6EFCE"/>
          </w:tcPr>
          <w:p w:rsidRPr="00062C72" w:rsidR="00D87E44" w:rsidRDefault="00D87E44" w14:paraId="15457868" w14:textId="77777777">
            <w:pPr>
              <w:spacing w:before="0" w:after="0" w:line="240" w:lineRule="auto"/>
              <w:rPr>
                <w:noProof/>
                <w:color w:val="004300"/>
                <w:sz w:val="18"/>
                <w:szCs w:val="18"/>
                <w:lang w:val="en-IE"/>
              </w:rPr>
            </w:pPr>
            <w:r w:rsidRPr="00062C72">
              <w:rPr>
                <w:noProof/>
                <w:color w:val="004300"/>
                <w:sz w:val="18"/>
                <w:szCs w:val="18"/>
                <w:lang w:val="en-IE"/>
              </w:rPr>
              <w:t>Reform 1: Improving the environment for the deployment of electronic communications networks </w:t>
            </w:r>
          </w:p>
        </w:tc>
        <w:tc>
          <w:tcPr>
            <w:tcW w:w="987" w:type="dxa"/>
            <w:shd w:val="clear" w:color="auto" w:fill="C6EFCE"/>
          </w:tcPr>
          <w:p w:rsidRPr="00062C72" w:rsidR="00D87E44" w:rsidRDefault="00D87E44" w14:paraId="15457869" w14:textId="77777777">
            <w:pPr>
              <w:spacing w:before="0" w:after="0" w:line="240" w:lineRule="auto"/>
              <w:rPr>
                <w:noProof/>
                <w:color w:val="004300"/>
                <w:sz w:val="18"/>
                <w:szCs w:val="18"/>
                <w:lang w:val="en-IE"/>
              </w:rPr>
            </w:pPr>
            <w:r w:rsidRPr="00062C72">
              <w:rPr>
                <w:noProof/>
                <w:color w:val="004300"/>
                <w:sz w:val="18"/>
                <w:szCs w:val="18"/>
                <w:lang w:val="en-IE"/>
              </w:rPr>
              <w:t>Milestone </w:t>
            </w:r>
          </w:p>
        </w:tc>
        <w:tc>
          <w:tcPr>
            <w:tcW w:w="1984" w:type="dxa"/>
            <w:shd w:val="clear" w:color="auto" w:fill="C6EFCE"/>
          </w:tcPr>
          <w:p w:rsidRPr="00062C72" w:rsidR="00D87E44" w:rsidRDefault="00D87E44" w14:paraId="1545786A" w14:textId="77777777">
            <w:pPr>
              <w:spacing w:before="0" w:after="0" w:line="240" w:lineRule="auto"/>
              <w:rPr>
                <w:noProof/>
                <w:color w:val="004300"/>
                <w:sz w:val="18"/>
                <w:szCs w:val="18"/>
                <w:lang w:val="en-IE"/>
              </w:rPr>
            </w:pPr>
            <w:r w:rsidRPr="00062C72">
              <w:rPr>
                <w:noProof/>
                <w:color w:val="004300"/>
                <w:sz w:val="18"/>
                <w:szCs w:val="18"/>
                <w:lang w:val="en-IE"/>
              </w:rPr>
              <w:t>Entry into force of measures prepared by the Ministry of Industry and Trade aimed at establishing a database of investment project plans and increasing the number of network quality measurements </w:t>
            </w:r>
          </w:p>
        </w:tc>
        <w:tc>
          <w:tcPr>
            <w:tcW w:w="1276" w:type="dxa"/>
            <w:shd w:val="clear" w:color="auto" w:fill="C6EFCE"/>
          </w:tcPr>
          <w:p w:rsidRPr="00062C72" w:rsidR="00D87E44" w:rsidRDefault="00D87E44" w14:paraId="1545786B" w14:textId="77777777">
            <w:pPr>
              <w:spacing w:before="0" w:after="0" w:line="240" w:lineRule="auto"/>
              <w:rPr>
                <w:noProof/>
                <w:color w:val="004300"/>
                <w:sz w:val="18"/>
                <w:szCs w:val="18"/>
                <w:lang w:val="en-IE"/>
              </w:rPr>
            </w:pPr>
            <w:r w:rsidRPr="00062C72">
              <w:rPr>
                <w:noProof/>
                <w:color w:val="004300"/>
                <w:sz w:val="18"/>
                <w:szCs w:val="18"/>
                <w:lang w:val="en-IE"/>
              </w:rPr>
              <w:t>Provision in the acts indicating the entry into force </w:t>
            </w:r>
          </w:p>
        </w:tc>
        <w:tc>
          <w:tcPr>
            <w:tcW w:w="992" w:type="dxa"/>
            <w:shd w:val="clear" w:color="auto" w:fill="C6EFCE"/>
          </w:tcPr>
          <w:p w:rsidRPr="00062C72" w:rsidR="00D87E44" w:rsidRDefault="00D87E44" w14:paraId="1545786C"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6D"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6E"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6F" w14:textId="77777777">
            <w:pPr>
              <w:spacing w:before="0" w:after="0" w:line="240" w:lineRule="auto"/>
              <w:rPr>
                <w:noProof/>
                <w:color w:val="004300"/>
                <w:sz w:val="18"/>
                <w:szCs w:val="18"/>
                <w:lang w:val="en-IE"/>
              </w:rPr>
            </w:pPr>
            <w:r w:rsidRPr="00062C72">
              <w:rPr>
                <w:noProof/>
                <w:color w:val="004300"/>
                <w:sz w:val="18"/>
                <w:szCs w:val="18"/>
                <w:lang w:val="en-IE"/>
              </w:rPr>
              <w:t>Q2 </w:t>
            </w:r>
          </w:p>
        </w:tc>
        <w:tc>
          <w:tcPr>
            <w:tcW w:w="847" w:type="dxa"/>
            <w:shd w:val="clear" w:color="auto" w:fill="C6EFCE"/>
          </w:tcPr>
          <w:p w:rsidRPr="00062C72" w:rsidR="00D87E44" w:rsidRDefault="00D87E44" w14:paraId="15457870" w14:textId="77777777">
            <w:pPr>
              <w:spacing w:before="0" w:after="0" w:line="240" w:lineRule="auto"/>
              <w:rPr>
                <w:noProof/>
                <w:color w:val="004300"/>
                <w:sz w:val="18"/>
                <w:szCs w:val="18"/>
                <w:lang w:val="en-IE"/>
              </w:rPr>
            </w:pPr>
            <w:r w:rsidRPr="00062C72">
              <w:rPr>
                <w:noProof/>
                <w:color w:val="004300"/>
                <w:sz w:val="18"/>
                <w:szCs w:val="18"/>
                <w:lang w:val="en-IE"/>
              </w:rPr>
              <w:t>2023 </w:t>
            </w:r>
          </w:p>
        </w:tc>
        <w:tc>
          <w:tcPr>
            <w:tcW w:w="3952" w:type="dxa"/>
            <w:shd w:val="clear" w:color="auto" w:fill="C6EFCE"/>
          </w:tcPr>
          <w:p w:rsidRPr="00062C72" w:rsidR="00D87E44" w:rsidRDefault="00D87E44" w14:paraId="15457871" w14:textId="77777777">
            <w:pPr>
              <w:spacing w:before="0" w:after="0" w:line="240" w:lineRule="auto"/>
              <w:rPr>
                <w:noProof/>
                <w:color w:val="004300"/>
                <w:sz w:val="18"/>
                <w:szCs w:val="18"/>
                <w:lang w:val="en-IE"/>
              </w:rPr>
            </w:pPr>
            <w:r w:rsidRPr="00062C72">
              <w:rPr>
                <w:noProof/>
                <w:color w:val="004300"/>
                <w:sz w:val="18"/>
                <w:szCs w:val="18"/>
                <w:lang w:val="en-IE"/>
              </w:rPr>
              <w:t>Necessary legislative adaptations shall enter into force and technical specifications shall be completed, both aimed at establishing databases of investment project intentions in the meaning of Act No 194/2017 Coll., paragraph 11, 2 and increasing the number of quality measurements of electronic communications networks. The national regulator shall conduct tendering procedures and acquire the necessary equipment. Quality and usability of the provided information shall be in line with binding technical param</w:t>
            </w:r>
            <w:r w:rsidRPr="00062C72">
              <w:rPr>
                <w:noProof/>
                <w:color w:val="004300"/>
                <w:sz w:val="18"/>
                <w:szCs w:val="18"/>
                <w:lang w:val="en-IE"/>
              </w:rPr>
              <w:t>eters.</w:t>
            </w:r>
          </w:p>
        </w:tc>
      </w:tr>
      <w:tr w:rsidRPr="00FE48E2" w:rsidR="00E3458A" w14:paraId="1545787E" w14:textId="77777777">
        <w:trPr>
          <w:gridBefore w:val="1"/>
          <w:trHeight w:val="945"/>
          <w:jc w:val="center"/>
        </w:trPr>
        <w:tc>
          <w:tcPr>
            <w:tcW w:w="704" w:type="dxa"/>
            <w:shd w:val="clear" w:color="auto" w:fill="C6EFCE"/>
          </w:tcPr>
          <w:p w:rsidRPr="00062C72" w:rsidR="00D87E44" w:rsidRDefault="00D87E44" w14:paraId="15457873" w14:textId="77777777">
            <w:pPr>
              <w:spacing w:before="0" w:after="0" w:line="240" w:lineRule="auto"/>
              <w:rPr>
                <w:noProof/>
                <w:color w:val="004300"/>
                <w:sz w:val="18"/>
                <w:szCs w:val="18"/>
                <w:lang w:val="en-IE"/>
              </w:rPr>
            </w:pPr>
            <w:r w:rsidRPr="00062C72">
              <w:rPr>
                <w:noProof/>
                <w:color w:val="004300"/>
                <w:sz w:val="18"/>
                <w:szCs w:val="18"/>
                <w:lang w:val="en-IE"/>
              </w:rPr>
              <w:t>33</w:t>
            </w:r>
          </w:p>
        </w:tc>
        <w:tc>
          <w:tcPr>
            <w:tcW w:w="2132" w:type="dxa"/>
            <w:shd w:val="clear" w:color="auto" w:fill="C6EFCE"/>
          </w:tcPr>
          <w:p w:rsidRPr="00062C72" w:rsidR="00D87E44" w:rsidRDefault="00D87E44" w14:paraId="15457874" w14:textId="77777777">
            <w:pPr>
              <w:spacing w:before="0" w:after="0" w:line="240" w:lineRule="auto"/>
              <w:rPr>
                <w:noProof/>
                <w:color w:val="004300"/>
                <w:sz w:val="18"/>
                <w:szCs w:val="18"/>
                <w:lang w:val="en-IE"/>
              </w:rPr>
            </w:pPr>
            <w:r w:rsidRPr="00062C72">
              <w:rPr>
                <w:noProof/>
                <w:color w:val="004300"/>
                <w:sz w:val="18"/>
                <w:szCs w:val="18"/>
                <w:lang w:val="en-IE"/>
              </w:rPr>
              <w:t>Reform 1: Improving the environment for the deployment of electronic communications networks </w:t>
            </w:r>
          </w:p>
        </w:tc>
        <w:tc>
          <w:tcPr>
            <w:tcW w:w="987" w:type="dxa"/>
            <w:shd w:val="clear" w:color="auto" w:fill="C6EFCE"/>
          </w:tcPr>
          <w:p w:rsidRPr="00062C72" w:rsidR="00D87E44" w:rsidRDefault="00D87E44" w14:paraId="15457875" w14:textId="77777777">
            <w:pPr>
              <w:spacing w:before="0" w:after="0" w:line="240" w:lineRule="auto"/>
              <w:rPr>
                <w:noProof/>
                <w:color w:val="004300"/>
                <w:sz w:val="18"/>
                <w:szCs w:val="18"/>
                <w:lang w:val="en-IE"/>
              </w:rPr>
            </w:pPr>
            <w:r>
              <w:rPr>
                <w:noProof/>
                <w:color w:val="004300"/>
                <w:sz w:val="18"/>
                <w:szCs w:val="18"/>
                <w:lang w:val="en-IE"/>
              </w:rPr>
              <w:t>Milestone</w:t>
            </w:r>
            <w:r w:rsidRPr="00062C72">
              <w:rPr>
                <w:noProof/>
                <w:color w:val="004300"/>
                <w:sz w:val="18"/>
                <w:szCs w:val="18"/>
                <w:lang w:val="en-IE"/>
              </w:rPr>
              <w:t> </w:t>
            </w:r>
          </w:p>
        </w:tc>
        <w:tc>
          <w:tcPr>
            <w:tcW w:w="1984" w:type="dxa"/>
            <w:shd w:val="clear" w:color="auto" w:fill="C6EFCE"/>
          </w:tcPr>
          <w:p w:rsidRPr="00062C72" w:rsidR="00D87E44" w:rsidRDefault="00D87E44" w14:paraId="15457876" w14:textId="77777777">
            <w:pPr>
              <w:spacing w:before="0" w:after="0" w:line="240" w:lineRule="auto"/>
              <w:rPr>
                <w:noProof/>
                <w:color w:val="004300"/>
                <w:sz w:val="18"/>
                <w:szCs w:val="18"/>
                <w:lang w:val="en-IE"/>
              </w:rPr>
            </w:pPr>
            <w:r>
              <w:rPr>
                <w:noProof/>
                <w:color w:val="004300"/>
                <w:sz w:val="18"/>
                <w:szCs w:val="18"/>
                <w:lang w:val="en-IE"/>
              </w:rPr>
              <w:t xml:space="preserve">Data for </w:t>
            </w:r>
            <w:r w:rsidRPr="00DB7775">
              <w:rPr>
                <w:noProof/>
                <w:color w:val="004300"/>
                <w:sz w:val="18"/>
                <w:szCs w:val="18"/>
                <w:lang w:val="en-IE"/>
              </w:rPr>
              <w:t xml:space="preserve">technical maps </w:t>
            </w:r>
          </w:p>
        </w:tc>
        <w:tc>
          <w:tcPr>
            <w:tcW w:w="1276" w:type="dxa"/>
            <w:shd w:val="clear" w:color="auto" w:fill="C6EFCE"/>
          </w:tcPr>
          <w:p w:rsidRPr="00062C72" w:rsidR="00D87E44" w:rsidRDefault="00D87E44" w14:paraId="15457877" w14:textId="77777777">
            <w:pPr>
              <w:spacing w:before="0" w:after="0" w:line="240" w:lineRule="auto"/>
              <w:rPr>
                <w:noProof/>
                <w:color w:val="004300"/>
                <w:sz w:val="18"/>
                <w:szCs w:val="18"/>
                <w:lang w:val="en-IE"/>
              </w:rPr>
            </w:pPr>
            <w:r>
              <w:rPr>
                <w:noProof/>
                <w:color w:val="004300"/>
                <w:sz w:val="18"/>
                <w:szCs w:val="18"/>
                <w:lang w:val="en-IE"/>
              </w:rPr>
              <w:t>Acquisition and acceptance of data</w:t>
            </w:r>
          </w:p>
        </w:tc>
        <w:tc>
          <w:tcPr>
            <w:tcW w:w="992" w:type="dxa"/>
            <w:shd w:val="clear" w:color="auto" w:fill="C6EFCE"/>
          </w:tcPr>
          <w:p w:rsidRPr="00062C72" w:rsidR="00D87E44" w:rsidRDefault="00D87E44" w14:paraId="15457878"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79"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7A"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7B" w14:textId="77777777">
            <w:pPr>
              <w:spacing w:before="0" w:after="0" w:line="240" w:lineRule="auto"/>
              <w:rPr>
                <w:noProof/>
                <w:color w:val="004300"/>
                <w:sz w:val="18"/>
                <w:szCs w:val="18"/>
                <w:lang w:val="en-IE"/>
              </w:rPr>
            </w:pPr>
            <w:r w:rsidRPr="00062C72">
              <w:rPr>
                <w:noProof/>
                <w:color w:val="004300"/>
                <w:sz w:val="18"/>
                <w:szCs w:val="18"/>
                <w:lang w:val="en-IE"/>
              </w:rPr>
              <w:t>Q4</w:t>
            </w:r>
          </w:p>
        </w:tc>
        <w:tc>
          <w:tcPr>
            <w:tcW w:w="847" w:type="dxa"/>
            <w:shd w:val="clear" w:color="auto" w:fill="C6EFCE"/>
          </w:tcPr>
          <w:p w:rsidRPr="00062C72" w:rsidR="00D87E44" w:rsidRDefault="00D87E44" w14:paraId="1545787C" w14:textId="77777777">
            <w:pPr>
              <w:spacing w:before="0" w:after="0" w:line="240" w:lineRule="auto"/>
              <w:rPr>
                <w:noProof/>
                <w:color w:val="004300"/>
                <w:sz w:val="18"/>
                <w:szCs w:val="18"/>
                <w:lang w:val="en-IE"/>
              </w:rPr>
            </w:pPr>
            <w:r w:rsidRPr="00062C72">
              <w:rPr>
                <w:noProof/>
                <w:color w:val="004300"/>
                <w:sz w:val="18"/>
                <w:szCs w:val="18"/>
                <w:lang w:val="en-IE"/>
              </w:rPr>
              <w:t>2025</w:t>
            </w:r>
          </w:p>
        </w:tc>
        <w:tc>
          <w:tcPr>
            <w:tcW w:w="3952" w:type="dxa"/>
            <w:gridSpan w:val="2"/>
            <w:shd w:val="clear" w:color="auto" w:fill="C6EFCE"/>
          </w:tcPr>
          <w:p w:rsidRPr="00F76653" w:rsidR="00D87E44" w:rsidRDefault="00D87E44" w14:paraId="1545787D" w14:textId="77777777">
            <w:pPr>
              <w:spacing w:before="0" w:after="0" w:line="240" w:lineRule="auto"/>
              <w:rPr>
                <w:noProof/>
                <w:color w:val="004300"/>
                <w:sz w:val="18"/>
                <w:szCs w:val="18"/>
                <w:lang w:val="en-IE"/>
              </w:rPr>
            </w:pPr>
            <w:r>
              <w:rPr>
                <w:noProof/>
                <w:color w:val="004300"/>
                <w:sz w:val="18"/>
                <w:szCs w:val="18"/>
                <w:lang w:val="en-IE"/>
              </w:rPr>
              <w:t xml:space="preserve">Acquisition and acceptance of data on </w:t>
            </w:r>
            <w:r w:rsidRPr="00DB7775">
              <w:rPr>
                <w:noProof/>
                <w:color w:val="004300"/>
                <w:sz w:val="18"/>
                <w:szCs w:val="18"/>
                <w:lang w:val="en-IE"/>
              </w:rPr>
              <w:t xml:space="preserve">location </w:t>
            </w:r>
            <w:r>
              <w:rPr>
                <w:noProof/>
                <w:color w:val="004300"/>
                <w:sz w:val="18"/>
                <w:szCs w:val="18"/>
                <w:lang w:val="en-IE"/>
              </w:rPr>
              <w:t>or</w:t>
            </w:r>
            <w:r w:rsidRPr="00DB7775">
              <w:rPr>
                <w:noProof/>
                <w:color w:val="004300"/>
                <w:sz w:val="18"/>
                <w:szCs w:val="18"/>
                <w:lang w:val="en-IE"/>
              </w:rPr>
              <w:t xml:space="preserve"> technical information </w:t>
            </w:r>
            <w:r>
              <w:rPr>
                <w:noProof/>
                <w:color w:val="004300"/>
                <w:sz w:val="18"/>
                <w:szCs w:val="18"/>
                <w:lang w:val="en-IE"/>
              </w:rPr>
              <w:t xml:space="preserve">of physical </w:t>
            </w:r>
            <w:r w:rsidRPr="006E2DCC">
              <w:rPr>
                <w:noProof/>
                <w:color w:val="004300"/>
                <w:sz w:val="18"/>
                <w:szCs w:val="18"/>
                <w:lang w:val="en-IE"/>
              </w:rPr>
              <w:t>infrastructure</w:t>
            </w:r>
            <w:r>
              <w:rPr>
                <w:noProof/>
                <w:color w:val="004300"/>
                <w:sz w:val="18"/>
                <w:szCs w:val="18"/>
                <w:lang w:val="en-IE"/>
              </w:rPr>
              <w:t>,</w:t>
            </w:r>
            <w:r w:rsidRPr="006E2DCC">
              <w:rPr>
                <w:noProof/>
                <w:color w:val="004300"/>
                <w:sz w:val="18"/>
                <w:szCs w:val="18"/>
                <w:lang w:val="en-IE"/>
              </w:rPr>
              <w:t xml:space="preserve"> </w:t>
            </w:r>
            <w:r w:rsidRPr="00FE0B11">
              <w:rPr>
                <w:noProof/>
                <w:color w:val="004300"/>
                <w:sz w:val="18"/>
                <w:szCs w:val="18"/>
                <w:lang w:val="en-IE"/>
              </w:rPr>
              <w:t>for example for basic spatial situation objects or transport or technical infrastructure</w:t>
            </w:r>
            <w:r w:rsidRPr="2AF9880D">
              <w:rPr>
                <w:noProof/>
                <w:color w:val="004300"/>
                <w:sz w:val="18"/>
                <w:szCs w:val="18"/>
                <w:lang w:val="en-IE"/>
              </w:rPr>
              <w:t>.</w:t>
            </w:r>
            <w:r w:rsidRPr="00FE0B11">
              <w:rPr>
                <w:noProof/>
                <w:color w:val="004300"/>
                <w:sz w:val="18"/>
                <w:szCs w:val="18"/>
                <w:lang w:val="en-IE"/>
              </w:rPr>
              <w:t xml:space="preserve"> </w:t>
            </w:r>
          </w:p>
        </w:tc>
      </w:tr>
      <w:tr w:rsidRPr="00FE48E2" w:rsidR="00E3458A" w:rsidDel="00361966" w14:paraId="1545788A" w14:textId="77777777">
        <w:trPr>
          <w:gridAfter w:val="1"/>
          <w:wAfter w:w="10" w:type="dxa"/>
          <w:trHeight w:val="945"/>
          <w:jc w:val="center"/>
        </w:trPr>
        <w:tc>
          <w:tcPr>
            <w:tcW w:w="704" w:type="dxa"/>
            <w:gridSpan w:val="2"/>
            <w:shd w:val="clear" w:color="auto" w:fill="C6EFCE"/>
          </w:tcPr>
          <w:p w:rsidRPr="00062C72" w:rsidR="00D87E44" w:rsidDel="00361966" w:rsidRDefault="00D87E44" w14:paraId="1545787F" w14:textId="77777777">
            <w:pPr>
              <w:spacing w:before="0" w:after="0" w:line="240" w:lineRule="auto"/>
              <w:rPr>
                <w:noProof/>
                <w:color w:val="004300"/>
                <w:sz w:val="18"/>
                <w:szCs w:val="18"/>
                <w:lang w:val="en-IE"/>
              </w:rPr>
            </w:pPr>
            <w:r w:rsidRPr="00062C72" w:rsidDel="00361966">
              <w:rPr>
                <w:noProof/>
                <w:color w:val="004300"/>
                <w:sz w:val="18"/>
                <w:szCs w:val="18"/>
                <w:lang w:val="en-IE"/>
              </w:rPr>
              <w:t>35 </w:t>
            </w:r>
          </w:p>
        </w:tc>
        <w:tc>
          <w:tcPr>
            <w:tcW w:w="2132" w:type="dxa"/>
            <w:shd w:val="clear" w:color="auto" w:fill="C6EFCE"/>
          </w:tcPr>
          <w:p w:rsidRPr="00062C72" w:rsidR="00D87E44" w:rsidDel="00361966" w:rsidRDefault="00D87E44" w14:paraId="15457880" w14:textId="77777777">
            <w:pPr>
              <w:spacing w:before="0" w:after="0" w:line="240" w:lineRule="auto"/>
              <w:rPr>
                <w:noProof/>
                <w:color w:val="004300"/>
                <w:sz w:val="18"/>
                <w:szCs w:val="18"/>
                <w:lang w:val="en-IE"/>
              </w:rPr>
            </w:pPr>
            <w:r w:rsidRPr="00062C72" w:rsidDel="00361966">
              <w:rPr>
                <w:noProof/>
                <w:color w:val="004300"/>
                <w:sz w:val="18"/>
                <w:szCs w:val="18"/>
                <w:lang w:val="en-IE"/>
              </w:rPr>
              <w:t xml:space="preserve">Reform 1: Improving the environment for the </w:t>
            </w:r>
            <w:r w:rsidRPr="00062C72" w:rsidDel="00361966">
              <w:rPr>
                <w:noProof/>
                <w:color w:val="004300"/>
                <w:sz w:val="18"/>
                <w:szCs w:val="18"/>
                <w:lang w:val="en-IE"/>
              </w:rPr>
              <w:t>deployment of electronic communications networks</w:t>
            </w:r>
          </w:p>
        </w:tc>
        <w:tc>
          <w:tcPr>
            <w:tcW w:w="987" w:type="dxa"/>
            <w:shd w:val="clear" w:color="auto" w:fill="C6EFCE"/>
          </w:tcPr>
          <w:p w:rsidRPr="00062C72" w:rsidR="00D87E44" w:rsidDel="00361966" w:rsidRDefault="00D87E44" w14:paraId="15457881" w14:textId="77777777">
            <w:pPr>
              <w:spacing w:before="0" w:after="0" w:line="240" w:lineRule="auto"/>
              <w:rPr>
                <w:noProof/>
                <w:color w:val="004300"/>
                <w:sz w:val="18"/>
                <w:szCs w:val="18"/>
                <w:lang w:val="en-IE"/>
              </w:rPr>
            </w:pPr>
            <w:r>
              <w:rPr>
                <w:noProof/>
                <w:color w:val="004300"/>
                <w:sz w:val="18"/>
                <w:szCs w:val="18"/>
                <w:lang w:val="en-IE"/>
              </w:rPr>
              <w:t>Milestone</w:t>
            </w:r>
            <w:r w:rsidRPr="00062C72" w:rsidDel="00361966">
              <w:rPr>
                <w:noProof/>
                <w:color w:val="004300"/>
                <w:sz w:val="18"/>
                <w:szCs w:val="18"/>
                <w:lang w:val="en-IE"/>
              </w:rPr>
              <w:t> </w:t>
            </w:r>
          </w:p>
        </w:tc>
        <w:tc>
          <w:tcPr>
            <w:tcW w:w="1984" w:type="dxa"/>
            <w:shd w:val="clear" w:color="auto" w:fill="C6EFCE"/>
          </w:tcPr>
          <w:p w:rsidRPr="00062C72" w:rsidR="00D87E44" w:rsidDel="00361966" w:rsidRDefault="00D87E44" w14:paraId="15457882" w14:textId="77777777">
            <w:pPr>
              <w:spacing w:before="0" w:after="0" w:line="240" w:lineRule="auto"/>
              <w:rPr>
                <w:noProof/>
                <w:color w:val="004300"/>
                <w:sz w:val="18"/>
                <w:szCs w:val="18"/>
                <w:lang w:val="en-IE"/>
              </w:rPr>
            </w:pPr>
            <w:r>
              <w:rPr>
                <w:noProof/>
                <w:color w:val="004300"/>
                <w:sz w:val="18"/>
                <w:szCs w:val="18"/>
                <w:lang w:val="en-IE"/>
              </w:rPr>
              <w:t>Network</w:t>
            </w:r>
            <w:r w:rsidRPr="00062C72" w:rsidDel="00361966">
              <w:rPr>
                <w:noProof/>
                <w:color w:val="004300"/>
                <w:sz w:val="18"/>
                <w:szCs w:val="18"/>
                <w:lang w:val="en-IE"/>
              </w:rPr>
              <w:t xml:space="preserve"> quality measurements </w:t>
            </w:r>
          </w:p>
        </w:tc>
        <w:tc>
          <w:tcPr>
            <w:tcW w:w="1276" w:type="dxa"/>
            <w:shd w:val="clear" w:color="auto" w:fill="C6EFCE"/>
          </w:tcPr>
          <w:p w:rsidRPr="00062C72" w:rsidR="00D87E44" w:rsidDel="00361966" w:rsidRDefault="00D87E44" w14:paraId="15457883" w14:textId="77777777">
            <w:pPr>
              <w:spacing w:before="0" w:after="0" w:line="240" w:lineRule="auto"/>
              <w:rPr>
                <w:noProof/>
                <w:color w:val="004300"/>
                <w:sz w:val="18"/>
                <w:szCs w:val="18"/>
                <w:lang w:val="en-IE"/>
              </w:rPr>
            </w:pPr>
            <w:r w:rsidRPr="3ACB9918">
              <w:rPr>
                <w:noProof/>
                <w:color w:val="004300"/>
                <w:sz w:val="18"/>
                <w:szCs w:val="18"/>
                <w:lang w:val="en-IE"/>
              </w:rPr>
              <w:t>Measurements</w:t>
            </w:r>
            <w:r>
              <w:rPr>
                <w:noProof/>
                <w:color w:val="004300"/>
                <w:sz w:val="18"/>
                <w:szCs w:val="18"/>
                <w:lang w:val="en-IE"/>
              </w:rPr>
              <w:t xml:space="preserve"> results </w:t>
            </w:r>
            <w:r w:rsidRPr="5C1A60C1">
              <w:rPr>
                <w:noProof/>
                <w:color w:val="004300"/>
                <w:sz w:val="18"/>
                <w:szCs w:val="18"/>
                <w:lang w:val="en-IE"/>
              </w:rPr>
              <w:t xml:space="preserve">available </w:t>
            </w:r>
            <w:r w:rsidRPr="659C2143">
              <w:rPr>
                <w:noProof/>
                <w:color w:val="004300"/>
                <w:sz w:val="18"/>
                <w:szCs w:val="18"/>
                <w:lang w:val="en-IE"/>
              </w:rPr>
              <w:t>online</w:t>
            </w:r>
          </w:p>
        </w:tc>
        <w:tc>
          <w:tcPr>
            <w:tcW w:w="992" w:type="dxa"/>
            <w:shd w:val="clear" w:color="auto" w:fill="C6EFCE"/>
          </w:tcPr>
          <w:p w:rsidRPr="00062C72" w:rsidR="00D87E44" w:rsidDel="00361966" w:rsidRDefault="00D87E44" w14:paraId="15457884" w14:textId="77777777">
            <w:pPr>
              <w:spacing w:before="0" w:after="0" w:line="240" w:lineRule="auto"/>
              <w:rPr>
                <w:noProof/>
                <w:color w:val="004300"/>
                <w:sz w:val="18"/>
                <w:szCs w:val="18"/>
                <w:lang w:val="en-IE"/>
              </w:rPr>
            </w:pPr>
          </w:p>
        </w:tc>
        <w:tc>
          <w:tcPr>
            <w:tcW w:w="992" w:type="dxa"/>
            <w:shd w:val="clear" w:color="auto" w:fill="C6EFCE"/>
          </w:tcPr>
          <w:p w:rsidRPr="00062C72" w:rsidR="00D87E44" w:rsidDel="00361966" w:rsidRDefault="00D87E44" w14:paraId="15457885" w14:textId="77777777">
            <w:pPr>
              <w:spacing w:before="0" w:after="0" w:line="240" w:lineRule="auto"/>
              <w:rPr>
                <w:noProof/>
                <w:color w:val="004300"/>
                <w:sz w:val="18"/>
                <w:szCs w:val="18"/>
                <w:lang w:val="en-IE"/>
              </w:rPr>
            </w:pPr>
          </w:p>
        </w:tc>
        <w:tc>
          <w:tcPr>
            <w:tcW w:w="873" w:type="dxa"/>
            <w:shd w:val="clear" w:color="auto" w:fill="C6EFCE"/>
          </w:tcPr>
          <w:p w:rsidRPr="00062C72" w:rsidR="00D87E44" w:rsidDel="00361966" w:rsidRDefault="00D87E44" w14:paraId="15457886" w14:textId="77777777">
            <w:pPr>
              <w:spacing w:before="0" w:after="0" w:line="259" w:lineRule="auto"/>
              <w:rPr>
                <w:noProof/>
                <w:color w:val="004300"/>
                <w:sz w:val="18"/>
                <w:szCs w:val="18"/>
                <w:lang w:val="en-IE"/>
              </w:rPr>
            </w:pPr>
          </w:p>
        </w:tc>
        <w:tc>
          <w:tcPr>
            <w:tcW w:w="860" w:type="dxa"/>
            <w:shd w:val="clear" w:color="auto" w:fill="C6EFCE"/>
          </w:tcPr>
          <w:p w:rsidRPr="00062C72" w:rsidR="00D87E44" w:rsidDel="00361966" w:rsidRDefault="00D87E44" w14:paraId="15457887" w14:textId="77777777">
            <w:pPr>
              <w:spacing w:before="0" w:after="0" w:line="240" w:lineRule="auto"/>
              <w:rPr>
                <w:noProof/>
                <w:color w:val="004300"/>
                <w:sz w:val="18"/>
                <w:szCs w:val="18"/>
                <w:lang w:val="en-IE"/>
              </w:rPr>
            </w:pPr>
            <w:r w:rsidRPr="00062C72" w:rsidDel="00361966">
              <w:rPr>
                <w:noProof/>
                <w:color w:val="004300"/>
                <w:sz w:val="18"/>
                <w:szCs w:val="18"/>
                <w:lang w:val="en-IE"/>
              </w:rPr>
              <w:t>Q</w:t>
            </w:r>
            <w:r>
              <w:rPr>
                <w:noProof/>
                <w:color w:val="004300"/>
                <w:sz w:val="18"/>
                <w:szCs w:val="18"/>
                <w:lang w:val="en-IE"/>
              </w:rPr>
              <w:t>2</w:t>
            </w:r>
            <w:r w:rsidRPr="00062C72" w:rsidDel="00361966">
              <w:rPr>
                <w:noProof/>
                <w:color w:val="004300"/>
                <w:sz w:val="18"/>
                <w:szCs w:val="18"/>
                <w:lang w:val="en-IE"/>
              </w:rPr>
              <w:t> </w:t>
            </w:r>
          </w:p>
        </w:tc>
        <w:tc>
          <w:tcPr>
            <w:tcW w:w="847" w:type="dxa"/>
            <w:shd w:val="clear" w:color="auto" w:fill="C6EFCE"/>
          </w:tcPr>
          <w:p w:rsidRPr="00062C72" w:rsidR="00D87E44" w:rsidDel="00361966" w:rsidRDefault="00D87E44" w14:paraId="15457888" w14:textId="77777777">
            <w:pPr>
              <w:spacing w:before="0" w:after="0" w:line="240" w:lineRule="auto"/>
              <w:rPr>
                <w:noProof/>
                <w:color w:val="004300"/>
                <w:sz w:val="18"/>
                <w:szCs w:val="18"/>
                <w:lang w:val="en-IE"/>
              </w:rPr>
            </w:pPr>
            <w:r w:rsidRPr="00062C72" w:rsidDel="00361966">
              <w:rPr>
                <w:noProof/>
                <w:color w:val="004300"/>
                <w:sz w:val="18"/>
                <w:szCs w:val="18"/>
                <w:lang w:val="en-IE"/>
              </w:rPr>
              <w:t>2025 </w:t>
            </w:r>
          </w:p>
        </w:tc>
        <w:tc>
          <w:tcPr>
            <w:tcW w:w="3952" w:type="dxa"/>
            <w:shd w:val="clear" w:color="auto" w:fill="C6EFCE"/>
          </w:tcPr>
          <w:p w:rsidRPr="00FF1320" w:rsidR="00D87E44" w:rsidDel="00361966" w:rsidRDefault="00D87E44" w14:paraId="15457889" w14:textId="77777777">
            <w:pPr>
              <w:spacing w:before="0" w:after="0" w:line="240" w:lineRule="auto"/>
              <w:rPr>
                <w:rFonts w:asciiTheme="minorHAnsi" w:hAnsiTheme="minorHAnsi"/>
                <w:color w:val="004300"/>
                <w:sz w:val="18"/>
                <w:lang w:val="en-IE"/>
              </w:rPr>
            </w:pPr>
            <w:r w:rsidRPr="00F76653">
              <w:rPr>
                <w:noProof/>
                <w:color w:val="004300"/>
                <w:sz w:val="18"/>
                <w:szCs w:val="18"/>
                <w:lang w:val="en-IE"/>
              </w:rPr>
              <w:t>Results of network quality measurements in all 76 districts and Prague are made available online.</w:t>
            </w:r>
            <w:r w:rsidRPr="00F76653">
              <w:rPr>
                <w:rFonts w:asciiTheme="minorHAnsi" w:hAnsiTheme="minorHAnsi" w:eastAsiaTheme="minorEastAsia" w:cstheme="minorBidi"/>
                <w:noProof/>
                <w:color w:val="004300"/>
                <w:sz w:val="18"/>
                <w:szCs w:val="18"/>
                <w:lang w:val="en-IE"/>
              </w:rPr>
              <w:t xml:space="preserve"> </w:t>
            </w:r>
          </w:p>
        </w:tc>
      </w:tr>
      <w:tr w:rsidRPr="00FE48E2" w:rsidR="00E3458A" w14:paraId="154578A4" w14:textId="77777777">
        <w:trPr>
          <w:gridAfter w:val="1"/>
          <w:wAfter w:w="10" w:type="dxa"/>
          <w:trHeight w:val="945"/>
          <w:jc w:val="center"/>
        </w:trPr>
        <w:tc>
          <w:tcPr>
            <w:tcW w:w="704" w:type="dxa"/>
            <w:gridSpan w:val="2"/>
            <w:shd w:val="clear" w:color="auto" w:fill="C6EFCE"/>
          </w:tcPr>
          <w:p w:rsidRPr="00062C72" w:rsidR="00D87E44" w:rsidRDefault="00D87E44" w14:paraId="1545788B" w14:textId="77777777">
            <w:pPr>
              <w:spacing w:before="0" w:after="0" w:line="240" w:lineRule="auto"/>
              <w:rPr>
                <w:noProof/>
                <w:color w:val="004300"/>
                <w:sz w:val="18"/>
                <w:szCs w:val="18"/>
                <w:lang w:val="en-IE"/>
              </w:rPr>
            </w:pPr>
            <w:r w:rsidRPr="00062C72">
              <w:rPr>
                <w:noProof/>
                <w:color w:val="004300"/>
                <w:sz w:val="18"/>
                <w:szCs w:val="18"/>
                <w:lang w:val="en-IE"/>
              </w:rPr>
              <w:t>36 </w:t>
            </w:r>
          </w:p>
        </w:tc>
        <w:tc>
          <w:tcPr>
            <w:tcW w:w="2132" w:type="dxa"/>
            <w:shd w:val="clear" w:color="auto" w:fill="C6EFCE"/>
          </w:tcPr>
          <w:p w:rsidRPr="00062C72" w:rsidR="00D87E44" w:rsidRDefault="00D87E44" w14:paraId="1545788C" w14:textId="77777777">
            <w:pPr>
              <w:spacing w:before="0" w:after="0" w:line="240" w:lineRule="auto"/>
              <w:rPr>
                <w:noProof/>
                <w:color w:val="004300"/>
                <w:sz w:val="18"/>
                <w:szCs w:val="18"/>
                <w:lang w:val="en-IE"/>
              </w:rPr>
            </w:pPr>
            <w:r w:rsidRPr="00062C72">
              <w:rPr>
                <w:noProof/>
                <w:color w:val="004300"/>
                <w:sz w:val="18"/>
                <w:szCs w:val="18"/>
                <w:lang w:val="en-IE"/>
              </w:rPr>
              <w:t>Reform 2: Supporting the development of the 5G ecosystem</w:t>
            </w:r>
          </w:p>
        </w:tc>
        <w:tc>
          <w:tcPr>
            <w:tcW w:w="987" w:type="dxa"/>
            <w:shd w:val="clear" w:color="auto" w:fill="C6EFCE"/>
          </w:tcPr>
          <w:p w:rsidRPr="00062C72" w:rsidR="00D87E44" w:rsidRDefault="00D87E44" w14:paraId="1545788D" w14:textId="77777777">
            <w:pPr>
              <w:spacing w:before="0" w:after="0" w:line="240" w:lineRule="auto"/>
              <w:rPr>
                <w:noProof/>
                <w:color w:val="004300"/>
                <w:sz w:val="18"/>
                <w:szCs w:val="18"/>
                <w:lang w:val="en-IE"/>
              </w:rPr>
            </w:pPr>
            <w:r w:rsidRPr="00062C72">
              <w:rPr>
                <w:noProof/>
                <w:color w:val="004300"/>
                <w:sz w:val="18"/>
                <w:szCs w:val="18"/>
                <w:lang w:val="en-IE"/>
              </w:rPr>
              <w:t>Target </w:t>
            </w:r>
          </w:p>
        </w:tc>
        <w:tc>
          <w:tcPr>
            <w:tcW w:w="1984" w:type="dxa"/>
            <w:shd w:val="clear" w:color="auto" w:fill="C6EFCE"/>
          </w:tcPr>
          <w:p w:rsidRPr="00062C72" w:rsidR="00D87E44" w:rsidRDefault="00D87E44" w14:paraId="1545788E" w14:textId="77777777">
            <w:pPr>
              <w:spacing w:before="0" w:after="0" w:line="240" w:lineRule="auto"/>
              <w:rPr>
                <w:noProof/>
                <w:color w:val="004300"/>
                <w:sz w:val="18"/>
                <w:szCs w:val="18"/>
                <w:lang w:val="en-IE"/>
              </w:rPr>
            </w:pPr>
            <w:r w:rsidRPr="00062C72">
              <w:rPr>
                <w:noProof/>
                <w:color w:val="004300"/>
                <w:sz w:val="18"/>
                <w:szCs w:val="18"/>
                <w:lang w:val="en-IE"/>
              </w:rPr>
              <w:t xml:space="preserve">Publication of studies aimed at improving the deployment of 5G networks by the </w:t>
            </w:r>
            <w:r w:rsidRPr="00062C72">
              <w:rPr>
                <w:noProof/>
                <w:color w:val="004300"/>
                <w:sz w:val="18"/>
                <w:szCs w:val="18"/>
                <w:lang w:val="en-IE"/>
              </w:rPr>
              <w:t>Ministry of Industry and Trade </w:t>
            </w:r>
          </w:p>
        </w:tc>
        <w:tc>
          <w:tcPr>
            <w:tcW w:w="1276" w:type="dxa"/>
            <w:shd w:val="clear" w:color="auto" w:fill="C6EFCE"/>
          </w:tcPr>
          <w:p w:rsidRPr="00062C72" w:rsidR="00D87E44" w:rsidRDefault="00D87E44" w14:paraId="1545788F"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90" w14:textId="77777777">
            <w:pPr>
              <w:spacing w:before="0" w:after="0" w:line="240" w:lineRule="auto"/>
              <w:rPr>
                <w:noProof/>
                <w:color w:val="004300"/>
                <w:sz w:val="18"/>
                <w:szCs w:val="18"/>
                <w:lang w:val="en-IE"/>
              </w:rPr>
            </w:pPr>
            <w:r w:rsidRPr="00062C72">
              <w:rPr>
                <w:noProof/>
                <w:color w:val="004300"/>
                <w:sz w:val="18"/>
                <w:szCs w:val="18"/>
                <w:lang w:val="en-IE"/>
              </w:rPr>
              <w:t>Number </w:t>
            </w:r>
          </w:p>
        </w:tc>
        <w:tc>
          <w:tcPr>
            <w:tcW w:w="992" w:type="dxa"/>
            <w:shd w:val="clear" w:color="auto" w:fill="C6EFCE"/>
          </w:tcPr>
          <w:p w:rsidRPr="00062C72" w:rsidR="00D87E44" w:rsidRDefault="00D87E44" w14:paraId="15457891" w14:textId="77777777">
            <w:pPr>
              <w:spacing w:before="0" w:after="0" w:line="240" w:lineRule="auto"/>
              <w:rPr>
                <w:noProof/>
                <w:color w:val="004300"/>
                <w:sz w:val="18"/>
                <w:szCs w:val="18"/>
                <w:lang w:val="en-IE"/>
              </w:rPr>
            </w:pPr>
            <w:r w:rsidRPr="00062C72">
              <w:rPr>
                <w:noProof/>
                <w:color w:val="004300"/>
                <w:sz w:val="18"/>
                <w:szCs w:val="18"/>
                <w:lang w:val="en-IE"/>
              </w:rPr>
              <w:t>0</w:t>
            </w:r>
          </w:p>
        </w:tc>
        <w:tc>
          <w:tcPr>
            <w:tcW w:w="873" w:type="dxa"/>
            <w:shd w:val="clear" w:color="auto" w:fill="C6EFCE"/>
          </w:tcPr>
          <w:p w:rsidRPr="00062C72" w:rsidR="00D87E44" w:rsidRDefault="00D87E44" w14:paraId="15457892" w14:textId="77777777">
            <w:pPr>
              <w:spacing w:before="0" w:after="0" w:line="240" w:lineRule="auto"/>
              <w:rPr>
                <w:noProof/>
                <w:color w:val="004300"/>
                <w:sz w:val="18"/>
                <w:szCs w:val="18"/>
                <w:lang w:val="en-IE"/>
              </w:rPr>
            </w:pPr>
            <w:r w:rsidRPr="00062C72">
              <w:rPr>
                <w:noProof/>
                <w:color w:val="004300"/>
                <w:sz w:val="18"/>
                <w:szCs w:val="18"/>
                <w:lang w:val="en-IE"/>
              </w:rPr>
              <w:t>25</w:t>
            </w:r>
          </w:p>
        </w:tc>
        <w:tc>
          <w:tcPr>
            <w:tcW w:w="860" w:type="dxa"/>
            <w:shd w:val="clear" w:color="auto" w:fill="C6EFCE"/>
          </w:tcPr>
          <w:p w:rsidRPr="00062C72" w:rsidR="00D87E44" w:rsidRDefault="00D87E44" w14:paraId="15457893" w14:textId="77777777">
            <w:pPr>
              <w:spacing w:before="0" w:after="0" w:line="240" w:lineRule="auto"/>
              <w:rPr>
                <w:noProof/>
                <w:color w:val="004300"/>
                <w:sz w:val="18"/>
                <w:szCs w:val="18"/>
                <w:lang w:val="en-IE"/>
              </w:rPr>
            </w:pPr>
            <w:r w:rsidRPr="00062C72">
              <w:rPr>
                <w:noProof/>
                <w:color w:val="004300"/>
                <w:sz w:val="18"/>
                <w:szCs w:val="18"/>
                <w:lang w:val="en-IE"/>
              </w:rPr>
              <w:t>Q4 </w:t>
            </w:r>
          </w:p>
        </w:tc>
        <w:tc>
          <w:tcPr>
            <w:tcW w:w="847" w:type="dxa"/>
            <w:shd w:val="clear" w:color="auto" w:fill="C6EFCE"/>
          </w:tcPr>
          <w:p w:rsidRPr="00062C72" w:rsidR="00D87E44" w:rsidRDefault="00D87E44" w14:paraId="15457894" w14:textId="77777777">
            <w:pPr>
              <w:spacing w:before="0" w:after="0" w:line="240" w:lineRule="auto"/>
              <w:rPr>
                <w:noProof/>
                <w:color w:val="004300"/>
                <w:sz w:val="18"/>
                <w:szCs w:val="18"/>
                <w:lang w:val="en-IE"/>
              </w:rPr>
            </w:pPr>
            <w:r w:rsidRPr="00062C72">
              <w:rPr>
                <w:noProof/>
                <w:color w:val="004300"/>
                <w:sz w:val="18"/>
                <w:szCs w:val="18"/>
                <w:lang w:val="en-IE"/>
              </w:rPr>
              <w:t>2024 </w:t>
            </w:r>
          </w:p>
        </w:tc>
        <w:tc>
          <w:tcPr>
            <w:tcW w:w="3952" w:type="dxa"/>
            <w:shd w:val="clear" w:color="auto" w:fill="C6EFCE"/>
          </w:tcPr>
          <w:p w:rsidRPr="00062C72" w:rsidR="00D87E44" w:rsidRDefault="00D87E44" w14:paraId="15457895" w14:textId="77777777">
            <w:pPr>
              <w:spacing w:before="0" w:after="0" w:line="240" w:lineRule="auto"/>
              <w:textAlignment w:val="baseline"/>
              <w:rPr>
                <w:noProof/>
                <w:color w:val="004300"/>
                <w:sz w:val="18"/>
                <w:szCs w:val="18"/>
                <w:lang w:val="en-IE"/>
              </w:rPr>
            </w:pPr>
            <w:r w:rsidRPr="00062C72">
              <w:rPr>
                <w:noProof/>
                <w:color w:val="004300"/>
                <w:sz w:val="18"/>
                <w:szCs w:val="18"/>
                <w:lang w:val="en-IE"/>
              </w:rPr>
              <w:t xml:space="preserve">In particular, the studies shall cover  the following issues: </w:t>
            </w:r>
          </w:p>
          <w:p w:rsidRPr="00062C72" w:rsidR="00D87E44" w:rsidP="00D226F4" w:rsidRDefault="00D87E44" w14:paraId="15457896"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 xml:space="preserve">applicability of 5G features and standards in individual sectors and proposals for their technical implementation and </w:t>
            </w:r>
            <w:r w:rsidRPr="00062C72">
              <w:rPr>
                <w:noProof/>
                <w:color w:val="004300"/>
                <w:sz w:val="18"/>
                <w:szCs w:val="18"/>
                <w:lang w:val="en-IE"/>
              </w:rPr>
              <w:t>regulatory measures.</w:t>
            </w:r>
          </w:p>
          <w:p w:rsidRPr="00062C72" w:rsidR="00D87E44" w:rsidP="00D226F4" w:rsidRDefault="00D87E44" w14:paraId="15457897"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concept and usage of the digital twin of 5G network infrastructure.</w:t>
            </w:r>
          </w:p>
          <w:p w:rsidRPr="00062C72" w:rsidR="00D87E44" w:rsidP="00D226F4" w:rsidRDefault="00D87E44" w14:paraId="15457898"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applicability of FeMBMS (Further evolved Multimedia Broadcast Multicast Service) in 5G networks for television broadcasting and audiovisual media services, including a strategy for the future use of the 600 MHz frequency band for television broadcasting.</w:t>
            </w:r>
          </w:p>
          <w:p w:rsidRPr="00062C72" w:rsidR="00D87E44" w:rsidP="00D226F4" w:rsidRDefault="00D87E44" w14:paraId="15457899"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lastRenderedPageBreak/>
              <w:t>use of FRMCS (Future Railway Mobile Communication Systems) for railways with dedicated channels in the 900 MHz and 1900 MHz bands.</w:t>
            </w:r>
          </w:p>
          <w:p w:rsidRPr="00062C72" w:rsidR="00D87E44" w:rsidP="00D226F4" w:rsidRDefault="00D87E44" w14:paraId="1545789A"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possibility of sharing spectrum usable for 5G networks.</w:t>
            </w:r>
          </w:p>
          <w:p w:rsidRPr="00062C72" w:rsidR="00D87E44" w:rsidP="00D226F4" w:rsidRDefault="00D87E44" w14:paraId="1545789B"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use of the 26 GHz frequency band for the 5G network.</w:t>
            </w:r>
          </w:p>
          <w:p w:rsidRPr="00062C72" w:rsidR="00D87E44" w:rsidP="00D226F4" w:rsidRDefault="00D87E44" w14:paraId="1545789C"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possibilities of passive and active infrastructure sharing</w:t>
            </w:r>
          </w:p>
          <w:p w:rsidRPr="00062C72" w:rsidR="00D87E44" w:rsidP="00D226F4" w:rsidRDefault="00D87E44" w14:paraId="1545789D"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use of a 5G network slicing system for public and private 5G networks.</w:t>
            </w:r>
          </w:p>
          <w:p w:rsidRPr="00062C72" w:rsidR="00D87E44" w:rsidP="00D226F4" w:rsidRDefault="00D87E44" w14:paraId="1545789E"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linking Internet of things (IoT) communications with 5G networks.</w:t>
            </w:r>
          </w:p>
          <w:p w:rsidRPr="00062C72" w:rsidR="00D87E44" w:rsidP="00D226F4" w:rsidRDefault="00D87E44" w14:paraId="1545789F"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use of 5G networks for Fixed Wireless Access</w:t>
            </w:r>
          </w:p>
          <w:p w:rsidRPr="00062C72" w:rsidR="00D87E44" w:rsidP="00D226F4" w:rsidRDefault="00D87E44" w14:paraId="154578A0"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impact of Open RAN (Radio Access Network) and Open Core access on the security of 5G networks.</w:t>
            </w:r>
          </w:p>
          <w:p w:rsidRPr="00062C72" w:rsidR="00D87E44" w:rsidP="00D226F4" w:rsidRDefault="00D87E44" w14:paraId="154578A1"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flying communication platforms (drones, UAVs, balloons) and their impact on the regulation of electronic communications.</w:t>
            </w:r>
          </w:p>
          <w:p w:rsidRPr="00062C72" w:rsidR="00D87E44" w:rsidP="00D226F4" w:rsidRDefault="00D87E44" w14:paraId="154578A2"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smart radio environments with application of online measurements of electromagnetic radiation and intelligent reflecting surfaces.</w:t>
            </w:r>
          </w:p>
          <w:p w:rsidRPr="00062C72" w:rsidR="00D87E44" w:rsidP="00D226F4" w:rsidRDefault="00D87E44" w14:paraId="154578A3" w14:textId="77777777">
            <w:pPr>
              <w:numPr>
                <w:ilvl w:val="0"/>
                <w:numId w:val="40"/>
              </w:numPr>
              <w:autoSpaceDE w:val="0"/>
              <w:autoSpaceDN w:val="0"/>
              <w:adjustRightInd w:val="0"/>
              <w:spacing w:before="0" w:after="0" w:line="240" w:lineRule="auto"/>
              <w:rPr>
                <w:noProof/>
                <w:color w:val="004300"/>
                <w:sz w:val="18"/>
                <w:szCs w:val="18"/>
                <w:lang w:val="en-IE"/>
              </w:rPr>
            </w:pPr>
            <w:r w:rsidRPr="00062C72">
              <w:rPr>
                <w:noProof/>
                <w:color w:val="004300"/>
                <w:sz w:val="18"/>
                <w:szCs w:val="18"/>
                <w:lang w:val="en-IE"/>
              </w:rPr>
              <w:t>development of 6G networks in the bands above 100 GHz.</w:t>
            </w:r>
          </w:p>
        </w:tc>
      </w:tr>
      <w:tr w:rsidRPr="00FE48E2" w:rsidR="00E3458A" w14:paraId="154578B0" w14:textId="77777777">
        <w:trPr>
          <w:gridAfter w:val="1"/>
          <w:wAfter w:w="10" w:type="dxa"/>
          <w:trHeight w:val="945"/>
          <w:jc w:val="center"/>
        </w:trPr>
        <w:tc>
          <w:tcPr>
            <w:tcW w:w="704" w:type="dxa"/>
            <w:gridSpan w:val="2"/>
            <w:shd w:val="clear" w:color="auto" w:fill="C6EFCE"/>
          </w:tcPr>
          <w:p w:rsidRPr="00062C72" w:rsidR="00D87E44" w:rsidRDefault="00D87E44" w14:paraId="154578A5" w14:textId="77777777">
            <w:pPr>
              <w:spacing w:before="0" w:after="0" w:line="240" w:lineRule="auto"/>
              <w:rPr>
                <w:noProof/>
                <w:color w:val="004300"/>
                <w:sz w:val="18"/>
                <w:szCs w:val="18"/>
                <w:lang w:val="en-IE"/>
              </w:rPr>
            </w:pPr>
            <w:r w:rsidRPr="00062C72">
              <w:rPr>
                <w:noProof/>
                <w:color w:val="004300"/>
                <w:sz w:val="18"/>
                <w:szCs w:val="18"/>
                <w:lang w:val="en-IE"/>
              </w:rPr>
              <w:lastRenderedPageBreak/>
              <w:t>37 </w:t>
            </w:r>
          </w:p>
        </w:tc>
        <w:tc>
          <w:tcPr>
            <w:tcW w:w="2132" w:type="dxa"/>
            <w:shd w:val="clear" w:color="auto" w:fill="C6EFCE"/>
          </w:tcPr>
          <w:p w:rsidRPr="00062C72" w:rsidR="00D87E44" w:rsidRDefault="00D87E44" w14:paraId="154578A6" w14:textId="77777777">
            <w:pPr>
              <w:spacing w:before="0" w:after="0" w:line="240" w:lineRule="auto"/>
              <w:rPr>
                <w:noProof/>
                <w:color w:val="004300"/>
                <w:sz w:val="18"/>
                <w:szCs w:val="18"/>
                <w:lang w:val="en-IE"/>
              </w:rPr>
            </w:pPr>
            <w:r w:rsidRPr="00062C72">
              <w:rPr>
                <w:noProof/>
                <w:color w:val="004300"/>
                <w:sz w:val="18"/>
                <w:szCs w:val="18"/>
                <w:lang w:val="en-IE"/>
              </w:rPr>
              <w:t xml:space="preserve">Reform 2: Supporting the development of the </w:t>
            </w:r>
            <w:r w:rsidRPr="00062C72">
              <w:rPr>
                <w:noProof/>
                <w:color w:val="004300"/>
                <w:sz w:val="18"/>
                <w:szCs w:val="18"/>
                <w:lang w:val="en-IE"/>
              </w:rPr>
              <w:t>5G ecosystem </w:t>
            </w:r>
          </w:p>
        </w:tc>
        <w:tc>
          <w:tcPr>
            <w:tcW w:w="987" w:type="dxa"/>
            <w:shd w:val="clear" w:color="auto" w:fill="C6EFCE"/>
          </w:tcPr>
          <w:p w:rsidRPr="00062C72" w:rsidR="00D87E44" w:rsidRDefault="00D87E44" w14:paraId="154578A7" w14:textId="77777777">
            <w:pPr>
              <w:spacing w:before="0" w:after="0" w:line="240" w:lineRule="auto"/>
              <w:rPr>
                <w:noProof/>
                <w:color w:val="004300"/>
                <w:sz w:val="18"/>
                <w:szCs w:val="18"/>
                <w:lang w:val="en-IE"/>
              </w:rPr>
            </w:pPr>
            <w:r w:rsidRPr="00062C72">
              <w:rPr>
                <w:noProof/>
                <w:color w:val="004300"/>
                <w:sz w:val="18"/>
                <w:szCs w:val="18"/>
                <w:lang w:val="en-IE"/>
              </w:rPr>
              <w:t>Milestone </w:t>
            </w:r>
          </w:p>
        </w:tc>
        <w:tc>
          <w:tcPr>
            <w:tcW w:w="1984" w:type="dxa"/>
            <w:shd w:val="clear" w:color="auto" w:fill="C6EFCE"/>
          </w:tcPr>
          <w:p w:rsidRPr="00062C72" w:rsidR="00D87E44" w:rsidRDefault="00D87E44" w14:paraId="154578A8" w14:textId="77777777">
            <w:pPr>
              <w:spacing w:before="0" w:after="0" w:line="240" w:lineRule="auto"/>
              <w:rPr>
                <w:noProof/>
                <w:color w:val="004300"/>
                <w:sz w:val="18"/>
                <w:szCs w:val="18"/>
                <w:lang w:val="en-IE"/>
              </w:rPr>
            </w:pPr>
            <w:r w:rsidRPr="00062C72">
              <w:rPr>
                <w:noProof/>
                <w:color w:val="004300"/>
                <w:sz w:val="18"/>
                <w:szCs w:val="18"/>
                <w:lang w:val="en-IE"/>
              </w:rPr>
              <w:t xml:space="preserve">Publication of guidelines on the </w:t>
            </w:r>
            <w:r>
              <w:rPr>
                <w:noProof/>
                <w:color w:val="004300"/>
                <w:sz w:val="18"/>
                <w:szCs w:val="18"/>
                <w:lang w:val="en-IE"/>
              </w:rPr>
              <w:t>roll-out</w:t>
            </w:r>
            <w:r w:rsidRPr="00062C72">
              <w:rPr>
                <w:noProof/>
                <w:color w:val="004300"/>
                <w:sz w:val="18"/>
                <w:szCs w:val="18"/>
                <w:lang w:val="en-IE"/>
              </w:rPr>
              <w:t xml:space="preserve"> of 5G networks </w:t>
            </w:r>
          </w:p>
        </w:tc>
        <w:tc>
          <w:tcPr>
            <w:tcW w:w="1276" w:type="dxa"/>
            <w:shd w:val="clear" w:color="auto" w:fill="C6EFCE"/>
          </w:tcPr>
          <w:p w:rsidRPr="00062C72" w:rsidR="00D87E44" w:rsidRDefault="00D87E44" w14:paraId="154578A9" w14:textId="77777777">
            <w:pPr>
              <w:spacing w:before="0" w:after="0" w:line="240" w:lineRule="auto"/>
              <w:rPr>
                <w:noProof/>
                <w:color w:val="004300"/>
                <w:sz w:val="18"/>
                <w:szCs w:val="18"/>
                <w:lang w:val="en-IE"/>
              </w:rPr>
            </w:pPr>
            <w:r w:rsidRPr="00062C72">
              <w:rPr>
                <w:noProof/>
                <w:color w:val="004300"/>
                <w:sz w:val="18"/>
                <w:szCs w:val="18"/>
                <w:lang w:val="en-IE"/>
              </w:rPr>
              <w:t xml:space="preserve">Publication of the guidelines </w:t>
            </w:r>
          </w:p>
        </w:tc>
        <w:tc>
          <w:tcPr>
            <w:tcW w:w="992" w:type="dxa"/>
            <w:shd w:val="clear" w:color="auto" w:fill="C6EFCE"/>
          </w:tcPr>
          <w:p w:rsidRPr="00062C72" w:rsidR="00D87E44" w:rsidRDefault="00D87E44" w14:paraId="154578AA"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AB"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AC"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AD" w14:textId="77777777">
            <w:pPr>
              <w:spacing w:before="0" w:after="0" w:line="240" w:lineRule="auto"/>
              <w:rPr>
                <w:noProof/>
                <w:color w:val="004300"/>
                <w:sz w:val="18"/>
                <w:szCs w:val="18"/>
                <w:lang w:val="en-IE"/>
              </w:rPr>
            </w:pPr>
            <w:r w:rsidRPr="17B29258">
              <w:rPr>
                <w:noProof/>
                <w:color w:val="004300"/>
                <w:sz w:val="18"/>
                <w:szCs w:val="18"/>
                <w:lang w:val="en-IE"/>
              </w:rPr>
              <w:t>Q</w:t>
            </w:r>
            <w:r>
              <w:rPr>
                <w:noProof/>
                <w:color w:val="004300"/>
                <w:sz w:val="18"/>
                <w:szCs w:val="18"/>
                <w:lang w:val="en-IE"/>
              </w:rPr>
              <w:t>2</w:t>
            </w:r>
            <w:r w:rsidRPr="17B29258">
              <w:rPr>
                <w:noProof/>
                <w:color w:val="004300"/>
                <w:sz w:val="18"/>
                <w:szCs w:val="18"/>
                <w:lang w:val="en-IE"/>
              </w:rPr>
              <w:t> </w:t>
            </w:r>
          </w:p>
        </w:tc>
        <w:tc>
          <w:tcPr>
            <w:tcW w:w="847" w:type="dxa"/>
            <w:shd w:val="clear" w:color="auto" w:fill="C6EFCE"/>
          </w:tcPr>
          <w:p w:rsidRPr="00062C72" w:rsidR="00D87E44" w:rsidRDefault="00D87E44" w14:paraId="154578AE" w14:textId="77777777">
            <w:pPr>
              <w:spacing w:before="0" w:after="0" w:line="240" w:lineRule="auto"/>
              <w:rPr>
                <w:noProof/>
                <w:color w:val="004300"/>
                <w:sz w:val="18"/>
                <w:szCs w:val="18"/>
                <w:lang w:val="en-IE"/>
              </w:rPr>
            </w:pPr>
            <w:r w:rsidRPr="17B29258">
              <w:rPr>
                <w:noProof/>
                <w:color w:val="004300"/>
                <w:sz w:val="18"/>
                <w:szCs w:val="18"/>
                <w:lang w:val="en-IE"/>
              </w:rPr>
              <w:t>2025 </w:t>
            </w:r>
          </w:p>
        </w:tc>
        <w:tc>
          <w:tcPr>
            <w:tcW w:w="3952" w:type="dxa"/>
            <w:shd w:val="clear" w:color="auto" w:fill="C6EFCE"/>
          </w:tcPr>
          <w:p w:rsidRPr="00FF1320" w:rsidR="00D87E44" w:rsidRDefault="00D87E44" w14:paraId="154578AF" w14:textId="77777777">
            <w:pPr>
              <w:spacing w:before="0" w:after="0" w:line="240" w:lineRule="auto"/>
              <w:rPr>
                <w:rFonts w:asciiTheme="minorHAnsi" w:hAnsiTheme="minorHAnsi"/>
                <w:color w:val="004300"/>
                <w:kern w:val="2"/>
                <w:sz w:val="18"/>
                <w:lang w:val="en-IE"/>
              </w:rPr>
            </w:pPr>
            <w:r w:rsidRPr="00DB7775">
              <w:rPr>
                <w:noProof/>
                <w:color w:val="004300"/>
                <w:sz w:val="18"/>
                <w:szCs w:val="18"/>
                <w:lang w:val="en-IE"/>
              </w:rPr>
              <w:t xml:space="preserve">Guidelines </w:t>
            </w:r>
            <w:r>
              <w:rPr>
                <w:noProof/>
                <w:color w:val="004300"/>
                <w:sz w:val="18"/>
                <w:szCs w:val="18"/>
                <w:lang w:val="en-IE"/>
              </w:rPr>
              <w:t xml:space="preserve">on roll-out of 5G networks shall be published. </w:t>
            </w:r>
          </w:p>
        </w:tc>
      </w:tr>
      <w:tr w:rsidRPr="00FE48E2" w:rsidR="00E3458A" w14:paraId="154578BC" w14:textId="77777777">
        <w:trPr>
          <w:gridAfter w:val="1"/>
          <w:wAfter w:w="10" w:type="dxa"/>
          <w:trHeight w:val="945"/>
          <w:jc w:val="center"/>
        </w:trPr>
        <w:tc>
          <w:tcPr>
            <w:tcW w:w="704" w:type="dxa"/>
            <w:gridSpan w:val="2"/>
            <w:shd w:val="clear" w:color="auto" w:fill="C6EFCE"/>
          </w:tcPr>
          <w:p w:rsidRPr="00062C72" w:rsidR="00D87E44" w:rsidRDefault="00D87E44" w14:paraId="154578B1" w14:textId="77777777">
            <w:pPr>
              <w:spacing w:before="0" w:after="0" w:line="240" w:lineRule="auto"/>
              <w:rPr>
                <w:noProof/>
                <w:color w:val="004300"/>
                <w:sz w:val="18"/>
                <w:szCs w:val="18"/>
                <w:lang w:val="en-IE"/>
              </w:rPr>
            </w:pPr>
            <w:r w:rsidRPr="00062C72">
              <w:rPr>
                <w:noProof/>
                <w:color w:val="004300"/>
                <w:sz w:val="18"/>
                <w:szCs w:val="18"/>
                <w:lang w:val="en-IE"/>
              </w:rPr>
              <w:t>38 </w:t>
            </w:r>
          </w:p>
        </w:tc>
        <w:tc>
          <w:tcPr>
            <w:tcW w:w="2132" w:type="dxa"/>
            <w:shd w:val="clear" w:color="auto" w:fill="C6EFCE"/>
          </w:tcPr>
          <w:p w:rsidRPr="00062C72" w:rsidR="00D87E44" w:rsidRDefault="00D87E44" w14:paraId="154578B2" w14:textId="77777777">
            <w:pPr>
              <w:spacing w:before="0" w:after="0" w:line="240" w:lineRule="auto"/>
              <w:rPr>
                <w:noProof/>
                <w:color w:val="004300"/>
                <w:sz w:val="18"/>
                <w:szCs w:val="18"/>
                <w:lang w:val="en-IE"/>
              </w:rPr>
            </w:pPr>
            <w:r w:rsidRPr="00062C72">
              <w:rPr>
                <w:noProof/>
                <w:color w:val="004300"/>
                <w:sz w:val="18"/>
                <w:szCs w:val="18"/>
                <w:lang w:val="en-IE"/>
              </w:rPr>
              <w:t xml:space="preserve">Investment 1: </w:t>
            </w:r>
            <w:r w:rsidRPr="00062C72">
              <w:rPr>
                <w:noProof/>
                <w:color w:val="004300"/>
                <w:sz w:val="18"/>
                <w:szCs w:val="18"/>
                <w:lang w:val="en-IE"/>
              </w:rPr>
              <w:t>Building high-capacity connection </w:t>
            </w:r>
          </w:p>
        </w:tc>
        <w:tc>
          <w:tcPr>
            <w:tcW w:w="987" w:type="dxa"/>
            <w:shd w:val="clear" w:color="auto" w:fill="C6EFCE"/>
          </w:tcPr>
          <w:p w:rsidRPr="00062C72" w:rsidR="00D87E44" w:rsidRDefault="00D87E44" w14:paraId="154578B3" w14:textId="77777777">
            <w:pPr>
              <w:spacing w:before="0" w:after="0" w:line="240" w:lineRule="auto"/>
              <w:rPr>
                <w:noProof/>
                <w:color w:val="004300"/>
                <w:sz w:val="18"/>
                <w:szCs w:val="18"/>
                <w:lang w:val="en-IE"/>
              </w:rPr>
            </w:pPr>
            <w:r w:rsidRPr="00062C72">
              <w:rPr>
                <w:noProof/>
                <w:color w:val="004300"/>
                <w:sz w:val="18"/>
                <w:szCs w:val="18"/>
                <w:lang w:val="en-IE"/>
              </w:rPr>
              <w:t>Milestone </w:t>
            </w:r>
          </w:p>
        </w:tc>
        <w:tc>
          <w:tcPr>
            <w:tcW w:w="1984" w:type="dxa"/>
            <w:shd w:val="clear" w:color="auto" w:fill="C6EFCE"/>
          </w:tcPr>
          <w:p w:rsidRPr="00062C72" w:rsidR="00D87E44" w:rsidRDefault="00D87E44" w14:paraId="154578B4" w14:textId="77777777">
            <w:pPr>
              <w:spacing w:before="0" w:after="0" w:line="240" w:lineRule="auto"/>
              <w:rPr>
                <w:noProof/>
                <w:color w:val="004300"/>
                <w:sz w:val="18"/>
                <w:szCs w:val="18"/>
                <w:lang w:val="en-IE"/>
              </w:rPr>
            </w:pPr>
            <w:r w:rsidRPr="00062C72">
              <w:rPr>
                <w:noProof/>
                <w:color w:val="004300"/>
                <w:sz w:val="18"/>
                <w:szCs w:val="18"/>
                <w:lang w:val="en-IE"/>
              </w:rPr>
              <w:t xml:space="preserve">Award of grant decisions for connecting address points with the very high-capacity network (VHCN) </w:t>
            </w:r>
            <w:r w:rsidRPr="00062C72">
              <w:rPr>
                <w:noProof/>
                <w:color w:val="004300"/>
                <w:sz w:val="18"/>
                <w:szCs w:val="18"/>
                <w:lang w:val="en-IE"/>
              </w:rPr>
              <w:lastRenderedPageBreak/>
              <w:t>by the Ministry of Industry and Trade </w:t>
            </w:r>
          </w:p>
        </w:tc>
        <w:tc>
          <w:tcPr>
            <w:tcW w:w="1276" w:type="dxa"/>
            <w:shd w:val="clear" w:color="auto" w:fill="C6EFCE"/>
          </w:tcPr>
          <w:p w:rsidRPr="00062C72" w:rsidR="00D87E44" w:rsidRDefault="00D87E44" w14:paraId="154578B5" w14:textId="77777777">
            <w:pPr>
              <w:spacing w:before="0" w:after="0" w:line="240" w:lineRule="auto"/>
              <w:rPr>
                <w:noProof/>
                <w:color w:val="004300"/>
                <w:sz w:val="18"/>
                <w:szCs w:val="18"/>
                <w:lang w:val="en-IE"/>
              </w:rPr>
            </w:pPr>
            <w:r w:rsidRPr="00062C72">
              <w:rPr>
                <w:noProof/>
                <w:color w:val="004300"/>
                <w:sz w:val="18"/>
                <w:szCs w:val="18"/>
                <w:lang w:val="en-IE"/>
              </w:rPr>
              <w:lastRenderedPageBreak/>
              <w:t xml:space="preserve">Notification of the award of grant decisions for connecting address points </w:t>
            </w:r>
            <w:r w:rsidRPr="00062C72">
              <w:rPr>
                <w:noProof/>
                <w:color w:val="004300"/>
                <w:sz w:val="18"/>
                <w:szCs w:val="18"/>
                <w:lang w:val="en-IE"/>
              </w:rPr>
              <w:lastRenderedPageBreak/>
              <w:t>with the very high-capacity network (VHCN) by the Ministry of Industry and Trade </w:t>
            </w:r>
          </w:p>
        </w:tc>
        <w:tc>
          <w:tcPr>
            <w:tcW w:w="992" w:type="dxa"/>
            <w:shd w:val="clear" w:color="auto" w:fill="C6EFCE"/>
          </w:tcPr>
          <w:p w:rsidRPr="00062C72" w:rsidR="00D87E44" w:rsidRDefault="00D87E44" w14:paraId="154578B6"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B7"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B8"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B9" w14:textId="77777777">
            <w:pPr>
              <w:spacing w:before="0" w:after="0" w:line="240" w:lineRule="auto"/>
              <w:rPr>
                <w:noProof/>
                <w:color w:val="004300"/>
                <w:sz w:val="18"/>
                <w:szCs w:val="18"/>
                <w:lang w:val="en-IE"/>
              </w:rPr>
            </w:pPr>
            <w:r w:rsidRPr="00062C72">
              <w:rPr>
                <w:noProof/>
                <w:color w:val="004300"/>
                <w:sz w:val="18"/>
                <w:szCs w:val="18"/>
                <w:lang w:val="en-IE"/>
              </w:rPr>
              <w:t>Q4 </w:t>
            </w:r>
          </w:p>
        </w:tc>
        <w:tc>
          <w:tcPr>
            <w:tcW w:w="847" w:type="dxa"/>
            <w:shd w:val="clear" w:color="auto" w:fill="C6EFCE"/>
          </w:tcPr>
          <w:p w:rsidRPr="00062C72" w:rsidR="00D87E44" w:rsidRDefault="00D87E44" w14:paraId="154578BA" w14:textId="77777777">
            <w:pPr>
              <w:spacing w:before="0" w:after="0" w:line="240" w:lineRule="auto"/>
              <w:rPr>
                <w:noProof/>
                <w:color w:val="004300"/>
                <w:sz w:val="18"/>
                <w:szCs w:val="18"/>
                <w:lang w:val="en-IE"/>
              </w:rPr>
            </w:pPr>
            <w:r w:rsidRPr="00062C72">
              <w:rPr>
                <w:noProof/>
                <w:color w:val="004300"/>
                <w:sz w:val="18"/>
                <w:szCs w:val="18"/>
                <w:lang w:val="en-IE"/>
              </w:rPr>
              <w:t>2024 </w:t>
            </w:r>
          </w:p>
        </w:tc>
        <w:tc>
          <w:tcPr>
            <w:tcW w:w="3952" w:type="dxa"/>
            <w:shd w:val="clear" w:color="auto" w:fill="C6EFCE"/>
          </w:tcPr>
          <w:p w:rsidRPr="00062C72" w:rsidR="00D87E44" w:rsidRDefault="00D87E44" w14:paraId="154578BB" w14:textId="77777777">
            <w:pPr>
              <w:spacing w:before="0" w:after="0" w:line="240" w:lineRule="auto"/>
              <w:rPr>
                <w:noProof/>
                <w:color w:val="004300"/>
                <w:sz w:val="18"/>
                <w:szCs w:val="18"/>
                <w:lang w:val="en-IE"/>
              </w:rPr>
            </w:pPr>
            <w:r w:rsidRPr="00062C72">
              <w:rPr>
                <w:noProof/>
                <w:color w:val="004300"/>
                <w:sz w:val="18"/>
                <w:szCs w:val="18"/>
                <w:lang w:val="en-IE"/>
              </w:rPr>
              <w:t xml:space="preserve">Notification of the award of grant decisions for connecting address points with the very high-capacity network (VHCN). The calls shall include a definition of eligible expenditure, evaluation models and criteria for the selection and evaluation of projects, rules for </w:t>
            </w:r>
            <w:r w:rsidRPr="00062C72">
              <w:rPr>
                <w:noProof/>
                <w:color w:val="004300"/>
                <w:sz w:val="18"/>
                <w:szCs w:val="18"/>
                <w:lang w:val="en-IE"/>
              </w:rPr>
              <w:lastRenderedPageBreak/>
              <w:t xml:space="preserve">applicants and beneficiaries, and guidelines on wholesale offers. </w:t>
            </w:r>
          </w:p>
        </w:tc>
      </w:tr>
      <w:tr w:rsidRPr="00FE48E2" w:rsidR="00E3458A" w14:paraId="154578C8" w14:textId="77777777">
        <w:trPr>
          <w:gridAfter w:val="1"/>
          <w:wAfter w:w="10" w:type="dxa"/>
          <w:trHeight w:val="945"/>
          <w:jc w:val="center"/>
        </w:trPr>
        <w:tc>
          <w:tcPr>
            <w:tcW w:w="704" w:type="dxa"/>
            <w:gridSpan w:val="2"/>
            <w:shd w:val="clear" w:color="auto" w:fill="C6EFCE"/>
          </w:tcPr>
          <w:p w:rsidRPr="00062C72" w:rsidR="00D87E44" w:rsidRDefault="00D87E44" w14:paraId="154578BD" w14:textId="77777777">
            <w:pPr>
              <w:spacing w:before="0" w:after="0" w:line="240" w:lineRule="auto"/>
              <w:rPr>
                <w:noProof/>
                <w:color w:val="004300"/>
                <w:sz w:val="18"/>
                <w:szCs w:val="18"/>
                <w:lang w:val="en-IE"/>
              </w:rPr>
            </w:pPr>
            <w:r w:rsidRPr="00062C72">
              <w:rPr>
                <w:noProof/>
                <w:color w:val="004300"/>
                <w:sz w:val="18"/>
                <w:szCs w:val="18"/>
                <w:lang w:val="en-IE"/>
              </w:rPr>
              <w:lastRenderedPageBreak/>
              <w:t>39 </w:t>
            </w:r>
          </w:p>
        </w:tc>
        <w:tc>
          <w:tcPr>
            <w:tcW w:w="2132" w:type="dxa"/>
            <w:shd w:val="clear" w:color="auto" w:fill="C6EFCE"/>
          </w:tcPr>
          <w:p w:rsidRPr="00062C72" w:rsidR="00D87E44" w:rsidRDefault="00D87E44" w14:paraId="154578BE" w14:textId="77777777">
            <w:pPr>
              <w:spacing w:before="0" w:after="0" w:line="240" w:lineRule="auto"/>
              <w:rPr>
                <w:noProof/>
                <w:color w:val="004300"/>
                <w:sz w:val="18"/>
                <w:szCs w:val="18"/>
                <w:lang w:val="en-IE"/>
              </w:rPr>
            </w:pPr>
            <w:r w:rsidRPr="00062C72">
              <w:rPr>
                <w:noProof/>
                <w:color w:val="004300"/>
                <w:sz w:val="18"/>
                <w:szCs w:val="18"/>
                <w:lang w:val="en-IE"/>
              </w:rPr>
              <w:t>Investment 1: Building high-capacity connection </w:t>
            </w:r>
          </w:p>
        </w:tc>
        <w:tc>
          <w:tcPr>
            <w:tcW w:w="987" w:type="dxa"/>
            <w:shd w:val="clear" w:color="auto" w:fill="C6EFCE"/>
          </w:tcPr>
          <w:p w:rsidRPr="00062C72" w:rsidR="00D87E44" w:rsidRDefault="00D87E44" w14:paraId="154578BF" w14:textId="77777777">
            <w:pPr>
              <w:spacing w:before="0" w:after="0" w:line="240" w:lineRule="auto"/>
              <w:rPr>
                <w:noProof/>
                <w:color w:val="004300"/>
                <w:sz w:val="18"/>
                <w:szCs w:val="18"/>
                <w:lang w:val="en-IE"/>
              </w:rPr>
            </w:pPr>
            <w:r>
              <w:rPr>
                <w:noProof/>
                <w:color w:val="004300"/>
                <w:sz w:val="18"/>
                <w:szCs w:val="18"/>
                <w:lang w:val="en-IE"/>
              </w:rPr>
              <w:t>Milestone</w:t>
            </w:r>
            <w:r w:rsidRPr="00062C72">
              <w:rPr>
                <w:noProof/>
                <w:color w:val="004300"/>
                <w:sz w:val="18"/>
                <w:szCs w:val="18"/>
                <w:lang w:val="en-IE"/>
              </w:rPr>
              <w:t> </w:t>
            </w:r>
          </w:p>
        </w:tc>
        <w:tc>
          <w:tcPr>
            <w:tcW w:w="1984" w:type="dxa"/>
            <w:shd w:val="clear" w:color="auto" w:fill="C6EFCE"/>
          </w:tcPr>
          <w:p w:rsidRPr="00062C72" w:rsidR="00D87E44" w:rsidRDefault="00D87E44" w14:paraId="154578C0" w14:textId="77777777">
            <w:pPr>
              <w:spacing w:before="0" w:after="0" w:line="240" w:lineRule="auto"/>
              <w:rPr>
                <w:noProof/>
                <w:color w:val="004300"/>
                <w:sz w:val="18"/>
                <w:szCs w:val="18"/>
                <w:lang w:val="en-IE"/>
              </w:rPr>
            </w:pPr>
            <w:r>
              <w:rPr>
                <w:noProof/>
                <w:color w:val="004300"/>
                <w:sz w:val="18"/>
                <w:szCs w:val="18"/>
                <w:lang w:val="en-IE"/>
              </w:rPr>
              <w:t>Connection of basic settlement units with</w:t>
            </w:r>
            <w:r w:rsidRPr="00062C72">
              <w:rPr>
                <w:noProof/>
                <w:color w:val="004300"/>
                <w:sz w:val="18"/>
                <w:szCs w:val="18"/>
                <w:lang w:val="en-IE"/>
              </w:rPr>
              <w:t xml:space="preserve"> very high-capacity network </w:t>
            </w:r>
          </w:p>
        </w:tc>
        <w:tc>
          <w:tcPr>
            <w:tcW w:w="1276" w:type="dxa"/>
            <w:shd w:val="clear" w:color="auto" w:fill="C6EFCE"/>
          </w:tcPr>
          <w:p w:rsidRPr="00062C72" w:rsidR="00D87E44" w:rsidRDefault="00D87E44" w14:paraId="154578C1" w14:textId="77777777">
            <w:pPr>
              <w:spacing w:before="0" w:after="0" w:line="240" w:lineRule="auto"/>
              <w:rPr>
                <w:noProof/>
                <w:color w:val="004300"/>
                <w:sz w:val="18"/>
                <w:szCs w:val="18"/>
                <w:lang w:val="en-IE"/>
              </w:rPr>
            </w:pPr>
            <w:r>
              <w:rPr>
                <w:noProof/>
                <w:color w:val="004300"/>
                <w:sz w:val="18"/>
                <w:szCs w:val="18"/>
                <w:lang w:val="en-IE"/>
              </w:rPr>
              <w:t>connection of basic settlement units</w:t>
            </w:r>
            <w:r w:rsidRPr="33113CF1">
              <w:rPr>
                <w:noProof/>
                <w:color w:val="004300"/>
                <w:sz w:val="18"/>
                <w:szCs w:val="18"/>
                <w:lang w:val="en-IE"/>
              </w:rPr>
              <w:t xml:space="preserve"> </w:t>
            </w:r>
          </w:p>
        </w:tc>
        <w:tc>
          <w:tcPr>
            <w:tcW w:w="992" w:type="dxa"/>
            <w:shd w:val="clear" w:color="auto" w:fill="C6EFCE"/>
          </w:tcPr>
          <w:p w:rsidRPr="00062C72" w:rsidR="00D87E44" w:rsidRDefault="00D87E44" w14:paraId="154578C2"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C3"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C4"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C5" w14:textId="77777777">
            <w:pPr>
              <w:spacing w:before="0" w:after="0" w:line="240" w:lineRule="auto"/>
              <w:rPr>
                <w:noProof/>
                <w:color w:val="004300"/>
                <w:sz w:val="18"/>
                <w:szCs w:val="18"/>
                <w:lang w:val="en-IE"/>
              </w:rPr>
            </w:pPr>
            <w:r w:rsidRPr="00062C72">
              <w:rPr>
                <w:noProof/>
                <w:color w:val="004300"/>
                <w:sz w:val="18"/>
                <w:szCs w:val="18"/>
                <w:lang w:val="en-IE"/>
              </w:rPr>
              <w:t>Q1 </w:t>
            </w:r>
          </w:p>
        </w:tc>
        <w:tc>
          <w:tcPr>
            <w:tcW w:w="847" w:type="dxa"/>
            <w:shd w:val="clear" w:color="auto" w:fill="C6EFCE"/>
          </w:tcPr>
          <w:p w:rsidRPr="00062C72" w:rsidR="00D87E44" w:rsidRDefault="00D87E44" w14:paraId="154578C6" w14:textId="77777777">
            <w:pPr>
              <w:spacing w:before="0" w:after="0" w:line="240" w:lineRule="auto"/>
              <w:rPr>
                <w:noProof/>
                <w:color w:val="004300"/>
                <w:sz w:val="18"/>
                <w:szCs w:val="18"/>
                <w:lang w:val="en-IE"/>
              </w:rPr>
            </w:pPr>
            <w:r w:rsidRPr="17B29258">
              <w:rPr>
                <w:noProof/>
                <w:color w:val="004300"/>
                <w:sz w:val="18"/>
                <w:szCs w:val="18"/>
                <w:lang w:val="en-IE"/>
              </w:rPr>
              <w:t>2026 </w:t>
            </w:r>
          </w:p>
        </w:tc>
        <w:tc>
          <w:tcPr>
            <w:tcW w:w="3952" w:type="dxa"/>
            <w:shd w:val="clear" w:color="auto" w:fill="C6EFCE"/>
          </w:tcPr>
          <w:p w:rsidRPr="00FF1320" w:rsidR="00D87E44" w:rsidRDefault="00D87E44" w14:paraId="154578C7" w14:textId="77777777">
            <w:pPr>
              <w:spacing w:before="0" w:after="0" w:line="240" w:lineRule="auto"/>
              <w:rPr>
                <w:rFonts w:ascii="Arial" w:hAnsi="Arial"/>
                <w:color w:val="303030"/>
                <w:sz w:val="25"/>
                <w:lang w:val="en-IE"/>
              </w:rPr>
            </w:pPr>
            <w:r w:rsidRPr="008C7FAF">
              <w:rPr>
                <w:noProof/>
                <w:color w:val="004300"/>
                <w:sz w:val="18"/>
                <w:szCs w:val="18"/>
                <w:lang w:val="en-IE"/>
              </w:rPr>
              <w:t>23</w:t>
            </w:r>
            <w:r>
              <w:rPr>
                <w:noProof/>
                <w:color w:val="004300"/>
                <w:sz w:val="18"/>
                <w:szCs w:val="18"/>
                <w:lang w:val="en-IE"/>
              </w:rPr>
              <w:t>0 basic settlement units shall be connected to very high capacity networks</w:t>
            </w:r>
            <w:r w:rsidRPr="788CACB6">
              <w:rPr>
                <w:noProof/>
                <w:color w:val="004300"/>
                <w:sz w:val="18"/>
                <w:szCs w:val="18"/>
                <w:lang w:val="en-IE"/>
              </w:rPr>
              <w:t>.</w:t>
            </w:r>
          </w:p>
        </w:tc>
      </w:tr>
      <w:tr w:rsidRPr="00FE48E2" w:rsidR="00E3458A" w14:paraId="154578D7" w14:textId="77777777">
        <w:trPr>
          <w:gridBefore w:val="1"/>
          <w:trHeight w:val="945"/>
          <w:jc w:val="center"/>
        </w:trPr>
        <w:tc>
          <w:tcPr>
            <w:tcW w:w="704" w:type="dxa"/>
            <w:shd w:val="clear" w:color="auto" w:fill="C6EFCE"/>
          </w:tcPr>
          <w:p w:rsidRPr="00062C72" w:rsidR="00D87E44" w:rsidRDefault="00D87E44" w14:paraId="154578C9" w14:textId="77777777">
            <w:pPr>
              <w:spacing w:before="0" w:after="0" w:line="240" w:lineRule="auto"/>
              <w:rPr>
                <w:noProof/>
                <w:color w:val="004300"/>
                <w:sz w:val="18"/>
                <w:szCs w:val="18"/>
                <w:lang w:val="en-IE"/>
              </w:rPr>
            </w:pPr>
            <w:r w:rsidRPr="00062C72">
              <w:rPr>
                <w:noProof/>
                <w:color w:val="004300"/>
                <w:sz w:val="18"/>
                <w:szCs w:val="18"/>
                <w:lang w:val="en-IE"/>
              </w:rPr>
              <w:t>40</w:t>
            </w:r>
          </w:p>
        </w:tc>
        <w:tc>
          <w:tcPr>
            <w:tcW w:w="2132" w:type="dxa"/>
            <w:shd w:val="clear" w:color="auto" w:fill="C6EFCE"/>
          </w:tcPr>
          <w:p w:rsidRPr="00134AA5" w:rsidR="00D87E44" w:rsidRDefault="00D87E44" w14:paraId="154578CA" w14:textId="77777777">
            <w:pPr>
              <w:spacing w:before="0" w:after="0" w:line="240" w:lineRule="auto"/>
              <w:rPr>
                <w:noProof/>
                <w:color w:val="004300"/>
                <w:sz w:val="18"/>
                <w:szCs w:val="18"/>
                <w:lang w:val="en-IE"/>
              </w:rPr>
            </w:pPr>
            <w:r w:rsidRPr="00134AA5">
              <w:rPr>
                <w:noProof/>
                <w:color w:val="004300"/>
                <w:sz w:val="18"/>
                <w:szCs w:val="18"/>
                <w:lang w:val="en-IE"/>
              </w:rPr>
              <w:t>Investment 2: Covering 5G corridors and promoting the development of 5G </w:t>
            </w:r>
          </w:p>
        </w:tc>
        <w:tc>
          <w:tcPr>
            <w:tcW w:w="987" w:type="dxa"/>
            <w:shd w:val="clear" w:color="auto" w:fill="C6EFCE"/>
          </w:tcPr>
          <w:p w:rsidRPr="00134AA5" w:rsidR="00D87E44" w:rsidRDefault="00D87E44" w14:paraId="154578CB" w14:textId="77777777">
            <w:pPr>
              <w:spacing w:before="0" w:after="0" w:line="240" w:lineRule="auto"/>
              <w:rPr>
                <w:noProof/>
                <w:color w:val="004300"/>
                <w:sz w:val="18"/>
                <w:szCs w:val="18"/>
                <w:lang w:val="en-IE"/>
              </w:rPr>
            </w:pPr>
            <w:r w:rsidRPr="00134AA5">
              <w:rPr>
                <w:noProof/>
                <w:color w:val="004300"/>
                <w:sz w:val="18"/>
                <w:szCs w:val="18"/>
                <w:lang w:val="en-IE"/>
              </w:rPr>
              <w:t>Milestone </w:t>
            </w:r>
          </w:p>
        </w:tc>
        <w:tc>
          <w:tcPr>
            <w:tcW w:w="1984" w:type="dxa"/>
            <w:shd w:val="clear" w:color="auto" w:fill="C6EFCE"/>
          </w:tcPr>
          <w:p w:rsidRPr="00134AA5" w:rsidR="00D87E44" w:rsidRDefault="00D87E44" w14:paraId="154578CC" w14:textId="77777777">
            <w:pPr>
              <w:spacing w:before="0" w:after="0" w:line="240" w:lineRule="auto"/>
              <w:rPr>
                <w:noProof/>
                <w:color w:val="004300"/>
                <w:sz w:val="18"/>
                <w:szCs w:val="18"/>
                <w:lang w:val="en-IE"/>
              </w:rPr>
            </w:pPr>
            <w:r w:rsidRPr="00134AA5">
              <w:rPr>
                <w:noProof/>
                <w:color w:val="004300"/>
                <w:sz w:val="18"/>
                <w:szCs w:val="18"/>
                <w:lang w:val="en-IE"/>
              </w:rPr>
              <w:t xml:space="preserve">5G </w:t>
            </w:r>
            <w:r>
              <w:rPr>
                <w:noProof/>
                <w:color w:val="004300"/>
                <w:sz w:val="18"/>
                <w:szCs w:val="18"/>
                <w:lang w:val="en-IE"/>
              </w:rPr>
              <w:t>technologies for railways</w:t>
            </w:r>
          </w:p>
        </w:tc>
        <w:tc>
          <w:tcPr>
            <w:tcW w:w="1276" w:type="dxa"/>
            <w:shd w:val="clear" w:color="auto" w:fill="C6EFCE"/>
          </w:tcPr>
          <w:p w:rsidRPr="00134AA5" w:rsidR="00D87E44" w:rsidRDefault="00D87E44" w14:paraId="154578CD" w14:textId="77777777">
            <w:pPr>
              <w:spacing w:before="0" w:after="0" w:line="240" w:lineRule="auto"/>
              <w:rPr>
                <w:noProof/>
                <w:color w:val="004300"/>
                <w:sz w:val="18"/>
                <w:szCs w:val="18"/>
                <w:lang w:val="en-IE"/>
              </w:rPr>
            </w:pPr>
            <w:r>
              <w:rPr>
                <w:noProof/>
                <w:color w:val="004300"/>
                <w:sz w:val="18"/>
                <w:szCs w:val="18"/>
                <w:lang w:val="en-IE"/>
              </w:rPr>
              <w:t>BTS construction, coverage of wagons, installation of C-ITS</w:t>
            </w:r>
          </w:p>
        </w:tc>
        <w:tc>
          <w:tcPr>
            <w:tcW w:w="992" w:type="dxa"/>
            <w:shd w:val="clear" w:color="auto" w:fill="C6EFCE"/>
          </w:tcPr>
          <w:p w:rsidRPr="00134AA5" w:rsidR="00D87E44" w:rsidRDefault="00D87E44" w14:paraId="154578CE" w14:textId="77777777">
            <w:pPr>
              <w:spacing w:before="0" w:after="0" w:line="240" w:lineRule="auto"/>
              <w:rPr>
                <w:noProof/>
                <w:color w:val="004300"/>
                <w:sz w:val="18"/>
                <w:szCs w:val="18"/>
                <w:lang w:val="en-IE"/>
              </w:rPr>
            </w:pPr>
            <w:r w:rsidRPr="00134AA5">
              <w:rPr>
                <w:noProof/>
                <w:color w:val="004300"/>
                <w:sz w:val="18"/>
                <w:szCs w:val="18"/>
                <w:lang w:val="en-IE"/>
              </w:rPr>
              <w:t> </w:t>
            </w:r>
          </w:p>
        </w:tc>
        <w:tc>
          <w:tcPr>
            <w:tcW w:w="992" w:type="dxa"/>
            <w:shd w:val="clear" w:color="auto" w:fill="C6EFCE"/>
          </w:tcPr>
          <w:p w:rsidRPr="00134AA5" w:rsidR="00D87E44" w:rsidRDefault="00D87E44" w14:paraId="154578CF" w14:textId="77777777">
            <w:pPr>
              <w:spacing w:before="0" w:after="0" w:line="240" w:lineRule="auto"/>
              <w:rPr>
                <w:noProof/>
                <w:color w:val="004300"/>
                <w:sz w:val="18"/>
                <w:szCs w:val="18"/>
                <w:lang w:val="en-IE"/>
              </w:rPr>
            </w:pPr>
          </w:p>
        </w:tc>
        <w:tc>
          <w:tcPr>
            <w:tcW w:w="873" w:type="dxa"/>
            <w:shd w:val="clear" w:color="auto" w:fill="C6EFCE"/>
          </w:tcPr>
          <w:p w:rsidRPr="00134AA5" w:rsidR="00D87E44" w:rsidRDefault="00D87E44" w14:paraId="154578D0" w14:textId="77777777">
            <w:pPr>
              <w:spacing w:before="0" w:after="0" w:line="240" w:lineRule="auto"/>
              <w:rPr>
                <w:noProof/>
                <w:color w:val="004300"/>
                <w:sz w:val="18"/>
                <w:szCs w:val="18"/>
                <w:lang w:val="en-IE"/>
              </w:rPr>
            </w:pPr>
          </w:p>
        </w:tc>
        <w:tc>
          <w:tcPr>
            <w:tcW w:w="860" w:type="dxa"/>
            <w:shd w:val="clear" w:color="auto" w:fill="C6EFCE"/>
          </w:tcPr>
          <w:p w:rsidRPr="00134AA5" w:rsidR="00D87E44" w:rsidRDefault="00D87E44" w14:paraId="154578D1" w14:textId="77777777">
            <w:pPr>
              <w:spacing w:before="0" w:after="0" w:line="240" w:lineRule="auto"/>
              <w:rPr>
                <w:noProof/>
                <w:color w:val="004300"/>
                <w:sz w:val="18"/>
                <w:szCs w:val="18"/>
                <w:lang w:val="en-IE"/>
              </w:rPr>
            </w:pPr>
            <w:r w:rsidRPr="00134AA5">
              <w:rPr>
                <w:noProof/>
                <w:color w:val="004300"/>
                <w:sz w:val="18"/>
                <w:szCs w:val="18"/>
                <w:lang w:val="en-IE"/>
              </w:rPr>
              <w:t>Q2 </w:t>
            </w:r>
          </w:p>
        </w:tc>
        <w:tc>
          <w:tcPr>
            <w:tcW w:w="847" w:type="dxa"/>
            <w:shd w:val="clear" w:color="auto" w:fill="C6EFCE"/>
          </w:tcPr>
          <w:p w:rsidRPr="00134AA5" w:rsidR="00D87E44" w:rsidRDefault="00D87E44" w14:paraId="154578D2" w14:textId="77777777">
            <w:pPr>
              <w:spacing w:before="0" w:after="0" w:line="240" w:lineRule="auto"/>
              <w:rPr>
                <w:noProof/>
                <w:color w:val="004300"/>
                <w:sz w:val="18"/>
                <w:szCs w:val="18"/>
                <w:lang w:val="en-IE"/>
              </w:rPr>
            </w:pPr>
            <w:r w:rsidRPr="00134AA5">
              <w:rPr>
                <w:noProof/>
                <w:color w:val="004300"/>
                <w:sz w:val="18"/>
                <w:szCs w:val="18"/>
                <w:lang w:val="en-IE"/>
              </w:rPr>
              <w:t>2026 </w:t>
            </w:r>
          </w:p>
        </w:tc>
        <w:tc>
          <w:tcPr>
            <w:tcW w:w="3952" w:type="dxa"/>
            <w:gridSpan w:val="2"/>
            <w:shd w:val="clear" w:color="auto" w:fill="C6EFCE"/>
          </w:tcPr>
          <w:p w:rsidRPr="00134AA5" w:rsidR="00D87E44" w:rsidRDefault="00D87E44" w14:paraId="154578D3" w14:textId="77777777">
            <w:pPr>
              <w:spacing w:before="0" w:after="0" w:line="240" w:lineRule="auto"/>
              <w:rPr>
                <w:noProof/>
                <w:color w:val="004300"/>
                <w:sz w:val="18"/>
                <w:szCs w:val="18"/>
                <w:lang w:val="en-IE"/>
              </w:rPr>
            </w:pPr>
            <w:r w:rsidRPr="00134AA5">
              <w:rPr>
                <w:noProof/>
                <w:color w:val="004300"/>
                <w:sz w:val="18"/>
                <w:szCs w:val="18"/>
                <w:lang w:val="en-IE"/>
              </w:rPr>
              <w:t xml:space="preserve">The investment shall include: </w:t>
            </w:r>
          </w:p>
          <w:p w:rsidRPr="00134AA5" w:rsidR="00D87E44" w:rsidP="00D226F4" w:rsidRDefault="00D87E44" w14:paraId="154578D4" w14:textId="77777777">
            <w:pPr>
              <w:pStyle w:val="ListParagraph"/>
              <w:numPr>
                <w:ilvl w:val="0"/>
                <w:numId w:val="41"/>
              </w:numPr>
              <w:spacing w:before="0" w:after="0" w:line="240" w:lineRule="auto"/>
              <w:rPr>
                <w:noProof/>
                <w:color w:val="004300"/>
                <w:sz w:val="18"/>
                <w:szCs w:val="18"/>
                <w:lang w:val="en-IE"/>
              </w:rPr>
            </w:pPr>
            <w:r w:rsidRPr="00090C77">
              <w:rPr>
                <w:noProof/>
                <w:color w:val="004300"/>
                <w:sz w:val="18"/>
                <w:szCs w:val="18"/>
                <w:lang w:val="en-IE"/>
              </w:rPr>
              <w:t>nine</w:t>
            </w:r>
            <w:r>
              <w:rPr>
                <w:noProof/>
                <w:color w:val="004300"/>
                <w:sz w:val="18"/>
                <w:szCs w:val="18"/>
                <w:lang w:val="en-IE"/>
              </w:rPr>
              <w:t xml:space="preserve"> base </w:t>
            </w:r>
            <w:r w:rsidRPr="00A910E9">
              <w:rPr>
                <w:noProof/>
                <w:color w:val="004300"/>
                <w:sz w:val="18"/>
                <w:szCs w:val="18"/>
                <w:lang w:val="en-IE"/>
              </w:rPr>
              <w:t xml:space="preserve">transceiver </w:t>
            </w:r>
            <w:r>
              <w:rPr>
                <w:noProof/>
                <w:color w:val="004300"/>
                <w:sz w:val="18"/>
                <w:szCs w:val="18"/>
                <w:lang w:val="en-IE"/>
              </w:rPr>
              <w:t>stations (BTS) shall be constructed and one tunnel shall be fitted with wires for 5G</w:t>
            </w:r>
            <w:r w:rsidRPr="00134AA5">
              <w:rPr>
                <w:noProof/>
                <w:color w:val="004300"/>
                <w:sz w:val="18"/>
                <w:szCs w:val="18"/>
                <w:lang w:val="en-IE"/>
              </w:rPr>
              <w:t>.</w:t>
            </w:r>
          </w:p>
          <w:p w:rsidRPr="00134AA5" w:rsidR="00D87E44" w:rsidP="00D226F4" w:rsidRDefault="00D87E44" w14:paraId="154578D5" w14:textId="77777777">
            <w:pPr>
              <w:pStyle w:val="ListParagraph"/>
              <w:numPr>
                <w:ilvl w:val="0"/>
                <w:numId w:val="41"/>
              </w:numPr>
              <w:spacing w:before="0" w:after="0" w:line="240" w:lineRule="auto"/>
              <w:rPr>
                <w:noProof/>
                <w:color w:val="004300"/>
                <w:sz w:val="18"/>
                <w:szCs w:val="18"/>
                <w:lang w:val="en-IE"/>
              </w:rPr>
            </w:pPr>
            <w:r w:rsidRPr="00134AA5">
              <w:rPr>
                <w:noProof/>
                <w:color w:val="004300"/>
                <w:sz w:val="18"/>
                <w:szCs w:val="18"/>
                <w:lang w:val="en-IE"/>
              </w:rPr>
              <w:t xml:space="preserve">5G signal coverage </w:t>
            </w:r>
            <w:r>
              <w:rPr>
                <w:noProof/>
                <w:color w:val="004300"/>
                <w:sz w:val="18"/>
                <w:szCs w:val="18"/>
                <w:lang w:val="en-IE"/>
              </w:rPr>
              <w:t xml:space="preserve">enhanced </w:t>
            </w:r>
            <w:r w:rsidRPr="00134AA5">
              <w:rPr>
                <w:noProof/>
                <w:color w:val="004300"/>
                <w:sz w:val="18"/>
                <w:szCs w:val="18"/>
                <w:lang w:val="en-IE"/>
              </w:rPr>
              <w:t xml:space="preserve">for 350 </w:t>
            </w:r>
            <w:r w:rsidRPr="00134AA5">
              <w:rPr>
                <w:noProof/>
                <w:color w:val="004300"/>
                <w:sz w:val="18"/>
                <w:szCs w:val="18"/>
                <w:lang w:val="en-IE"/>
              </w:rPr>
              <w:t>railway wagons</w:t>
            </w:r>
            <w:r>
              <w:rPr>
                <w:noProof/>
                <w:color w:val="004300"/>
                <w:sz w:val="18"/>
                <w:szCs w:val="18"/>
                <w:lang w:val="en-IE"/>
              </w:rPr>
              <w:t>.</w:t>
            </w:r>
          </w:p>
          <w:p w:rsidRPr="00F42F2A" w:rsidR="00D87E44" w:rsidP="00FF1320" w:rsidRDefault="00D87E44" w14:paraId="154578D6" w14:textId="77777777">
            <w:pPr>
              <w:pStyle w:val="ListParagraph"/>
              <w:numPr>
                <w:ilvl w:val="0"/>
                <w:numId w:val="41"/>
              </w:numPr>
              <w:spacing w:before="0" w:after="0" w:line="240" w:lineRule="auto"/>
              <w:rPr>
                <w:noProof/>
                <w:color w:val="004300"/>
                <w:sz w:val="18"/>
                <w:szCs w:val="18"/>
                <w:lang w:val="en-IE"/>
              </w:rPr>
            </w:pPr>
            <w:r w:rsidRPr="00F42F2A">
              <w:rPr>
                <w:noProof/>
                <w:color w:val="004300"/>
                <w:sz w:val="18"/>
                <w:szCs w:val="18"/>
                <w:lang w:val="en-IE"/>
              </w:rPr>
              <w:t xml:space="preserve">The installation </w:t>
            </w:r>
            <w:r>
              <w:rPr>
                <w:noProof/>
                <w:color w:val="004300"/>
                <w:sz w:val="18"/>
                <w:szCs w:val="18"/>
                <w:lang w:val="en-IE"/>
              </w:rPr>
              <w:t>of</w:t>
            </w:r>
            <w:r w:rsidRPr="00F42F2A">
              <w:rPr>
                <w:noProof/>
                <w:color w:val="004300"/>
                <w:sz w:val="18"/>
                <w:szCs w:val="18"/>
                <w:lang w:val="en-IE"/>
              </w:rPr>
              <w:t xml:space="preserve"> </w:t>
            </w:r>
            <w:r>
              <w:rPr>
                <w:noProof/>
                <w:color w:val="004300"/>
                <w:sz w:val="18"/>
                <w:szCs w:val="18"/>
                <w:lang w:val="en-IE"/>
              </w:rPr>
              <w:t>a</w:t>
            </w:r>
            <w:r w:rsidRPr="00F42F2A">
              <w:rPr>
                <w:noProof/>
                <w:color w:val="004300"/>
                <w:sz w:val="18"/>
                <w:szCs w:val="18"/>
                <w:lang w:val="en-IE"/>
              </w:rPr>
              <w:t xml:space="preserve">n intelligent transport system for </w:t>
            </w:r>
            <w:r>
              <w:rPr>
                <w:noProof/>
                <w:color w:val="004300"/>
                <w:sz w:val="18"/>
                <w:szCs w:val="18"/>
                <w:lang w:val="en-IE"/>
              </w:rPr>
              <w:t>a</w:t>
            </w:r>
            <w:r w:rsidRPr="00090C77">
              <w:rPr>
                <w:noProof/>
                <w:color w:val="004300"/>
                <w:sz w:val="18"/>
                <w:szCs w:val="18"/>
                <w:lang w:val="en-IE"/>
              </w:rPr>
              <w:t xml:space="preserve"> rail</w:t>
            </w:r>
            <w:r>
              <w:rPr>
                <w:noProof/>
                <w:color w:val="004300"/>
                <w:sz w:val="18"/>
                <w:szCs w:val="18"/>
                <w:lang w:val="en-IE"/>
              </w:rPr>
              <w:t>way use case</w:t>
            </w:r>
            <w:r w:rsidRPr="11EC508F">
              <w:rPr>
                <w:noProof/>
                <w:color w:val="004300"/>
                <w:sz w:val="18"/>
                <w:szCs w:val="18"/>
                <w:lang w:val="en-IE"/>
              </w:rPr>
              <w:t xml:space="preserve"> </w:t>
            </w:r>
            <w:r w:rsidRPr="00F42F2A">
              <w:rPr>
                <w:noProof/>
                <w:color w:val="004300"/>
                <w:sz w:val="18"/>
                <w:szCs w:val="18"/>
                <w:lang w:val="en-IE"/>
              </w:rPr>
              <w:t>(C-ITS)</w:t>
            </w:r>
            <w:r>
              <w:rPr>
                <w:noProof/>
                <w:color w:val="004300"/>
                <w:sz w:val="18"/>
                <w:szCs w:val="18"/>
                <w:lang w:val="en-IE"/>
              </w:rPr>
              <w:t>.</w:t>
            </w:r>
          </w:p>
        </w:tc>
      </w:tr>
      <w:tr w:rsidRPr="00FE48E2" w:rsidR="00E3458A" w14:paraId="154578E4" w14:textId="77777777">
        <w:trPr>
          <w:gridAfter w:val="1"/>
          <w:wAfter w:w="10" w:type="dxa"/>
          <w:trHeight w:val="486"/>
          <w:jc w:val="center"/>
        </w:trPr>
        <w:tc>
          <w:tcPr>
            <w:tcW w:w="704" w:type="dxa"/>
            <w:gridSpan w:val="2"/>
            <w:shd w:val="clear" w:color="auto" w:fill="C6EFCE"/>
          </w:tcPr>
          <w:p w:rsidRPr="00062C72" w:rsidR="00D87E44" w:rsidRDefault="00D87E44" w14:paraId="154578D8" w14:textId="77777777">
            <w:pPr>
              <w:spacing w:before="0" w:after="0" w:line="240" w:lineRule="auto"/>
              <w:rPr>
                <w:noProof/>
                <w:color w:val="004300"/>
                <w:sz w:val="18"/>
                <w:szCs w:val="18"/>
                <w:lang w:val="en-IE"/>
              </w:rPr>
            </w:pPr>
            <w:r w:rsidRPr="00062C72">
              <w:rPr>
                <w:noProof/>
                <w:color w:val="004300"/>
                <w:sz w:val="18"/>
                <w:szCs w:val="18"/>
                <w:lang w:val="en-IE"/>
              </w:rPr>
              <w:t>43 </w:t>
            </w:r>
          </w:p>
        </w:tc>
        <w:tc>
          <w:tcPr>
            <w:tcW w:w="2132" w:type="dxa"/>
            <w:shd w:val="clear" w:color="auto" w:fill="C6EFCE"/>
          </w:tcPr>
          <w:p w:rsidRPr="00062C72" w:rsidR="00D87E44" w:rsidRDefault="00D87E44" w14:paraId="154578D9" w14:textId="77777777">
            <w:pPr>
              <w:spacing w:before="0" w:after="0" w:line="240" w:lineRule="auto"/>
              <w:rPr>
                <w:noProof/>
                <w:color w:val="004300"/>
                <w:sz w:val="18"/>
                <w:szCs w:val="18"/>
                <w:lang w:val="en-IE"/>
              </w:rPr>
            </w:pPr>
            <w:r w:rsidRPr="00062C72">
              <w:rPr>
                <w:noProof/>
                <w:color w:val="004300"/>
                <w:sz w:val="18"/>
                <w:szCs w:val="18"/>
                <w:lang w:val="en-IE"/>
              </w:rPr>
              <w:t>Investment 3: Supporting the development of 5G mobile infrastructure in rural investment-intensive white areas </w:t>
            </w:r>
          </w:p>
        </w:tc>
        <w:tc>
          <w:tcPr>
            <w:tcW w:w="987" w:type="dxa"/>
            <w:shd w:val="clear" w:color="auto" w:fill="C6EFCE"/>
          </w:tcPr>
          <w:p w:rsidRPr="00062C72" w:rsidR="00D87E44" w:rsidRDefault="00D87E44" w14:paraId="154578DA" w14:textId="77777777">
            <w:pPr>
              <w:spacing w:before="0" w:after="0" w:line="240" w:lineRule="auto"/>
              <w:rPr>
                <w:noProof/>
                <w:color w:val="004300"/>
                <w:sz w:val="18"/>
                <w:szCs w:val="18"/>
                <w:lang w:val="en-IE"/>
              </w:rPr>
            </w:pPr>
            <w:r w:rsidRPr="00062C72">
              <w:rPr>
                <w:noProof/>
                <w:color w:val="004300"/>
                <w:sz w:val="18"/>
                <w:szCs w:val="18"/>
                <w:lang w:val="en-IE"/>
              </w:rPr>
              <w:t>Milestone </w:t>
            </w:r>
          </w:p>
        </w:tc>
        <w:tc>
          <w:tcPr>
            <w:tcW w:w="1984" w:type="dxa"/>
            <w:shd w:val="clear" w:color="auto" w:fill="C6EFCE"/>
          </w:tcPr>
          <w:p w:rsidRPr="00062C72" w:rsidR="00D87E44" w:rsidRDefault="00D87E44" w14:paraId="154578DB" w14:textId="77777777">
            <w:pPr>
              <w:spacing w:before="0" w:after="0" w:line="240" w:lineRule="auto"/>
              <w:rPr>
                <w:noProof/>
                <w:color w:val="004300"/>
                <w:sz w:val="18"/>
                <w:szCs w:val="18"/>
                <w:lang w:val="en-IE"/>
              </w:rPr>
            </w:pPr>
            <w:r w:rsidRPr="00062C72">
              <w:rPr>
                <w:noProof/>
                <w:color w:val="004300"/>
                <w:sz w:val="18"/>
                <w:szCs w:val="18"/>
                <w:lang w:val="en-IE"/>
              </w:rPr>
              <w:t>Award of grant decisions for connecting municipalities with high-capacity connection </w:t>
            </w:r>
          </w:p>
        </w:tc>
        <w:tc>
          <w:tcPr>
            <w:tcW w:w="1276" w:type="dxa"/>
            <w:shd w:val="clear" w:color="auto" w:fill="C6EFCE"/>
          </w:tcPr>
          <w:p w:rsidRPr="00062C72" w:rsidR="00D87E44" w:rsidRDefault="00D87E44" w14:paraId="154578DC" w14:textId="77777777">
            <w:pPr>
              <w:spacing w:before="0" w:after="0" w:line="240" w:lineRule="auto"/>
              <w:rPr>
                <w:noProof/>
                <w:color w:val="004300"/>
                <w:sz w:val="18"/>
                <w:szCs w:val="18"/>
                <w:lang w:val="en-IE"/>
              </w:rPr>
            </w:pPr>
            <w:r w:rsidRPr="00062C72">
              <w:rPr>
                <w:noProof/>
                <w:color w:val="004300"/>
                <w:sz w:val="18"/>
                <w:szCs w:val="18"/>
                <w:lang w:val="en-IE"/>
              </w:rPr>
              <w:t>Notification of the award of grant decisions for connecting municipalities with high-capacity connection by the Ministry of Industry and Trade </w:t>
            </w:r>
          </w:p>
        </w:tc>
        <w:tc>
          <w:tcPr>
            <w:tcW w:w="992" w:type="dxa"/>
            <w:shd w:val="clear" w:color="auto" w:fill="C6EFCE"/>
          </w:tcPr>
          <w:p w:rsidRPr="00062C72" w:rsidR="00D87E44" w:rsidRDefault="00D87E44" w14:paraId="154578DD"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DE" w14:textId="77777777">
            <w:pPr>
              <w:spacing w:before="0" w:after="0" w:line="240" w:lineRule="auto"/>
              <w:rPr>
                <w:noProof/>
                <w:color w:val="004300"/>
                <w:sz w:val="18"/>
                <w:szCs w:val="18"/>
                <w:lang w:val="en-IE"/>
              </w:rPr>
            </w:pPr>
            <w:r w:rsidRPr="00062C72">
              <w:rPr>
                <w:noProof/>
                <w:color w:val="004300"/>
                <w:sz w:val="18"/>
                <w:szCs w:val="18"/>
                <w:lang w:val="en-IE"/>
              </w:rPr>
              <w:t> </w:t>
            </w:r>
          </w:p>
        </w:tc>
        <w:tc>
          <w:tcPr>
            <w:tcW w:w="873" w:type="dxa"/>
            <w:shd w:val="clear" w:color="auto" w:fill="C6EFCE"/>
          </w:tcPr>
          <w:p w:rsidRPr="00062C72" w:rsidR="00D87E44" w:rsidRDefault="00D87E44" w14:paraId="154578DF"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E0" w14:textId="77777777">
            <w:pPr>
              <w:spacing w:before="0" w:after="0" w:line="240" w:lineRule="auto"/>
              <w:rPr>
                <w:noProof/>
                <w:color w:val="004300"/>
                <w:sz w:val="18"/>
                <w:szCs w:val="18"/>
                <w:lang w:val="en-IE"/>
              </w:rPr>
            </w:pPr>
            <w:r w:rsidRPr="00062C72">
              <w:rPr>
                <w:noProof/>
                <w:color w:val="004300"/>
                <w:sz w:val="18"/>
                <w:szCs w:val="18"/>
                <w:lang w:val="en-IE"/>
              </w:rPr>
              <w:t>Q4 </w:t>
            </w:r>
          </w:p>
        </w:tc>
        <w:tc>
          <w:tcPr>
            <w:tcW w:w="847" w:type="dxa"/>
            <w:shd w:val="clear" w:color="auto" w:fill="C6EFCE"/>
          </w:tcPr>
          <w:p w:rsidRPr="00062C72" w:rsidR="00D87E44" w:rsidRDefault="00D87E44" w14:paraId="154578E1" w14:textId="77777777">
            <w:pPr>
              <w:spacing w:before="0" w:after="0" w:line="240" w:lineRule="auto"/>
              <w:rPr>
                <w:noProof/>
                <w:color w:val="004300"/>
                <w:sz w:val="18"/>
                <w:szCs w:val="18"/>
                <w:lang w:val="en-IE"/>
              </w:rPr>
            </w:pPr>
            <w:r w:rsidRPr="00062C72">
              <w:rPr>
                <w:noProof/>
                <w:color w:val="004300"/>
                <w:sz w:val="18"/>
                <w:szCs w:val="18"/>
                <w:lang w:val="en-IE"/>
              </w:rPr>
              <w:t>2024 </w:t>
            </w:r>
          </w:p>
        </w:tc>
        <w:tc>
          <w:tcPr>
            <w:tcW w:w="3952" w:type="dxa"/>
            <w:shd w:val="clear" w:color="auto" w:fill="C6EFCE"/>
          </w:tcPr>
          <w:p w:rsidRPr="00FE48E2" w:rsidR="00D87E44" w:rsidRDefault="00D87E44" w14:paraId="154578E2" w14:textId="77777777">
            <w:pPr>
              <w:spacing w:before="0" w:after="0" w:line="240" w:lineRule="auto"/>
              <w:rPr>
                <w:noProof/>
                <w:color w:val="004300"/>
                <w:sz w:val="18"/>
                <w:szCs w:val="18"/>
                <w:lang w:val="en-IE"/>
              </w:rPr>
            </w:pPr>
            <w:r w:rsidRPr="00062C72">
              <w:rPr>
                <w:noProof/>
                <w:color w:val="004300"/>
                <w:sz w:val="18"/>
                <w:szCs w:val="18"/>
                <w:lang w:val="en-IE"/>
              </w:rPr>
              <w:t xml:space="preserve">Notification of the award of grant decisions for connecting municipalities with high-capacity connection. The call shall include a definition of eligible expenditure, evaluation models and criteria for the selection and evaluation of projects, rules for applicants and beneficiaries, and guidelines on wholesale offers. The selection criteria shall take into account the BEREC Guidelines on Very High-Capacity Networks. </w:t>
            </w:r>
          </w:p>
          <w:p w:rsidRPr="00FE48E2" w:rsidR="00D87E44" w:rsidRDefault="00D87E44" w14:paraId="154578E3" w14:textId="77777777">
            <w:pPr>
              <w:spacing w:before="0" w:after="0" w:line="240" w:lineRule="auto"/>
              <w:rPr>
                <w:noProof/>
                <w:color w:val="004300"/>
                <w:sz w:val="18"/>
                <w:szCs w:val="18"/>
                <w:lang w:val="en-IE"/>
              </w:rPr>
            </w:pPr>
            <w:r w:rsidRPr="00062C72">
              <w:rPr>
                <w:noProof/>
                <w:color w:val="004300"/>
                <w:sz w:val="18"/>
                <w:szCs w:val="18"/>
                <w:lang w:val="en-IE"/>
              </w:rPr>
              <w:t>The municipalities shall be located in areas that have never been covered by any mobile signal higher than 3G and that can be assumed not to be covered by 5G base networks in the future due to the low expected profitability of the investment.These areas shall be defined in accordance with the State aid rules.</w:t>
            </w:r>
          </w:p>
        </w:tc>
      </w:tr>
      <w:tr w:rsidRPr="00FE48E2" w:rsidR="00E3458A" w14:paraId="154578F0" w14:textId="77777777">
        <w:trPr>
          <w:gridAfter w:val="1"/>
          <w:wAfter w:w="10" w:type="dxa"/>
          <w:trHeight w:val="945"/>
          <w:jc w:val="center"/>
        </w:trPr>
        <w:tc>
          <w:tcPr>
            <w:tcW w:w="704" w:type="dxa"/>
            <w:gridSpan w:val="2"/>
            <w:shd w:val="clear" w:color="auto" w:fill="C6EFCE"/>
          </w:tcPr>
          <w:p w:rsidRPr="00062C72" w:rsidR="00D87E44" w:rsidRDefault="00D87E44" w14:paraId="154578E5" w14:textId="77777777">
            <w:pPr>
              <w:spacing w:before="0" w:after="0" w:line="240" w:lineRule="auto"/>
              <w:rPr>
                <w:noProof/>
                <w:color w:val="004300"/>
                <w:sz w:val="18"/>
                <w:szCs w:val="18"/>
                <w:lang w:val="en-IE"/>
              </w:rPr>
            </w:pPr>
            <w:r w:rsidRPr="00062C72">
              <w:rPr>
                <w:noProof/>
                <w:color w:val="004300"/>
                <w:sz w:val="18"/>
                <w:szCs w:val="18"/>
                <w:lang w:val="en-IE"/>
              </w:rPr>
              <w:lastRenderedPageBreak/>
              <w:t>44 </w:t>
            </w:r>
          </w:p>
        </w:tc>
        <w:tc>
          <w:tcPr>
            <w:tcW w:w="2132" w:type="dxa"/>
            <w:shd w:val="clear" w:color="auto" w:fill="C6EFCE"/>
          </w:tcPr>
          <w:p w:rsidRPr="00062C72" w:rsidR="00D87E44" w:rsidRDefault="00D87E44" w14:paraId="154578E6" w14:textId="77777777">
            <w:pPr>
              <w:spacing w:before="0" w:after="0" w:line="240" w:lineRule="auto"/>
              <w:rPr>
                <w:noProof/>
                <w:color w:val="004300"/>
                <w:sz w:val="18"/>
                <w:szCs w:val="18"/>
                <w:lang w:val="en-IE"/>
              </w:rPr>
            </w:pPr>
            <w:r w:rsidRPr="00062C72">
              <w:rPr>
                <w:noProof/>
                <w:color w:val="004300"/>
                <w:sz w:val="18"/>
                <w:szCs w:val="18"/>
                <w:lang w:val="en-IE"/>
              </w:rPr>
              <w:t xml:space="preserve">Investment 3: </w:t>
            </w:r>
            <w:r w:rsidRPr="00062C72">
              <w:rPr>
                <w:noProof/>
                <w:color w:val="004300"/>
                <w:sz w:val="18"/>
                <w:szCs w:val="18"/>
                <w:lang w:val="en-IE"/>
              </w:rPr>
              <w:t>Supporting the development of 5G mobile infrastructure in rural investment-intensive white areas </w:t>
            </w:r>
          </w:p>
        </w:tc>
        <w:tc>
          <w:tcPr>
            <w:tcW w:w="987" w:type="dxa"/>
            <w:shd w:val="clear" w:color="auto" w:fill="C6EFCE"/>
          </w:tcPr>
          <w:p w:rsidRPr="00062C72" w:rsidR="00D87E44" w:rsidRDefault="00D87E44" w14:paraId="154578E7" w14:textId="77777777">
            <w:pPr>
              <w:spacing w:before="0" w:after="0" w:line="240" w:lineRule="auto"/>
              <w:rPr>
                <w:noProof/>
                <w:color w:val="004300"/>
                <w:sz w:val="18"/>
                <w:szCs w:val="18"/>
                <w:lang w:val="en-IE"/>
              </w:rPr>
            </w:pPr>
            <w:r w:rsidRPr="00062C72">
              <w:rPr>
                <w:noProof/>
                <w:color w:val="004300"/>
                <w:sz w:val="18"/>
                <w:szCs w:val="18"/>
                <w:lang w:val="en-IE"/>
              </w:rPr>
              <w:t>Target </w:t>
            </w:r>
          </w:p>
        </w:tc>
        <w:tc>
          <w:tcPr>
            <w:tcW w:w="1984" w:type="dxa"/>
            <w:shd w:val="clear" w:color="auto" w:fill="C6EFCE"/>
          </w:tcPr>
          <w:p w:rsidRPr="00062C72" w:rsidR="00D87E44" w:rsidRDefault="00D87E44" w14:paraId="154578E8" w14:textId="77777777">
            <w:pPr>
              <w:spacing w:before="0" w:after="0" w:line="240" w:lineRule="auto"/>
              <w:rPr>
                <w:noProof/>
                <w:color w:val="004300"/>
                <w:sz w:val="18"/>
                <w:szCs w:val="18"/>
                <w:lang w:val="en-IE"/>
              </w:rPr>
            </w:pPr>
            <w:r>
              <w:rPr>
                <w:noProof/>
                <w:color w:val="004300"/>
                <w:sz w:val="18"/>
                <w:szCs w:val="18"/>
                <w:lang w:val="en-IE"/>
              </w:rPr>
              <w:t xml:space="preserve">Construction of base </w:t>
            </w:r>
            <w:r w:rsidRPr="00A910E9">
              <w:rPr>
                <w:noProof/>
                <w:color w:val="004300"/>
                <w:sz w:val="18"/>
                <w:szCs w:val="18"/>
                <w:lang w:val="en-IE"/>
              </w:rPr>
              <w:t xml:space="preserve">transceiver </w:t>
            </w:r>
            <w:r>
              <w:rPr>
                <w:noProof/>
                <w:color w:val="004300"/>
                <w:sz w:val="18"/>
                <w:szCs w:val="18"/>
                <w:lang w:val="en-IE"/>
              </w:rPr>
              <w:t xml:space="preserve">stations </w:t>
            </w:r>
          </w:p>
        </w:tc>
        <w:tc>
          <w:tcPr>
            <w:tcW w:w="1276" w:type="dxa"/>
            <w:shd w:val="clear" w:color="auto" w:fill="C6EFCE"/>
          </w:tcPr>
          <w:p w:rsidRPr="00062C72" w:rsidR="00D87E44" w:rsidRDefault="00D87E44" w14:paraId="154578E9"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EA" w14:textId="77777777">
            <w:pPr>
              <w:spacing w:before="0" w:after="0" w:line="240" w:lineRule="auto"/>
              <w:rPr>
                <w:noProof/>
                <w:color w:val="004300"/>
                <w:sz w:val="18"/>
                <w:szCs w:val="18"/>
                <w:lang w:val="en-IE"/>
              </w:rPr>
            </w:pPr>
            <w:r w:rsidRPr="00062C72">
              <w:rPr>
                <w:noProof/>
                <w:color w:val="004300"/>
                <w:sz w:val="18"/>
                <w:szCs w:val="18"/>
                <w:lang w:val="en-IE"/>
              </w:rPr>
              <w:t>Number </w:t>
            </w:r>
          </w:p>
        </w:tc>
        <w:tc>
          <w:tcPr>
            <w:tcW w:w="992" w:type="dxa"/>
            <w:shd w:val="clear" w:color="auto" w:fill="C6EFCE"/>
          </w:tcPr>
          <w:p w:rsidRPr="00062C72" w:rsidR="00D87E44" w:rsidRDefault="00D87E44" w14:paraId="154578EB" w14:textId="77777777">
            <w:pPr>
              <w:spacing w:before="0" w:after="0" w:line="240" w:lineRule="auto"/>
              <w:rPr>
                <w:noProof/>
                <w:color w:val="004300"/>
                <w:sz w:val="18"/>
                <w:szCs w:val="18"/>
                <w:lang w:val="en-IE"/>
              </w:rPr>
            </w:pPr>
            <w:r w:rsidRPr="00062C72">
              <w:rPr>
                <w:noProof/>
                <w:color w:val="004300"/>
                <w:sz w:val="18"/>
                <w:szCs w:val="18"/>
                <w:lang w:val="en-IE"/>
              </w:rPr>
              <w:t>0</w:t>
            </w:r>
          </w:p>
        </w:tc>
        <w:tc>
          <w:tcPr>
            <w:tcW w:w="873" w:type="dxa"/>
            <w:shd w:val="clear" w:color="auto" w:fill="C6EFCE"/>
          </w:tcPr>
          <w:p w:rsidRPr="00062C72" w:rsidR="00D87E44" w:rsidRDefault="00D87E44" w14:paraId="154578EC" w14:textId="77777777">
            <w:pPr>
              <w:spacing w:before="0" w:after="0" w:line="240" w:lineRule="auto"/>
              <w:rPr>
                <w:noProof/>
                <w:color w:val="004300"/>
                <w:sz w:val="18"/>
                <w:szCs w:val="18"/>
                <w:lang w:val="en-IE"/>
              </w:rPr>
            </w:pPr>
            <w:r w:rsidRPr="008C7FAF">
              <w:rPr>
                <w:noProof/>
                <w:color w:val="004300"/>
                <w:sz w:val="18"/>
                <w:szCs w:val="18"/>
                <w:lang w:val="en-IE"/>
              </w:rPr>
              <w:t>30</w:t>
            </w:r>
          </w:p>
        </w:tc>
        <w:tc>
          <w:tcPr>
            <w:tcW w:w="860" w:type="dxa"/>
            <w:shd w:val="clear" w:color="auto" w:fill="C6EFCE"/>
          </w:tcPr>
          <w:p w:rsidRPr="00062C72" w:rsidR="00D87E44" w:rsidRDefault="00D87E44" w14:paraId="154578ED" w14:textId="77777777">
            <w:pPr>
              <w:spacing w:before="0" w:after="0" w:line="240" w:lineRule="auto"/>
              <w:rPr>
                <w:noProof/>
                <w:color w:val="004300"/>
                <w:sz w:val="18"/>
                <w:szCs w:val="18"/>
                <w:lang w:val="en-IE"/>
              </w:rPr>
            </w:pPr>
            <w:r w:rsidRPr="00062C72">
              <w:rPr>
                <w:noProof/>
                <w:color w:val="004300"/>
                <w:sz w:val="18"/>
                <w:szCs w:val="18"/>
                <w:lang w:val="en-IE"/>
              </w:rPr>
              <w:t>Q1 </w:t>
            </w:r>
          </w:p>
        </w:tc>
        <w:tc>
          <w:tcPr>
            <w:tcW w:w="847" w:type="dxa"/>
            <w:shd w:val="clear" w:color="auto" w:fill="C6EFCE"/>
          </w:tcPr>
          <w:p w:rsidRPr="00062C72" w:rsidR="00D87E44" w:rsidRDefault="00D87E44" w14:paraId="154578EE" w14:textId="77777777">
            <w:pPr>
              <w:spacing w:before="0" w:after="0" w:line="240" w:lineRule="auto"/>
              <w:rPr>
                <w:noProof/>
                <w:color w:val="004300"/>
                <w:sz w:val="18"/>
                <w:szCs w:val="18"/>
                <w:lang w:val="en-IE"/>
              </w:rPr>
            </w:pPr>
            <w:r w:rsidRPr="00062C72">
              <w:rPr>
                <w:noProof/>
                <w:color w:val="004300"/>
                <w:sz w:val="18"/>
                <w:szCs w:val="18"/>
                <w:lang w:val="en-IE"/>
              </w:rPr>
              <w:t>2026 </w:t>
            </w:r>
          </w:p>
        </w:tc>
        <w:tc>
          <w:tcPr>
            <w:tcW w:w="3952" w:type="dxa"/>
            <w:shd w:val="clear" w:color="auto" w:fill="C6EFCE"/>
          </w:tcPr>
          <w:p w:rsidRPr="00062C72" w:rsidR="00D87E44" w:rsidRDefault="00D87E44" w14:paraId="154578EF" w14:textId="77777777">
            <w:pPr>
              <w:spacing w:before="0" w:after="0" w:line="240" w:lineRule="auto"/>
              <w:rPr>
                <w:noProof/>
                <w:color w:val="004300"/>
                <w:sz w:val="18"/>
                <w:szCs w:val="18"/>
                <w:lang w:val="en-IE"/>
              </w:rPr>
            </w:pPr>
            <w:r w:rsidRPr="008C7FAF">
              <w:rPr>
                <w:noProof/>
                <w:color w:val="004300"/>
                <w:sz w:val="18"/>
                <w:szCs w:val="18"/>
                <w:lang w:val="en-IE"/>
              </w:rPr>
              <w:t>30</w:t>
            </w:r>
            <w:r>
              <w:rPr>
                <w:noProof/>
                <w:color w:val="004300"/>
                <w:sz w:val="18"/>
                <w:szCs w:val="18"/>
                <w:lang w:val="en-IE"/>
              </w:rPr>
              <w:t xml:space="preserve"> new base </w:t>
            </w:r>
            <w:r w:rsidRPr="00A910E9">
              <w:rPr>
                <w:noProof/>
                <w:color w:val="004300"/>
                <w:sz w:val="18"/>
                <w:szCs w:val="18"/>
                <w:lang w:val="en-IE"/>
              </w:rPr>
              <w:t xml:space="preserve">transceiver </w:t>
            </w:r>
            <w:r>
              <w:rPr>
                <w:noProof/>
                <w:color w:val="004300"/>
                <w:sz w:val="18"/>
                <w:szCs w:val="18"/>
                <w:lang w:val="en-IE"/>
              </w:rPr>
              <w:t xml:space="preserve">stations shall be constructed. </w:t>
            </w:r>
          </w:p>
        </w:tc>
      </w:tr>
      <w:tr w:rsidRPr="00FE48E2" w:rsidR="00E3458A" w14:paraId="154578FC" w14:textId="77777777">
        <w:trPr>
          <w:gridAfter w:val="1"/>
          <w:wAfter w:w="10" w:type="dxa"/>
          <w:trHeight w:val="945"/>
          <w:jc w:val="center"/>
        </w:trPr>
        <w:tc>
          <w:tcPr>
            <w:tcW w:w="704" w:type="dxa"/>
            <w:gridSpan w:val="2"/>
            <w:shd w:val="clear" w:color="auto" w:fill="C6EFCE"/>
          </w:tcPr>
          <w:p w:rsidRPr="00062C72" w:rsidR="00D87E44" w:rsidRDefault="00D87E44" w14:paraId="154578F1" w14:textId="77777777">
            <w:pPr>
              <w:spacing w:before="0" w:after="0" w:line="240" w:lineRule="auto"/>
              <w:rPr>
                <w:noProof/>
                <w:color w:val="004300"/>
                <w:sz w:val="18"/>
                <w:szCs w:val="18"/>
                <w:lang w:val="en-IE"/>
              </w:rPr>
            </w:pPr>
            <w:r w:rsidRPr="00062C72">
              <w:rPr>
                <w:noProof/>
                <w:color w:val="004300"/>
                <w:sz w:val="18"/>
                <w:szCs w:val="18"/>
                <w:lang w:val="en-IE"/>
              </w:rPr>
              <w:t>45</w:t>
            </w:r>
          </w:p>
        </w:tc>
        <w:tc>
          <w:tcPr>
            <w:tcW w:w="2132" w:type="dxa"/>
            <w:shd w:val="clear" w:color="auto" w:fill="C6EFCE"/>
          </w:tcPr>
          <w:p w:rsidRPr="00062C72" w:rsidR="00D87E44" w:rsidRDefault="00D87E44" w14:paraId="154578F2" w14:textId="77777777">
            <w:pPr>
              <w:spacing w:before="0" w:after="0" w:line="240" w:lineRule="auto"/>
              <w:rPr>
                <w:noProof/>
                <w:color w:val="004300"/>
                <w:sz w:val="18"/>
                <w:szCs w:val="18"/>
                <w:lang w:val="en-IE"/>
              </w:rPr>
            </w:pPr>
            <w:r w:rsidRPr="00062C72">
              <w:rPr>
                <w:noProof/>
                <w:color w:val="004300"/>
                <w:sz w:val="18"/>
                <w:szCs w:val="18"/>
                <w:lang w:val="en-IE"/>
              </w:rPr>
              <w:t>Investment 4: Scientific research activities related to the development of 5G networks and services </w:t>
            </w:r>
          </w:p>
        </w:tc>
        <w:tc>
          <w:tcPr>
            <w:tcW w:w="987" w:type="dxa"/>
            <w:shd w:val="clear" w:color="auto" w:fill="C6EFCE"/>
          </w:tcPr>
          <w:p w:rsidRPr="00062C72" w:rsidR="00D87E44" w:rsidRDefault="00D87E44" w14:paraId="154578F3" w14:textId="77777777">
            <w:pPr>
              <w:spacing w:before="0" w:after="0" w:line="240" w:lineRule="auto"/>
              <w:rPr>
                <w:noProof/>
                <w:color w:val="004300"/>
                <w:sz w:val="18"/>
                <w:szCs w:val="18"/>
                <w:lang w:val="en-IE"/>
              </w:rPr>
            </w:pPr>
            <w:r w:rsidRPr="00062C72">
              <w:rPr>
                <w:noProof/>
                <w:color w:val="004300"/>
                <w:sz w:val="18"/>
                <w:szCs w:val="18"/>
                <w:lang w:val="en-IE"/>
              </w:rPr>
              <w:t>Milestone </w:t>
            </w:r>
          </w:p>
        </w:tc>
        <w:tc>
          <w:tcPr>
            <w:tcW w:w="1984" w:type="dxa"/>
            <w:shd w:val="clear" w:color="auto" w:fill="C6EFCE"/>
          </w:tcPr>
          <w:p w:rsidRPr="00062C72" w:rsidR="00D87E44" w:rsidRDefault="00D87E44" w14:paraId="154578F4" w14:textId="77777777">
            <w:pPr>
              <w:spacing w:before="0" w:after="0" w:line="240" w:lineRule="auto"/>
              <w:rPr>
                <w:noProof/>
                <w:color w:val="004300"/>
                <w:sz w:val="18"/>
                <w:szCs w:val="18"/>
                <w:lang w:val="en-IE"/>
              </w:rPr>
            </w:pPr>
            <w:r w:rsidRPr="00062C72">
              <w:rPr>
                <w:noProof/>
                <w:color w:val="004300"/>
                <w:sz w:val="18"/>
                <w:szCs w:val="18"/>
                <w:lang w:val="en-IE"/>
              </w:rPr>
              <w:t>Award of grant decisions for scientific research projects related to 5G networks </w:t>
            </w:r>
          </w:p>
        </w:tc>
        <w:tc>
          <w:tcPr>
            <w:tcW w:w="1276" w:type="dxa"/>
            <w:shd w:val="clear" w:color="auto" w:fill="C6EFCE"/>
          </w:tcPr>
          <w:p w:rsidRPr="00062C72" w:rsidR="00D87E44" w:rsidRDefault="00D87E44" w14:paraId="154578F5" w14:textId="77777777">
            <w:pPr>
              <w:spacing w:before="0" w:after="0" w:line="240" w:lineRule="auto"/>
              <w:rPr>
                <w:noProof/>
                <w:color w:val="004300"/>
                <w:sz w:val="18"/>
                <w:szCs w:val="18"/>
                <w:lang w:val="en-IE"/>
              </w:rPr>
            </w:pPr>
            <w:r w:rsidRPr="00062C72">
              <w:rPr>
                <w:noProof/>
                <w:color w:val="004300"/>
                <w:sz w:val="18"/>
                <w:szCs w:val="18"/>
                <w:lang w:val="en-IE"/>
              </w:rPr>
              <w:t xml:space="preserve">Notification of the award of grant decisions for </w:t>
            </w:r>
            <w:r w:rsidRPr="00062C72">
              <w:rPr>
                <w:noProof/>
                <w:color w:val="004300"/>
                <w:sz w:val="18"/>
                <w:szCs w:val="18"/>
                <w:lang w:val="en-IE"/>
              </w:rPr>
              <w:t>scientific research projects related to 5G networks by the Ministry of Industry and Trade </w:t>
            </w:r>
          </w:p>
        </w:tc>
        <w:tc>
          <w:tcPr>
            <w:tcW w:w="992" w:type="dxa"/>
            <w:shd w:val="clear" w:color="auto" w:fill="C6EFCE"/>
          </w:tcPr>
          <w:p w:rsidRPr="00062C72" w:rsidR="00D87E44" w:rsidRDefault="00D87E44" w14:paraId="154578F6"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8F7"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8F8"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8F9" w14:textId="77777777">
            <w:pPr>
              <w:spacing w:before="0" w:after="0" w:line="240" w:lineRule="auto"/>
              <w:rPr>
                <w:noProof/>
                <w:color w:val="004300"/>
                <w:sz w:val="18"/>
                <w:szCs w:val="18"/>
                <w:lang w:val="en-IE"/>
              </w:rPr>
            </w:pPr>
            <w:r w:rsidRPr="00062C72">
              <w:rPr>
                <w:noProof/>
                <w:color w:val="004300"/>
                <w:sz w:val="18"/>
                <w:szCs w:val="18"/>
                <w:lang w:val="en-IE"/>
              </w:rPr>
              <w:t>Q4 </w:t>
            </w:r>
          </w:p>
        </w:tc>
        <w:tc>
          <w:tcPr>
            <w:tcW w:w="847" w:type="dxa"/>
            <w:shd w:val="clear" w:color="auto" w:fill="C6EFCE"/>
          </w:tcPr>
          <w:p w:rsidRPr="00062C72" w:rsidR="00D87E44" w:rsidRDefault="00D87E44" w14:paraId="154578FA" w14:textId="77777777">
            <w:pPr>
              <w:spacing w:before="0" w:after="0" w:line="240" w:lineRule="auto"/>
              <w:rPr>
                <w:noProof/>
                <w:color w:val="004300"/>
                <w:sz w:val="18"/>
                <w:szCs w:val="18"/>
                <w:lang w:val="en-IE"/>
              </w:rPr>
            </w:pPr>
            <w:r w:rsidRPr="00062C72">
              <w:rPr>
                <w:noProof/>
                <w:color w:val="004300"/>
                <w:sz w:val="18"/>
                <w:szCs w:val="18"/>
                <w:lang w:val="en-IE"/>
              </w:rPr>
              <w:t>2024 </w:t>
            </w:r>
          </w:p>
        </w:tc>
        <w:tc>
          <w:tcPr>
            <w:tcW w:w="3952" w:type="dxa"/>
            <w:shd w:val="clear" w:color="auto" w:fill="C6EFCE"/>
          </w:tcPr>
          <w:p w:rsidRPr="00062C72" w:rsidR="00D87E44" w:rsidRDefault="00D87E44" w14:paraId="154578FB" w14:textId="77777777">
            <w:pPr>
              <w:spacing w:before="0" w:after="0" w:line="240" w:lineRule="auto"/>
              <w:rPr>
                <w:noProof/>
                <w:color w:val="004300"/>
                <w:sz w:val="18"/>
                <w:szCs w:val="18"/>
                <w:lang w:val="en-IE"/>
              </w:rPr>
            </w:pPr>
            <w:r w:rsidRPr="00062C72">
              <w:rPr>
                <w:noProof/>
                <w:color w:val="004300"/>
                <w:sz w:val="18"/>
                <w:szCs w:val="18"/>
                <w:lang w:val="en-IE"/>
              </w:rPr>
              <w:t xml:space="preserve">Notification of the award of grant decisions for scientific research projects related to 5G networks by the Ministry of Industry and Trade. The projects shall focus on the use of 5G applications in industry and services supporting the use of technologies for example but not limited to  automation, robotisation, artificial intelligence or virtual or augmented reality. Potential beneficiaries include businesses or public research organisations. </w:t>
            </w:r>
          </w:p>
        </w:tc>
      </w:tr>
      <w:tr w:rsidRPr="00FE48E2" w:rsidR="00E3458A" w14:paraId="15457908" w14:textId="77777777">
        <w:trPr>
          <w:gridAfter w:val="1"/>
          <w:wAfter w:w="10" w:type="dxa"/>
          <w:trHeight w:val="345"/>
          <w:jc w:val="center"/>
        </w:trPr>
        <w:tc>
          <w:tcPr>
            <w:tcW w:w="704" w:type="dxa"/>
            <w:gridSpan w:val="2"/>
            <w:shd w:val="clear" w:color="auto" w:fill="C6EFCE"/>
          </w:tcPr>
          <w:p w:rsidRPr="00062C72" w:rsidR="00D87E44" w:rsidRDefault="00D87E44" w14:paraId="154578FD" w14:textId="77777777">
            <w:pPr>
              <w:spacing w:before="0" w:after="0" w:line="240" w:lineRule="auto"/>
              <w:rPr>
                <w:noProof/>
                <w:color w:val="004300"/>
                <w:sz w:val="18"/>
                <w:szCs w:val="18"/>
                <w:lang w:val="en-IE"/>
              </w:rPr>
            </w:pPr>
            <w:r w:rsidRPr="00062C72">
              <w:rPr>
                <w:noProof/>
                <w:color w:val="004300"/>
                <w:sz w:val="18"/>
                <w:szCs w:val="18"/>
                <w:lang w:val="en-IE"/>
              </w:rPr>
              <w:t>46</w:t>
            </w:r>
          </w:p>
        </w:tc>
        <w:tc>
          <w:tcPr>
            <w:tcW w:w="2132" w:type="dxa"/>
            <w:shd w:val="clear" w:color="auto" w:fill="C6EFCE"/>
          </w:tcPr>
          <w:p w:rsidRPr="00062C72" w:rsidR="00D87E44" w:rsidRDefault="00D87E44" w14:paraId="154578FE" w14:textId="77777777">
            <w:pPr>
              <w:spacing w:before="0" w:after="0" w:line="240" w:lineRule="auto"/>
              <w:rPr>
                <w:noProof/>
                <w:color w:val="004300"/>
                <w:sz w:val="18"/>
                <w:szCs w:val="18"/>
                <w:lang w:val="en-IE"/>
              </w:rPr>
            </w:pPr>
            <w:r w:rsidRPr="00062C72">
              <w:rPr>
                <w:noProof/>
                <w:color w:val="004300"/>
                <w:sz w:val="18"/>
                <w:szCs w:val="18"/>
                <w:lang w:val="en-IE"/>
              </w:rPr>
              <w:t>Investment 4: Scientific research activities related to the development of 5G networks and services </w:t>
            </w:r>
          </w:p>
        </w:tc>
        <w:tc>
          <w:tcPr>
            <w:tcW w:w="987" w:type="dxa"/>
            <w:shd w:val="clear" w:color="auto" w:fill="C6EFCE"/>
          </w:tcPr>
          <w:p w:rsidRPr="00062C72" w:rsidR="00D87E44" w:rsidRDefault="00D87E44" w14:paraId="154578FF" w14:textId="77777777">
            <w:pPr>
              <w:spacing w:before="0" w:after="0" w:line="240" w:lineRule="auto"/>
              <w:rPr>
                <w:noProof/>
                <w:color w:val="004300"/>
                <w:sz w:val="18"/>
                <w:szCs w:val="18"/>
                <w:lang w:val="en-IE"/>
              </w:rPr>
            </w:pPr>
            <w:r>
              <w:rPr>
                <w:noProof/>
                <w:color w:val="004300"/>
                <w:sz w:val="18"/>
                <w:szCs w:val="18"/>
                <w:lang w:val="en-IE"/>
              </w:rPr>
              <w:t>Milestone</w:t>
            </w:r>
          </w:p>
        </w:tc>
        <w:tc>
          <w:tcPr>
            <w:tcW w:w="1984" w:type="dxa"/>
            <w:shd w:val="clear" w:color="auto" w:fill="C6EFCE"/>
          </w:tcPr>
          <w:p w:rsidRPr="00062C72" w:rsidR="00D87E44" w:rsidRDefault="00D87E44" w14:paraId="15457900" w14:textId="77777777">
            <w:pPr>
              <w:spacing w:before="0" w:after="0" w:line="240" w:lineRule="auto"/>
              <w:rPr>
                <w:noProof/>
                <w:color w:val="004300"/>
                <w:sz w:val="18"/>
                <w:szCs w:val="18"/>
                <w:lang w:val="en-IE"/>
              </w:rPr>
            </w:pPr>
            <w:r>
              <w:rPr>
                <w:noProof/>
                <w:color w:val="004300"/>
                <w:sz w:val="18"/>
                <w:szCs w:val="18"/>
                <w:lang w:val="en-IE"/>
              </w:rPr>
              <w:t>P</w:t>
            </w:r>
            <w:r w:rsidRPr="008C7FAF">
              <w:rPr>
                <w:noProof/>
                <w:color w:val="004300"/>
                <w:sz w:val="18"/>
                <w:szCs w:val="18"/>
                <w:lang w:val="en-IE"/>
              </w:rPr>
              <w:t>roject</w:t>
            </w:r>
            <w:r>
              <w:rPr>
                <w:noProof/>
                <w:color w:val="004300"/>
                <w:sz w:val="18"/>
                <w:szCs w:val="18"/>
                <w:lang w:val="en-IE"/>
              </w:rPr>
              <w:t xml:space="preserve">s </w:t>
            </w:r>
            <w:r w:rsidRPr="008C7FAF">
              <w:rPr>
                <w:noProof/>
                <w:color w:val="004300"/>
                <w:sz w:val="18"/>
                <w:szCs w:val="18"/>
                <w:lang w:val="en-IE"/>
              </w:rPr>
              <w:t>related to 5G networks</w:t>
            </w:r>
          </w:p>
        </w:tc>
        <w:tc>
          <w:tcPr>
            <w:tcW w:w="1276" w:type="dxa"/>
            <w:shd w:val="clear" w:color="auto" w:fill="C6EFCE"/>
          </w:tcPr>
          <w:p w:rsidRPr="00F42F2A" w:rsidR="00D87E44" w:rsidRDefault="00D87E44" w14:paraId="15457901" w14:textId="77777777">
            <w:pPr>
              <w:spacing w:before="0" w:after="0" w:line="240" w:lineRule="auto"/>
              <w:rPr>
                <w:noProof/>
                <w:color w:val="004300"/>
                <w:sz w:val="18"/>
                <w:szCs w:val="18"/>
                <w:lang w:val="en-IE"/>
              </w:rPr>
            </w:pPr>
            <w:r>
              <w:rPr>
                <w:noProof/>
                <w:color w:val="004300"/>
                <w:sz w:val="18"/>
                <w:szCs w:val="18"/>
                <w:lang w:val="en-IE"/>
              </w:rPr>
              <w:t>Acceptance of project reports</w:t>
            </w:r>
          </w:p>
        </w:tc>
        <w:tc>
          <w:tcPr>
            <w:tcW w:w="992" w:type="dxa"/>
            <w:shd w:val="clear" w:color="auto" w:fill="C6EFCE"/>
          </w:tcPr>
          <w:p w:rsidRPr="00062C72" w:rsidR="00D87E44" w:rsidRDefault="00D87E44" w14:paraId="15457902" w14:textId="77777777">
            <w:pPr>
              <w:spacing w:before="0" w:after="0" w:line="240" w:lineRule="auto"/>
              <w:rPr>
                <w:noProof/>
                <w:color w:val="004300"/>
                <w:sz w:val="18"/>
                <w:szCs w:val="18"/>
                <w:lang w:val="en-IE"/>
              </w:rPr>
            </w:pPr>
          </w:p>
        </w:tc>
        <w:tc>
          <w:tcPr>
            <w:tcW w:w="992" w:type="dxa"/>
            <w:shd w:val="clear" w:color="auto" w:fill="C6EFCE"/>
          </w:tcPr>
          <w:p w:rsidRPr="00062C72" w:rsidR="00D87E44" w:rsidRDefault="00D87E44" w14:paraId="15457903" w14:textId="77777777">
            <w:pPr>
              <w:spacing w:before="0" w:after="0" w:line="240" w:lineRule="auto"/>
              <w:rPr>
                <w:noProof/>
                <w:color w:val="004300"/>
                <w:sz w:val="18"/>
                <w:szCs w:val="18"/>
                <w:lang w:val="en-IE"/>
              </w:rPr>
            </w:pPr>
          </w:p>
        </w:tc>
        <w:tc>
          <w:tcPr>
            <w:tcW w:w="873" w:type="dxa"/>
            <w:shd w:val="clear" w:color="auto" w:fill="C6EFCE"/>
          </w:tcPr>
          <w:p w:rsidRPr="00062C72" w:rsidR="00D87E44" w:rsidRDefault="00D87E44" w14:paraId="15457904" w14:textId="77777777">
            <w:pPr>
              <w:spacing w:before="0" w:after="0" w:line="240" w:lineRule="auto"/>
              <w:rPr>
                <w:noProof/>
                <w:color w:val="004300"/>
                <w:sz w:val="18"/>
                <w:szCs w:val="18"/>
                <w:lang w:val="en-IE"/>
              </w:rPr>
            </w:pPr>
          </w:p>
        </w:tc>
        <w:tc>
          <w:tcPr>
            <w:tcW w:w="860" w:type="dxa"/>
            <w:shd w:val="clear" w:color="auto" w:fill="C6EFCE"/>
          </w:tcPr>
          <w:p w:rsidRPr="00062C72" w:rsidR="00D87E44" w:rsidRDefault="00D87E44" w14:paraId="15457905" w14:textId="77777777">
            <w:pPr>
              <w:spacing w:before="0" w:after="0" w:line="240" w:lineRule="auto"/>
              <w:rPr>
                <w:noProof/>
                <w:color w:val="004300"/>
                <w:sz w:val="18"/>
                <w:szCs w:val="18"/>
                <w:lang w:val="en-IE"/>
              </w:rPr>
            </w:pPr>
            <w:r w:rsidRPr="00062C72">
              <w:rPr>
                <w:noProof/>
                <w:color w:val="004300"/>
                <w:sz w:val="18"/>
                <w:szCs w:val="18"/>
                <w:lang w:val="en-IE"/>
              </w:rPr>
              <w:t>Q4</w:t>
            </w:r>
          </w:p>
        </w:tc>
        <w:tc>
          <w:tcPr>
            <w:tcW w:w="847" w:type="dxa"/>
            <w:shd w:val="clear" w:color="auto" w:fill="C6EFCE"/>
          </w:tcPr>
          <w:p w:rsidRPr="00062C72" w:rsidR="00D87E44" w:rsidRDefault="00D87E44" w14:paraId="15457906" w14:textId="77777777">
            <w:pPr>
              <w:spacing w:before="0" w:after="0" w:line="240" w:lineRule="auto"/>
              <w:rPr>
                <w:noProof/>
                <w:color w:val="004300"/>
                <w:sz w:val="18"/>
                <w:szCs w:val="18"/>
                <w:lang w:val="en-IE"/>
              </w:rPr>
            </w:pPr>
            <w:r w:rsidRPr="00062C72">
              <w:rPr>
                <w:noProof/>
                <w:color w:val="004300"/>
                <w:sz w:val="18"/>
                <w:szCs w:val="18"/>
                <w:lang w:val="en-IE"/>
              </w:rPr>
              <w:t>2025</w:t>
            </w:r>
          </w:p>
        </w:tc>
        <w:tc>
          <w:tcPr>
            <w:tcW w:w="3952" w:type="dxa"/>
            <w:shd w:val="clear" w:color="auto" w:fill="C6EFCE"/>
          </w:tcPr>
          <w:p w:rsidRPr="00FF1320" w:rsidR="00D87E44" w:rsidRDefault="00D87E44" w14:paraId="15457907" w14:textId="77777777">
            <w:pPr>
              <w:spacing w:before="0" w:after="0" w:line="240" w:lineRule="auto"/>
              <w:rPr>
                <w:color w:val="004300"/>
                <w:sz w:val="18"/>
              </w:rPr>
            </w:pPr>
            <w:r w:rsidRPr="00F42F2A">
              <w:rPr>
                <w:noProof/>
                <w:color w:val="004300"/>
                <w:sz w:val="18"/>
                <w:szCs w:val="18"/>
                <w:lang w:val="en-IE"/>
              </w:rPr>
              <w:t>At least 22 projects</w:t>
            </w:r>
            <w:r>
              <w:rPr>
                <w:noProof/>
                <w:color w:val="004300"/>
                <w:sz w:val="18"/>
                <w:szCs w:val="18"/>
                <w:lang w:val="en-IE"/>
              </w:rPr>
              <w:t xml:space="preserve"> reports</w:t>
            </w:r>
            <w:r w:rsidRPr="00CC0DF7">
              <w:rPr>
                <w:noProof/>
                <w:color w:val="004300"/>
                <w:sz w:val="18"/>
                <w:lang w:val="en-IE"/>
              </w:rPr>
              <w:t xml:space="preserve"> </w:t>
            </w:r>
            <w:r>
              <w:rPr>
                <w:noProof/>
                <w:color w:val="004300"/>
                <w:sz w:val="18"/>
                <w:szCs w:val="18"/>
                <w:lang w:val="en-IE"/>
              </w:rPr>
              <w:t>of recipients</w:t>
            </w:r>
            <w:r w:rsidRPr="00CC0DF7">
              <w:rPr>
                <w:noProof/>
                <w:color w:val="004300"/>
                <w:sz w:val="18"/>
                <w:lang w:val="en-IE"/>
              </w:rPr>
              <w:t xml:space="preserve"> </w:t>
            </w:r>
            <w:r w:rsidRPr="00F42F2A">
              <w:rPr>
                <w:noProof/>
                <w:color w:val="004300"/>
                <w:sz w:val="18"/>
                <w:szCs w:val="18"/>
                <w:lang w:val="en-IE"/>
              </w:rPr>
              <w:t xml:space="preserve">shall be </w:t>
            </w:r>
            <w:r>
              <w:rPr>
                <w:noProof/>
                <w:color w:val="004300"/>
                <w:sz w:val="18"/>
                <w:szCs w:val="18"/>
                <w:lang w:val="en-IE"/>
              </w:rPr>
              <w:t xml:space="preserve">accepted by </w:t>
            </w:r>
            <w:r>
              <w:rPr>
                <w:noProof/>
                <w:color w:val="004300"/>
                <w:sz w:val="18"/>
                <w:szCs w:val="18"/>
                <w:lang w:val="en-IE"/>
              </w:rPr>
              <w:t>authorities</w:t>
            </w:r>
            <w:r w:rsidRPr="00F42F2A">
              <w:rPr>
                <w:noProof/>
                <w:color w:val="004300"/>
                <w:sz w:val="18"/>
                <w:szCs w:val="18"/>
                <w:lang w:val="en-IE"/>
              </w:rPr>
              <w:t>.</w:t>
            </w:r>
          </w:p>
        </w:tc>
      </w:tr>
    </w:tbl>
    <w:p w:rsidRPr="00FE48E2" w:rsidR="00D87E44" w:rsidP="00D226F4" w:rsidRDefault="00D87E44" w14:paraId="15457909" w14:textId="77777777">
      <w:pPr>
        <w:spacing w:line="240" w:lineRule="auto"/>
        <w:rPr>
          <w:b/>
          <w:smallCaps/>
          <w:noProof/>
          <w:lang w:val="en-IE"/>
        </w:rPr>
        <w:sectPr w:rsidRPr="00FE48E2" w:rsidR="00C16C1F" w:rsidSect="00D226F4">
          <w:headerReference w:type="even" r:id="R7c390b2889a94e80"/>
          <w:headerReference w:type="default" r:id="Rf50213f3a552478c"/>
          <w:footerReference w:type="even" r:id="R91381e51e8164308"/>
          <w:footerReference w:type="default" r:id="R0a1b860d87b64d8f"/>
          <w:headerReference w:type="first" r:id="Red701024f213471a"/>
          <w:footerReference w:type="first" r:id="R11c6c3ec06a7449a"/>
          <w:pgSz w:w="16839" w:h="11907" w:orient="landscape"/>
          <w:pgMar w:top="1134" w:right="1134" w:bottom="1134" w:left="1134" w:header="567" w:footer="567" w:gutter="0"/>
          <w:cols w:space="720"/>
          <w:docGrid w:linePitch="360"/>
        </w:sectPr>
      </w:pPr>
    </w:p>
    <w:p w:rsidRPr="00FE48E2" w:rsidR="00D87E44" w:rsidP="00D226F4" w:rsidRDefault="00D87E44" w14:paraId="1545790A" w14:textId="77777777">
      <w:pPr>
        <w:keepNext/>
        <w:tabs>
          <w:tab w:val="left" w:pos="850"/>
        </w:tabs>
        <w:spacing w:line="240" w:lineRule="auto"/>
        <w:jc w:val="both"/>
        <w:outlineLvl w:val="0"/>
        <w:rPr>
          <w:b/>
          <w:smallCaps/>
          <w:noProof/>
          <w:lang w:val="en-IE"/>
        </w:rPr>
      </w:pPr>
      <w:r w:rsidRPr="00FE48E2">
        <w:rPr>
          <w:b/>
          <w:smallCaps/>
          <w:noProof/>
          <w:lang w:val="en-IE"/>
        </w:rPr>
        <w:lastRenderedPageBreak/>
        <w:t>D. COMPONENT 1.4: Digital Economy and Society, Innovative Start-Ups and New Technology</w:t>
      </w:r>
    </w:p>
    <w:p w:rsidRPr="00FE48E2" w:rsidR="00D87E44" w:rsidP="00D226F4" w:rsidRDefault="00D87E44" w14:paraId="1545790B" w14:textId="77777777">
      <w:pPr>
        <w:spacing w:line="240" w:lineRule="auto"/>
        <w:jc w:val="both"/>
        <w:rPr>
          <w:noProof/>
          <w:szCs w:val="24"/>
          <w:lang w:val="en-IE"/>
        </w:rPr>
      </w:pPr>
      <w:r w:rsidRPr="00FE48E2">
        <w:rPr>
          <w:noProof/>
          <w:szCs w:val="24"/>
          <w:lang w:val="en-IE"/>
        </w:rPr>
        <w:t>This component of the Czech recovery and resilience plan contributes to addressing the challenge of facilitating the digitalisation and adoption of new technologies by companies, including SMEs. It also aims at setting up a body coordinating the projects focusing on the economy’s digital transformation, supporting the development and uptake of selected strategic technologies, including artificial intelligence, and improving the innovation ecosystem in particular for start-ups, including through enhanced aca</w:t>
      </w:r>
      <w:r w:rsidRPr="00FE48E2">
        <w:rPr>
          <w:noProof/>
          <w:szCs w:val="24"/>
          <w:lang w:val="en-IE"/>
        </w:rPr>
        <w:t>demia-business linkages. The planned investments are expected to foster access to finance for innovative start-ups and SMEs, inter alia through fintech and early-stage financing solutions, as well as access to training and to testing facilities in order to contribute to the uptake of new digital technologies. The component has synergies with components 1.3 [High-capacity digital networks] and 1.5 [Digital transformation of enterprises] of the Czech plan, which contribute to addressing the access to high-cap</w:t>
      </w:r>
      <w:r w:rsidRPr="00FE48E2">
        <w:rPr>
          <w:noProof/>
          <w:szCs w:val="24"/>
          <w:lang w:val="en-IE"/>
        </w:rPr>
        <w:t>acity networks and the digitalisation of business.</w:t>
      </w:r>
    </w:p>
    <w:p w:rsidRPr="00FE48E2" w:rsidR="00D87E44" w:rsidP="00D226F4" w:rsidRDefault="00D87E44" w14:paraId="1545790C" w14:textId="77777777">
      <w:pPr>
        <w:spacing w:line="240" w:lineRule="auto"/>
        <w:jc w:val="both"/>
        <w:rPr>
          <w:rFonts w:eastAsia="Times New Roman"/>
          <w:noProof/>
          <w:lang w:val="en-IE" w:eastAsia="en-GB"/>
        </w:rPr>
      </w:pPr>
      <w:r w:rsidRPr="00FE48E2">
        <w:rPr>
          <w:rFonts w:eastAsia="Times New Roman"/>
          <w:noProof/>
          <w:color w:val="000000"/>
          <w:lang w:val="en-IE" w:eastAsia="en-IE"/>
        </w:rPr>
        <w:t xml:space="preserve">The component </w:t>
      </w:r>
      <w:r w:rsidRPr="00FE48E2">
        <w:rPr>
          <w:rFonts w:eastAsia="Times New Roman"/>
          <w:noProof/>
          <w:lang w:val="en-IE" w:eastAsia="en-GB"/>
        </w:rPr>
        <w:t xml:space="preserve">supports addressing </w:t>
      </w:r>
      <w:r w:rsidRPr="00FE48E2">
        <w:rPr>
          <w:noProof/>
          <w:lang w:val="en-IE"/>
        </w:rPr>
        <w:t xml:space="preserve">Country Specific Recommendation 3 </w:t>
      </w:r>
      <w:r w:rsidRPr="00FE48E2">
        <w:rPr>
          <w:rFonts w:eastAsia="Times New Roman"/>
          <w:noProof/>
          <w:lang w:val="en-IE" w:eastAsia="en-GB"/>
        </w:rPr>
        <w:t xml:space="preserve">2019, according to which Czechia shall </w:t>
      </w:r>
      <w:r w:rsidRPr="00FE48E2">
        <w:rPr>
          <w:noProof/>
          <w:lang w:val="en-IE"/>
        </w:rPr>
        <w:t xml:space="preserve">focus investment-related economic policy on digital infrastructure and remove the barriers </w:t>
      </w:r>
      <w:r w:rsidRPr="00FE48E2">
        <w:rPr>
          <w:noProof/>
          <w:lang w:val="en-IE"/>
        </w:rPr>
        <w:t>hampering the development of a fully functioning innovation ecosystem,</w:t>
      </w:r>
      <w:r w:rsidRPr="00FE48E2">
        <w:rPr>
          <w:rFonts w:eastAsia="Times New Roman"/>
          <w:noProof/>
          <w:color w:val="000000"/>
          <w:lang w:val="en-IE" w:eastAsia="en-IE"/>
        </w:rPr>
        <w:t xml:space="preserve"> and </w:t>
      </w:r>
      <w:r w:rsidRPr="00FE48E2">
        <w:rPr>
          <w:noProof/>
          <w:lang w:val="en-IE"/>
        </w:rPr>
        <w:t xml:space="preserve">Country Specific Recommendation 3 </w:t>
      </w:r>
      <w:r w:rsidRPr="00FE48E2">
        <w:rPr>
          <w:rFonts w:eastAsia="Times New Roman"/>
          <w:noProof/>
          <w:lang w:val="en-IE" w:eastAsia="en-GB"/>
        </w:rPr>
        <w:t>2020</w:t>
      </w:r>
      <w:r w:rsidRPr="00FE48E2">
        <w:rPr>
          <w:rFonts w:eastAsia="Times New Roman"/>
          <w:noProof/>
          <w:color w:val="000000"/>
          <w:lang w:val="en-IE" w:eastAsia="en-IE"/>
        </w:rPr>
        <w:t>, according to which Czechia shall</w:t>
      </w:r>
      <w:r w:rsidRPr="00FE48E2">
        <w:rPr>
          <w:i/>
          <w:noProof/>
          <w:color w:val="000000"/>
          <w:lang w:val="en-IE"/>
        </w:rPr>
        <w:t xml:space="preserve"> </w:t>
      </w:r>
      <w:r w:rsidRPr="00FE48E2">
        <w:rPr>
          <w:noProof/>
          <w:lang w:val="en-IE"/>
        </w:rPr>
        <w:t>support small and medium-sized</w:t>
      </w:r>
      <w:r w:rsidRPr="00FE48E2">
        <w:rPr>
          <w:rFonts w:eastAsia="Times New Roman"/>
          <w:noProof/>
          <w:szCs w:val="24"/>
          <w:lang w:val="en-IE" w:eastAsia="en-GB"/>
        </w:rPr>
        <w:t xml:space="preserve"> enterprises by making greater use of financial instruments to ensure liquidity support, to focus investment on digital transition, in particular on high-capacity digital infrastructure and technology, and to ensure access to finance for innovative firms and improve public</w:t>
      </w:r>
      <w:r>
        <w:rPr>
          <w:rFonts w:eastAsia="Times New Roman"/>
          <w:noProof/>
          <w:szCs w:val="24"/>
          <w:lang w:val="en-IE" w:eastAsia="en-GB"/>
        </w:rPr>
        <w:t xml:space="preserve"> </w:t>
      </w:r>
      <w:r w:rsidRPr="00FE48E2">
        <w:rPr>
          <w:rFonts w:eastAsia="Times New Roman"/>
          <w:noProof/>
          <w:szCs w:val="24"/>
          <w:lang w:val="en-IE" w:eastAsia="en-GB"/>
        </w:rPr>
        <w:t>-private R&amp;D cooperation.</w:t>
      </w:r>
    </w:p>
    <w:p w:rsidRPr="00FE48E2" w:rsidR="00D87E44" w:rsidP="00D226F4" w:rsidRDefault="00D87E44" w14:paraId="1545790D" w14:textId="77777777">
      <w:pPr>
        <w:spacing w:line="240" w:lineRule="auto"/>
        <w:jc w:val="both"/>
        <w:rPr>
          <w:rFonts w:eastAsia="Times New Roman"/>
          <w:noProof/>
          <w:szCs w:val="24"/>
          <w:lang w:val="en-IE"/>
        </w:rPr>
      </w:pPr>
      <w:r w:rsidRPr="00FE48E2">
        <w:rPr>
          <w:rFonts w:eastAsia="Times New Roman"/>
          <w:noProof/>
          <w:szCs w:val="24"/>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In particular, the results of the R&amp;I process shall be technologically neutral at the level of their application (i.e. they shall be applied across all available technologies, including low-im</w:t>
      </w:r>
      <w:r w:rsidRPr="00FE48E2">
        <w:rPr>
          <w:rFonts w:eastAsia="Times New Roman"/>
          <w:noProof/>
          <w:szCs w:val="24"/>
          <w:lang w:val="en-IE"/>
        </w:rPr>
        <w:t>pact technologies), and the measure shall ex ante exclude R&amp;I dedicated to the ‘brown R&amp;I’ elements (i.e. coal, lignite, oil/petroleum, natural gas not covered by Annex III of the DNSH Technical Guidance, blue and grey hydrogen, incinerators and landfills).</w:t>
      </w:r>
    </w:p>
    <w:p w:rsidRPr="00FE48E2" w:rsidR="00D87E44" w:rsidP="00D226F4" w:rsidRDefault="00D87E44" w14:paraId="1545790E" w14:textId="77777777">
      <w:pPr>
        <w:spacing w:line="240" w:lineRule="auto"/>
        <w:jc w:val="both"/>
        <w:rPr>
          <w:b/>
          <w:noProof/>
          <w:u w:val="single"/>
          <w:lang w:val="en-IE"/>
        </w:rPr>
      </w:pPr>
      <w:r w:rsidRPr="00FE48E2">
        <w:rPr>
          <w:b/>
          <w:noProof/>
          <w:u w:val="single"/>
          <w:lang w:val="en-IE"/>
        </w:rPr>
        <w:t xml:space="preserve">D.1. </w:t>
      </w:r>
      <w:r w:rsidRPr="00FE48E2">
        <w:rPr>
          <w:b/>
          <w:noProof/>
          <w:u w:val="single"/>
          <w:lang w:val="en-IE"/>
        </w:rPr>
        <w:tab/>
        <w:t>Description of the reforms and investments for non-repayable financial support</w:t>
      </w:r>
    </w:p>
    <w:p w:rsidRPr="00FE48E2" w:rsidR="00D87E44" w:rsidP="00D226F4" w:rsidRDefault="00D87E44" w14:paraId="1545790F" w14:textId="77777777">
      <w:pPr>
        <w:spacing w:line="240" w:lineRule="auto"/>
        <w:jc w:val="both"/>
        <w:rPr>
          <w:rFonts w:eastAsia="Times New Roman"/>
          <w:b/>
          <w:noProof/>
          <w:lang w:val="en-IE"/>
        </w:rPr>
      </w:pPr>
      <w:r w:rsidRPr="008C7FAF">
        <w:rPr>
          <w:b/>
          <w:noProof/>
          <w:lang w:val="en-IE"/>
        </w:rPr>
        <w:t xml:space="preserve">Reform 1: </w:t>
      </w:r>
      <w:r w:rsidRPr="008C7FAF">
        <w:rPr>
          <w:rFonts w:eastAsia="Times New Roman"/>
          <w:b/>
          <w:noProof/>
          <w:lang w:val="en-IE"/>
        </w:rPr>
        <w:t>Institutional reform of the system of management for digital transformation including RIS 3 strategy</w:t>
      </w:r>
    </w:p>
    <w:p w:rsidRPr="00FE48E2" w:rsidR="00D87E44" w:rsidP="00D226F4" w:rsidRDefault="00D87E44" w14:paraId="15457910" w14:textId="77777777">
      <w:pPr>
        <w:spacing w:line="240" w:lineRule="auto"/>
        <w:jc w:val="both"/>
        <w:rPr>
          <w:rFonts w:eastAsia="Times New Roman"/>
          <w:noProof/>
          <w:lang w:val="en-IE"/>
        </w:rPr>
      </w:pPr>
      <w:r w:rsidRPr="00FE48E2">
        <w:rPr>
          <w:noProof/>
          <w:lang w:val="en-IE"/>
        </w:rPr>
        <w:t xml:space="preserve">The institutional reform aims to simplify the organisation structure overseeing the digital transformation. The newly established Digital Transformation Committee (DTC) shall </w:t>
      </w:r>
      <w:r w:rsidRPr="00FE48E2">
        <w:rPr>
          <w:rFonts w:eastAsia="Times New Roman"/>
          <w:noProof/>
          <w:lang w:val="en-IE"/>
        </w:rPr>
        <w:t>coordinat</w:t>
      </w:r>
      <w:r>
        <w:rPr>
          <w:rFonts w:eastAsia="Times New Roman"/>
          <w:noProof/>
          <w:lang w:val="en-IE"/>
        </w:rPr>
        <w:t>e</w:t>
      </w:r>
      <w:r w:rsidRPr="00FE48E2">
        <w:rPr>
          <w:rFonts w:eastAsia="Times New Roman"/>
          <w:noProof/>
          <w:lang w:val="en-IE"/>
        </w:rPr>
        <w:t xml:space="preserve"> amongst private and public stakeholders. </w:t>
      </w:r>
    </w:p>
    <w:p w:rsidRPr="00FE48E2" w:rsidR="00D87E44" w:rsidP="00D226F4" w:rsidRDefault="00D87E44" w14:paraId="15457911" w14:textId="77777777">
      <w:pPr>
        <w:spacing w:line="240" w:lineRule="auto"/>
        <w:jc w:val="both"/>
        <w:rPr>
          <w:rFonts w:eastAsia="Times New Roman"/>
          <w:noProof/>
          <w:lang w:val="en-IE"/>
        </w:rPr>
      </w:pPr>
      <w:r>
        <w:rPr>
          <w:rFonts w:eastAsia="Times New Roman"/>
          <w:noProof/>
          <w:lang w:val="en-IE"/>
        </w:rPr>
        <w:t>Furthermore, it</w:t>
      </w:r>
      <w:r w:rsidRPr="00FE48E2">
        <w:rPr>
          <w:rFonts w:eastAsia="Times New Roman"/>
          <w:noProof/>
          <w:lang w:val="en-IE"/>
        </w:rPr>
        <w:t xml:space="preserve"> shall include the establishment of a coordinating body, under the Digital Transformation Committee, responsible for the implementation of </w:t>
      </w:r>
      <w:r>
        <w:rPr>
          <w:rFonts w:eastAsia="Times New Roman"/>
          <w:noProof/>
          <w:lang w:val="en-IE"/>
        </w:rPr>
        <w:t>measures</w:t>
      </w:r>
      <w:r w:rsidRPr="00FE48E2">
        <w:rPr>
          <w:rFonts w:eastAsia="Times New Roman"/>
          <w:noProof/>
          <w:lang w:val="en-IE"/>
        </w:rPr>
        <w:t xml:space="preserve"> under this component</w:t>
      </w:r>
      <w:r>
        <w:rPr>
          <w:rFonts w:eastAsia="Times New Roman"/>
          <w:noProof/>
          <w:lang w:val="en-IE"/>
        </w:rPr>
        <w:t>.</w:t>
      </w:r>
      <w:r w:rsidRPr="00FE48E2">
        <w:rPr>
          <w:rFonts w:eastAsia="Times New Roman"/>
          <w:noProof/>
          <w:lang w:val="en-IE"/>
        </w:rPr>
        <w:t xml:space="preserve"> </w:t>
      </w:r>
    </w:p>
    <w:p w:rsidRPr="00FE48E2" w:rsidR="00D87E44" w:rsidP="00D226F4" w:rsidRDefault="00D87E44" w14:paraId="15457912" w14:textId="77777777">
      <w:pPr>
        <w:spacing w:line="240" w:lineRule="auto"/>
        <w:jc w:val="both"/>
        <w:rPr>
          <w:rFonts w:eastAsia="Times New Roman"/>
          <w:noProof/>
          <w:lang w:val="en-IE"/>
        </w:rPr>
      </w:pPr>
      <w:r w:rsidRPr="008759AB">
        <w:rPr>
          <w:rFonts w:eastAsia="Times New Roman"/>
          <w:noProof/>
          <w:lang w:val="en-IE"/>
        </w:rPr>
        <w:t>The reform shall be implemented by 31 December 2024.</w:t>
      </w:r>
    </w:p>
    <w:p w:rsidRPr="00FE48E2" w:rsidR="00D87E44" w:rsidP="00D226F4" w:rsidRDefault="00D87E44" w14:paraId="15457913" w14:textId="77777777">
      <w:pPr>
        <w:spacing w:line="240" w:lineRule="auto"/>
        <w:jc w:val="both"/>
        <w:rPr>
          <w:rFonts w:eastAsia="Times New Roman"/>
          <w:b/>
          <w:noProof/>
          <w:color w:val="000000"/>
          <w:szCs w:val="24"/>
          <w:lang w:val="en-IE"/>
        </w:rPr>
      </w:pPr>
      <w:r w:rsidRPr="008C7FAF">
        <w:rPr>
          <w:b/>
          <w:noProof/>
          <w:szCs w:val="24"/>
          <w:lang w:val="en-IE"/>
        </w:rPr>
        <w:t xml:space="preserve">Reform 2: </w:t>
      </w:r>
      <w:r w:rsidRPr="008C7FAF">
        <w:rPr>
          <w:rFonts w:eastAsia="Times New Roman"/>
          <w:b/>
          <w:noProof/>
          <w:color w:val="000000"/>
          <w:szCs w:val="24"/>
          <w:lang w:val="en-IE"/>
        </w:rPr>
        <w:t xml:space="preserve">Joint Strategic </w:t>
      </w:r>
      <w:r w:rsidRPr="008C7FAF">
        <w:rPr>
          <w:rFonts w:eastAsia="Times New Roman"/>
          <w:b/>
          <w:noProof/>
          <w:color w:val="000000"/>
          <w:szCs w:val="24"/>
          <w:lang w:val="en-IE"/>
        </w:rPr>
        <w:t>Technologies Support and Certification Group with the Strategic Technologies Board</w:t>
      </w:r>
    </w:p>
    <w:p w:rsidRPr="00FE48E2" w:rsidR="00D87E44" w:rsidP="00D226F4" w:rsidRDefault="00D87E44" w14:paraId="15457914" w14:textId="77777777">
      <w:pPr>
        <w:spacing w:line="240" w:lineRule="auto"/>
        <w:jc w:val="both"/>
        <w:rPr>
          <w:rFonts w:eastAsia="Times New Roman"/>
          <w:noProof/>
          <w:color w:val="000000"/>
          <w:lang w:val="en-IE"/>
        </w:rPr>
      </w:pPr>
      <w:r w:rsidRPr="4907303F">
        <w:rPr>
          <w:rFonts w:eastAsia="Times New Roman"/>
          <w:noProof/>
          <w:color w:val="000000" w:themeColor="text1"/>
          <w:lang w:val="en-IE"/>
        </w:rPr>
        <w:t xml:space="preserve">The reform aims to develop a network of quality management and product certification authorities as well as sharing the best practices particularly in strategic sectors, for example aeronautics and medical </w:t>
      </w:r>
      <w:r w:rsidRPr="4907303F">
        <w:rPr>
          <w:rFonts w:eastAsia="Times New Roman"/>
          <w:noProof/>
          <w:color w:val="000000" w:themeColor="text1"/>
          <w:lang w:val="en-IE"/>
        </w:rPr>
        <w:lastRenderedPageBreak/>
        <w:t>devices industry. The reform shall support activities facilitating certification processes or purchasing equipment with a focus on aeronautics and medical devices. The component shall also include consultancy and advisory services to firms in preparation for obtaining certification. The reform shall also include the creation of educational courses available to stakeholders on certification process.</w:t>
      </w:r>
    </w:p>
    <w:p w:rsidRPr="00FE48E2" w:rsidR="00D87E44" w:rsidP="00D226F4" w:rsidRDefault="00D87E44" w14:paraId="15457915" w14:textId="77777777">
      <w:pPr>
        <w:spacing w:line="240" w:lineRule="auto"/>
        <w:jc w:val="both"/>
        <w:rPr>
          <w:rFonts w:eastAsia="Times New Roman"/>
          <w:noProof/>
          <w:color w:val="000000"/>
          <w:lang w:val="en-IE"/>
        </w:rPr>
      </w:pPr>
      <w:r w:rsidRPr="008759AB">
        <w:rPr>
          <w:rFonts w:eastAsia="Times New Roman"/>
          <w:noProof/>
          <w:color w:val="000000"/>
          <w:lang w:val="en-IE"/>
        </w:rPr>
        <w:t>The reform shall be implemented by 31 December 2024.</w:t>
      </w:r>
    </w:p>
    <w:p w:rsidRPr="00FE48E2" w:rsidR="00D87E44" w:rsidP="00D226F4" w:rsidRDefault="00D87E44" w14:paraId="15457916" w14:textId="77777777">
      <w:pPr>
        <w:spacing w:line="240" w:lineRule="auto"/>
        <w:jc w:val="both"/>
        <w:rPr>
          <w:b/>
          <w:noProof/>
          <w:szCs w:val="24"/>
          <w:lang w:val="en-IE"/>
        </w:rPr>
      </w:pPr>
      <w:r w:rsidRPr="00FE48E2">
        <w:rPr>
          <w:b/>
          <w:noProof/>
          <w:szCs w:val="24"/>
          <w:lang w:val="en-IE"/>
        </w:rPr>
        <w:t xml:space="preserve">Investment 2: </w:t>
      </w:r>
      <w:r w:rsidRPr="00FE48E2">
        <w:rPr>
          <w:b/>
          <w:noProof/>
          <w:szCs w:val="24"/>
          <w:lang w:val="en-IE"/>
        </w:rPr>
        <w:t>European Digital Media Observatory Hub (EDMO)</w:t>
      </w:r>
    </w:p>
    <w:p w:rsidRPr="00FE48E2" w:rsidR="00D87E44" w:rsidP="00D226F4" w:rsidRDefault="00D87E44" w14:paraId="15457917" w14:textId="77777777">
      <w:pPr>
        <w:spacing w:line="240" w:lineRule="auto"/>
        <w:jc w:val="both"/>
        <w:rPr>
          <w:noProof/>
          <w:lang w:val="en-IE"/>
        </w:rPr>
      </w:pPr>
      <w:r w:rsidRPr="4A45BCA2">
        <w:rPr>
          <w:noProof/>
          <w:lang w:val="en-IE"/>
        </w:rPr>
        <w:t xml:space="preserve">The objective of this investment is to establish the Central European Digital Media Observatory (CEDMO). This measure consists in the establishment of a consortium, the expansion of its activities and the publication of studies on disinformation and AI. </w:t>
      </w:r>
    </w:p>
    <w:p w:rsidRPr="003F4FED" w:rsidR="00D87E44" w:rsidP="00D226F4" w:rsidRDefault="00D87E44" w14:paraId="15457918" w14:textId="77777777">
      <w:pPr>
        <w:spacing w:line="240" w:lineRule="auto"/>
        <w:jc w:val="both"/>
        <w:rPr>
          <w:b/>
          <w:noProof/>
          <w:lang w:val="en-IE"/>
        </w:rPr>
      </w:pPr>
      <w:r w:rsidRPr="008C7FAF">
        <w:rPr>
          <w:b/>
          <w:noProof/>
          <w:lang w:val="en-IE"/>
        </w:rPr>
        <w:t>Investment 5: European Blockchain Services Infrastructure (compatible with EBSI) DLT bonds for SME financing</w:t>
      </w:r>
    </w:p>
    <w:p w:rsidRPr="00FE48E2" w:rsidR="00D87E44" w:rsidP="00D226F4" w:rsidRDefault="00D87E44" w14:paraId="15457919" w14:textId="77777777">
      <w:pPr>
        <w:spacing w:line="240" w:lineRule="auto"/>
        <w:jc w:val="both"/>
        <w:rPr>
          <w:rFonts w:ascii="Calibri" w:hAnsi="Calibri" w:eastAsia="Times New Roman"/>
          <w:noProof/>
          <w:sz w:val="22"/>
          <w:lang w:val="en-IE"/>
        </w:rPr>
      </w:pPr>
      <w:r w:rsidRPr="00FE48E2">
        <w:rPr>
          <w:rFonts w:eastAsia="Times New Roman"/>
          <w:noProof/>
          <w:szCs w:val="24"/>
          <w:lang w:val="en-IE"/>
        </w:rPr>
        <w:t xml:space="preserve">The measure shall support the implementation of </w:t>
      </w:r>
      <w:r>
        <w:rPr>
          <w:rFonts w:eastAsia="Times New Roman"/>
          <w:noProof/>
          <w:szCs w:val="24"/>
          <w:lang w:val="en-IE"/>
        </w:rPr>
        <w:t>a</w:t>
      </w:r>
      <w:r w:rsidRPr="00FE48E2">
        <w:rPr>
          <w:rFonts w:eastAsia="Times New Roman"/>
          <w:noProof/>
          <w:szCs w:val="24"/>
          <w:lang w:val="en-IE"/>
        </w:rPr>
        <w:t xml:space="preserve"> use case focused on creation of pan-European (Distributed Ledger Technology) DLT bond platform for SME debt financing. The project shall contribute to enabling SMEs easier access to finance, to reducing costs and increasing transparency</w:t>
      </w:r>
      <w:r>
        <w:rPr>
          <w:rFonts w:eastAsia="Times New Roman"/>
          <w:noProof/>
          <w:szCs w:val="24"/>
          <w:lang w:val="en-IE"/>
        </w:rPr>
        <w:t xml:space="preserve"> and shall be compatible with EBSI</w:t>
      </w:r>
      <w:r w:rsidRPr="00FE48E2">
        <w:rPr>
          <w:rFonts w:eastAsia="Times New Roman"/>
          <w:noProof/>
          <w:szCs w:val="24"/>
          <w:lang w:val="en-IE"/>
        </w:rPr>
        <w:t xml:space="preserve">. </w:t>
      </w:r>
    </w:p>
    <w:p w:rsidRPr="00FE48E2" w:rsidR="00D87E44" w:rsidP="00D226F4" w:rsidRDefault="00D87E44" w14:paraId="1545791A" w14:textId="77777777">
      <w:pPr>
        <w:spacing w:line="240" w:lineRule="auto"/>
        <w:jc w:val="both"/>
        <w:rPr>
          <w:noProof/>
          <w:color w:val="000000"/>
          <w:szCs w:val="24"/>
          <w:lang w:val="en-IE"/>
        </w:rPr>
      </w:pPr>
      <w:r w:rsidRPr="008759AB">
        <w:rPr>
          <w:noProof/>
          <w:color w:val="000000"/>
          <w:szCs w:val="24"/>
          <w:lang w:val="en-IE"/>
        </w:rPr>
        <w:t>The investment shall be completed by 30 June 2024.</w:t>
      </w:r>
      <w:r w:rsidRPr="00FE48E2">
        <w:rPr>
          <w:noProof/>
          <w:color w:val="000000"/>
          <w:szCs w:val="24"/>
          <w:lang w:val="en-IE"/>
        </w:rPr>
        <w:t xml:space="preserve"> </w:t>
      </w:r>
    </w:p>
    <w:p w:rsidRPr="00FE48E2" w:rsidR="00D87E44" w:rsidP="00D226F4" w:rsidRDefault="00D87E44" w14:paraId="1545791B" w14:textId="77777777">
      <w:pPr>
        <w:spacing w:line="240" w:lineRule="auto"/>
        <w:jc w:val="both"/>
        <w:rPr>
          <w:b/>
          <w:noProof/>
          <w:szCs w:val="24"/>
          <w:lang w:val="en-IE"/>
        </w:rPr>
      </w:pPr>
      <w:r w:rsidRPr="00FE48E2">
        <w:rPr>
          <w:b/>
          <w:noProof/>
          <w:szCs w:val="24"/>
          <w:lang w:val="en-IE"/>
        </w:rPr>
        <w:t>Investment 6: Demonstrative application projects for cities and industrial areas</w:t>
      </w:r>
    </w:p>
    <w:p w:rsidRPr="00FF1320" w:rsidR="00D87E44" w:rsidP="4A45BCA2" w:rsidRDefault="00D87E44" w14:paraId="1545791C" w14:textId="77777777">
      <w:pPr>
        <w:spacing w:line="240" w:lineRule="auto"/>
        <w:jc w:val="both"/>
        <w:rPr>
          <w:rFonts w:ascii="Calibri" w:hAnsi="Calibri"/>
          <w:sz w:val="22"/>
          <w:lang w:val="en-IE"/>
        </w:rPr>
      </w:pPr>
      <w:r w:rsidRPr="4A45BCA2">
        <w:rPr>
          <w:noProof/>
          <w:lang w:val="en-IE"/>
        </w:rPr>
        <w:t>The objective of this investment is to</w:t>
      </w:r>
      <w:r w:rsidRPr="4A45BCA2">
        <w:rPr>
          <w:rFonts w:eastAsia="Times New Roman"/>
          <w:noProof/>
          <w:lang w:val="en-IE"/>
        </w:rPr>
        <w:t xml:space="preserve"> showcase the practical application of digital technologies in cities or in industry. </w:t>
      </w:r>
      <w:r w:rsidRPr="4A45BCA2">
        <w:rPr>
          <w:noProof/>
          <w:lang w:val="en-IE"/>
        </w:rPr>
        <w:t>This measure consists of demonstration projects on use-cases for application of 5G and alternative technologies</w:t>
      </w:r>
      <w:r w:rsidRPr="4A45BCA2">
        <w:rPr>
          <w:lang w:val="en-IE"/>
        </w:rPr>
        <w:t xml:space="preserve">. </w:t>
      </w:r>
    </w:p>
    <w:p w:rsidRPr="00FE48E2" w:rsidR="00D87E44" w:rsidP="00D226F4" w:rsidRDefault="00D87E44" w14:paraId="1545791D" w14:textId="77777777">
      <w:pPr>
        <w:spacing w:line="240" w:lineRule="auto"/>
        <w:jc w:val="both"/>
        <w:rPr>
          <w:b/>
          <w:noProof/>
          <w:lang w:val="en-IE"/>
        </w:rPr>
      </w:pPr>
      <w:r w:rsidRPr="008C7FAF">
        <w:rPr>
          <w:b/>
          <w:noProof/>
          <w:lang w:val="en-IE"/>
        </w:rPr>
        <w:t>Investment 7: Czech Rise-Up Programme</w:t>
      </w:r>
    </w:p>
    <w:p w:rsidRPr="00FE48E2" w:rsidR="00D87E44" w:rsidP="00D226F4" w:rsidRDefault="00D87E44" w14:paraId="1545791E" w14:textId="77777777">
      <w:pPr>
        <w:spacing w:line="240" w:lineRule="auto"/>
        <w:jc w:val="both"/>
        <w:rPr>
          <w:rFonts w:ascii="Calibri" w:hAnsi="Calibri" w:eastAsia="Times New Roman"/>
          <w:noProof/>
          <w:sz w:val="22"/>
          <w:lang w:val="en-IE"/>
        </w:rPr>
      </w:pPr>
      <w:r w:rsidRPr="00FE48E2">
        <w:rPr>
          <w:rFonts w:eastAsia="Times New Roman"/>
          <w:noProof/>
          <w:szCs w:val="24"/>
          <w:lang w:val="en-IE"/>
        </w:rPr>
        <w:t>The Czech ‘Rise-Up’ programme shall tackle the economic and social impact of the pandemic and it shall include two separate calls for projects: the first call shall be open to project proposals aiming at COVID-related medical research and development projects, which have reached the maturity of near-completion, certification or legal protection. The second call shall be open to projects aiming at digital technological solutions to cope with the economic and social consequences of the COVID crisis, in partic</w:t>
      </w:r>
      <w:r w:rsidRPr="00FE48E2">
        <w:rPr>
          <w:rFonts w:eastAsia="Times New Roman"/>
          <w:noProof/>
          <w:szCs w:val="24"/>
          <w:lang w:val="en-IE"/>
        </w:rPr>
        <w:t>ular in the fields of health, education, audio-visual sector, digital transformation of traditional businesses and sectors.</w:t>
      </w:r>
    </w:p>
    <w:p w:rsidRPr="00FE48E2" w:rsidR="00D87E44" w:rsidP="00D226F4" w:rsidRDefault="00D87E44" w14:paraId="1545791F" w14:textId="77777777">
      <w:pPr>
        <w:spacing w:line="240" w:lineRule="auto"/>
        <w:jc w:val="both"/>
        <w:rPr>
          <w:noProof/>
          <w:color w:val="000000"/>
          <w:szCs w:val="24"/>
          <w:lang w:val="en-IE"/>
        </w:rPr>
      </w:pPr>
      <w:r w:rsidRPr="008759AB">
        <w:rPr>
          <w:noProof/>
          <w:color w:val="000000"/>
          <w:szCs w:val="24"/>
          <w:lang w:val="en-IE"/>
        </w:rPr>
        <w:t>The investment shall be completed by 31 December 2023.</w:t>
      </w:r>
      <w:r w:rsidRPr="00FE48E2">
        <w:rPr>
          <w:noProof/>
          <w:color w:val="000000"/>
          <w:szCs w:val="24"/>
          <w:lang w:val="en-IE"/>
        </w:rPr>
        <w:t xml:space="preserve"> </w:t>
      </w:r>
    </w:p>
    <w:p w:rsidRPr="00FE48E2" w:rsidR="00D87E44" w:rsidP="00D226F4" w:rsidRDefault="00D87E44" w14:paraId="15457920" w14:textId="77777777">
      <w:pPr>
        <w:spacing w:line="240" w:lineRule="auto"/>
        <w:jc w:val="both"/>
        <w:rPr>
          <w:rFonts w:eastAsia="Times New Roman"/>
          <w:b/>
          <w:noProof/>
          <w:color w:val="000000"/>
          <w:lang w:val="en-IE"/>
        </w:rPr>
      </w:pPr>
      <w:r w:rsidRPr="008C7FAF">
        <w:rPr>
          <w:b/>
          <w:noProof/>
          <w:lang w:val="en-IE"/>
        </w:rPr>
        <w:t xml:space="preserve">Investment 8: </w:t>
      </w:r>
      <w:r w:rsidRPr="008C7FAF">
        <w:rPr>
          <w:rFonts w:eastAsia="Times New Roman"/>
          <w:b/>
          <w:noProof/>
          <w:color w:val="000000"/>
          <w:lang w:val="en-IE"/>
        </w:rPr>
        <w:t>Fostering entrepreneurship and innovative firms</w:t>
      </w:r>
    </w:p>
    <w:p w:rsidRPr="00FE48E2" w:rsidR="00D87E44" w:rsidP="00D226F4" w:rsidRDefault="00D87E44" w14:paraId="15457921" w14:textId="77777777">
      <w:pPr>
        <w:spacing w:line="240" w:lineRule="auto"/>
        <w:jc w:val="both"/>
        <w:rPr>
          <w:rFonts w:ascii="Calibri" w:hAnsi="Calibri" w:eastAsia="Times New Roman"/>
          <w:noProof/>
          <w:color w:val="000000"/>
          <w:sz w:val="22"/>
          <w:lang w:val="en-IE"/>
        </w:rPr>
      </w:pPr>
      <w:r w:rsidRPr="00FE48E2">
        <w:rPr>
          <w:rFonts w:eastAsia="Times New Roman"/>
          <w:noProof/>
          <w:szCs w:val="24"/>
          <w:lang w:val="en-IE"/>
        </w:rPr>
        <w:t xml:space="preserve">This measure aims at fostering entrepreneurship and at supporting the successful launch of new enterprises across Czechia. The measure shall include advisory, consultancy </w:t>
      </w:r>
      <w:r>
        <w:rPr>
          <w:rFonts w:eastAsia="Times New Roman"/>
          <w:noProof/>
          <w:szCs w:val="24"/>
          <w:lang w:val="en-IE"/>
        </w:rPr>
        <w:t>or</w:t>
      </w:r>
      <w:r w:rsidRPr="00FE48E2">
        <w:rPr>
          <w:rFonts w:eastAsia="Times New Roman"/>
          <w:noProof/>
          <w:szCs w:val="24"/>
          <w:lang w:val="en-IE"/>
        </w:rPr>
        <w:t xml:space="preserve"> mentoring services provided </w:t>
      </w:r>
      <w:r>
        <w:rPr>
          <w:rFonts w:eastAsia="Times New Roman"/>
          <w:noProof/>
          <w:szCs w:val="24"/>
          <w:lang w:val="en-IE"/>
        </w:rPr>
        <w:t>to companies, entrepreneurs and individuals</w:t>
      </w:r>
      <w:r w:rsidRPr="00FE48E2">
        <w:rPr>
          <w:rFonts w:eastAsia="Times New Roman"/>
          <w:noProof/>
          <w:szCs w:val="24"/>
          <w:lang w:val="en-IE"/>
        </w:rPr>
        <w:t>. The measure shall also include</w:t>
      </w:r>
      <w:r>
        <w:rPr>
          <w:rFonts w:eastAsia="Times New Roman"/>
          <w:noProof/>
          <w:szCs w:val="24"/>
          <w:lang w:val="en-IE"/>
        </w:rPr>
        <w:t xml:space="preserve"> </w:t>
      </w:r>
      <w:r w:rsidRPr="00FE48E2">
        <w:rPr>
          <w:rFonts w:eastAsia="Times New Roman"/>
          <w:noProof/>
          <w:szCs w:val="24"/>
          <w:lang w:val="en-IE"/>
        </w:rPr>
        <w:t xml:space="preserve">awareness raising campaigns to promote entrepreneurship. </w:t>
      </w:r>
    </w:p>
    <w:p w:rsidRPr="00FE48E2" w:rsidR="00D87E44" w:rsidP="00D226F4" w:rsidRDefault="00D87E44" w14:paraId="15457922" w14:textId="77777777">
      <w:pPr>
        <w:spacing w:line="240" w:lineRule="auto"/>
        <w:jc w:val="both"/>
        <w:rPr>
          <w:noProof/>
          <w:color w:val="000000"/>
          <w:szCs w:val="24"/>
          <w:lang w:val="en-IE"/>
        </w:rPr>
      </w:pPr>
      <w:r w:rsidRPr="008759AB">
        <w:rPr>
          <w:noProof/>
          <w:color w:val="000000"/>
          <w:szCs w:val="24"/>
          <w:lang w:val="en-IE"/>
        </w:rPr>
        <w:t>The investment shall be completed by 31 December 2024.</w:t>
      </w:r>
      <w:r w:rsidRPr="00FE48E2">
        <w:rPr>
          <w:noProof/>
          <w:color w:val="000000"/>
          <w:szCs w:val="24"/>
          <w:lang w:val="en-IE"/>
        </w:rPr>
        <w:t xml:space="preserve"> </w:t>
      </w:r>
    </w:p>
    <w:p w:rsidRPr="00FE48E2" w:rsidR="00D87E44" w:rsidP="00D226F4" w:rsidRDefault="00D87E44" w14:paraId="15457923" w14:textId="77777777">
      <w:pPr>
        <w:spacing w:line="240" w:lineRule="auto"/>
        <w:jc w:val="both"/>
        <w:rPr>
          <w:b/>
          <w:noProof/>
          <w:lang w:val="en-IE"/>
        </w:rPr>
      </w:pPr>
      <w:bookmarkStart w:name="_Hlk214018357" w:id="6"/>
      <w:r w:rsidRPr="00A853F6">
        <w:rPr>
          <w:b/>
          <w:noProof/>
          <w:lang w:val="en-IE"/>
        </w:rPr>
        <w:t xml:space="preserve">Investment 9: </w:t>
      </w:r>
      <w:r>
        <w:rPr>
          <w:b/>
          <w:noProof/>
          <w:lang w:val="en-IE"/>
        </w:rPr>
        <w:t>Fund of f</w:t>
      </w:r>
      <w:r w:rsidRPr="00A853F6">
        <w:rPr>
          <w:b/>
          <w:noProof/>
          <w:lang w:val="en-IE"/>
        </w:rPr>
        <w:t>unds for the development of pre</w:t>
      </w:r>
      <w:r>
        <w:rPr>
          <w:b/>
          <w:noProof/>
          <w:lang w:val="en-IE"/>
        </w:rPr>
        <w:t>-</w:t>
      </w:r>
      <w:r w:rsidRPr="00A853F6">
        <w:rPr>
          <w:b/>
          <w:noProof/>
          <w:lang w:val="en-IE"/>
        </w:rPr>
        <w:t xml:space="preserve">seed investments, strategic digital technologies </w:t>
      </w:r>
      <w:r>
        <w:rPr>
          <w:b/>
          <w:noProof/>
          <w:lang w:val="en-IE"/>
        </w:rPr>
        <w:t xml:space="preserve">or </w:t>
      </w:r>
      <w:r w:rsidRPr="00A853F6">
        <w:rPr>
          <w:b/>
          <w:noProof/>
          <w:lang w:val="en-IE"/>
        </w:rPr>
        <w:t xml:space="preserve">spin-offs </w:t>
      </w:r>
    </w:p>
    <w:p w:rsidRPr="00A43E81" w:rsidR="00D87E44" w:rsidP="00A43E81" w:rsidRDefault="00D87E44" w14:paraId="15457924" w14:textId="77777777">
      <w:pPr>
        <w:spacing w:line="240" w:lineRule="auto"/>
        <w:jc w:val="both"/>
        <w:rPr>
          <w:rFonts w:eastAsia="Times New Roman"/>
          <w:noProof/>
          <w:lang w:val="en-IE"/>
        </w:rPr>
      </w:pPr>
      <w:r w:rsidRPr="008A0730">
        <w:rPr>
          <w:rFonts w:eastAsia="Times New Roman"/>
          <w:noProof/>
          <w:lang w:val="en-IE"/>
        </w:rPr>
        <w:lastRenderedPageBreak/>
        <w:t>The objective of this investment is to support venture capital and the digital transformation of the economy. It consists of a fund of funds managed by the European Investment Fund investing</w:t>
      </w:r>
      <w:r>
        <w:rPr>
          <w:rFonts w:eastAsia="Times New Roman"/>
          <w:noProof/>
          <w:lang w:val="en-IE"/>
        </w:rPr>
        <w:t xml:space="preserve"> amongst others</w:t>
      </w:r>
      <w:r w:rsidRPr="008A0730">
        <w:rPr>
          <w:rFonts w:eastAsia="Times New Roman"/>
          <w:noProof/>
          <w:lang w:val="en-IE"/>
        </w:rPr>
        <w:t xml:space="preserve"> in (pre)seed investments, strategic digital technologies </w:t>
      </w:r>
      <w:r>
        <w:rPr>
          <w:rFonts w:eastAsia="Times New Roman"/>
          <w:noProof/>
          <w:lang w:val="en-IE"/>
        </w:rPr>
        <w:t>or</w:t>
      </w:r>
      <w:r w:rsidRPr="008A0730">
        <w:rPr>
          <w:rFonts w:eastAsia="Times New Roman"/>
          <w:noProof/>
          <w:lang w:val="en-IE"/>
        </w:rPr>
        <w:t xml:space="preserve"> spin-offs</w:t>
      </w:r>
      <w:r>
        <w:rPr>
          <w:rFonts w:eastAsia="Times New Roman"/>
          <w:noProof/>
          <w:lang w:val="en-IE"/>
        </w:rPr>
        <w:t>.</w:t>
      </w:r>
      <w:bookmarkEnd w:id="6"/>
    </w:p>
    <w:p w:rsidRPr="00FE48E2" w:rsidR="00D87E44" w:rsidP="00D226F4" w:rsidRDefault="00D87E44" w14:paraId="15457925" w14:textId="77777777">
      <w:pPr>
        <w:spacing w:line="240" w:lineRule="auto"/>
        <w:jc w:val="both"/>
        <w:rPr>
          <w:rFonts w:eastAsia="Times New Roman"/>
          <w:b/>
          <w:noProof/>
          <w:color w:val="000000"/>
          <w:szCs w:val="24"/>
          <w:lang w:val="en-IE" w:eastAsia="cs-CZ"/>
        </w:rPr>
      </w:pPr>
      <w:r w:rsidRPr="00FE48E2">
        <w:rPr>
          <w:b/>
          <w:noProof/>
          <w:szCs w:val="24"/>
          <w:lang w:val="en-IE"/>
        </w:rPr>
        <w:t xml:space="preserve">Investment 10: </w:t>
      </w:r>
      <w:r w:rsidRPr="00FE48E2">
        <w:rPr>
          <w:rFonts w:eastAsia="Times New Roman"/>
          <w:b/>
          <w:noProof/>
          <w:color w:val="000000"/>
          <w:szCs w:val="24"/>
          <w:lang w:val="en-IE" w:eastAsia="cs-CZ"/>
        </w:rPr>
        <w:t xml:space="preserve">Internationalisation of </w:t>
      </w:r>
      <w:r>
        <w:rPr>
          <w:rFonts w:eastAsia="Times New Roman"/>
          <w:b/>
          <w:noProof/>
          <w:color w:val="000000"/>
          <w:szCs w:val="24"/>
          <w:lang w:val="en-IE" w:eastAsia="cs-CZ"/>
        </w:rPr>
        <w:t>businesses</w:t>
      </w:r>
    </w:p>
    <w:p w:rsidRPr="00FE48E2" w:rsidR="00D87E44" w:rsidP="00D226F4" w:rsidRDefault="00D87E44" w14:paraId="15457926" w14:textId="77777777">
      <w:pPr>
        <w:spacing w:line="240" w:lineRule="auto"/>
        <w:jc w:val="both"/>
        <w:rPr>
          <w:rFonts w:ascii="Calibri" w:hAnsi="Calibri" w:eastAsia="Times New Roman"/>
          <w:noProof/>
          <w:sz w:val="22"/>
          <w:lang w:val="en-IE"/>
        </w:rPr>
      </w:pPr>
      <w:r w:rsidRPr="00FE48E2">
        <w:rPr>
          <w:rFonts w:eastAsia="Times New Roman"/>
          <w:noProof/>
          <w:szCs w:val="24"/>
          <w:lang w:val="en-IE"/>
        </w:rPr>
        <w:t xml:space="preserve">The objective of this </w:t>
      </w:r>
      <w:r>
        <w:rPr>
          <w:rFonts w:eastAsia="Times New Roman"/>
          <w:noProof/>
          <w:szCs w:val="24"/>
          <w:lang w:val="en-IE"/>
        </w:rPr>
        <w:t>investment</w:t>
      </w:r>
      <w:r w:rsidRPr="00FE48E2">
        <w:rPr>
          <w:rFonts w:eastAsia="Times New Roman"/>
          <w:noProof/>
          <w:szCs w:val="24"/>
          <w:lang w:val="en-IE"/>
        </w:rPr>
        <w:t xml:space="preserve"> is to </w:t>
      </w:r>
      <w:r>
        <w:rPr>
          <w:rFonts w:eastAsia="Times New Roman"/>
          <w:noProof/>
          <w:szCs w:val="24"/>
          <w:lang w:val="en-IE"/>
        </w:rPr>
        <w:t>support</w:t>
      </w:r>
      <w:r w:rsidRPr="00FE48E2">
        <w:rPr>
          <w:rFonts w:eastAsia="Times New Roman"/>
          <w:noProof/>
          <w:szCs w:val="24"/>
          <w:lang w:val="en-IE"/>
        </w:rPr>
        <w:t xml:space="preserve"> </w:t>
      </w:r>
      <w:r>
        <w:rPr>
          <w:rFonts w:eastAsia="Times New Roman"/>
          <w:noProof/>
          <w:szCs w:val="24"/>
          <w:lang w:val="en-IE"/>
        </w:rPr>
        <w:t xml:space="preserve">businesses in their effort to expand abroad. </w:t>
      </w:r>
      <w:r>
        <w:rPr>
          <w:noProof/>
          <w:lang w:val="en-IE"/>
        </w:rPr>
        <w:t>This measure consists in the provision of services including but not limited to</w:t>
      </w:r>
      <w:r w:rsidRPr="00FE48E2">
        <w:rPr>
          <w:rFonts w:eastAsia="Times New Roman"/>
          <w:noProof/>
          <w:szCs w:val="24"/>
          <w:lang w:val="en-IE"/>
        </w:rPr>
        <w:t xml:space="preserve"> training, advisory and consulting services </w:t>
      </w:r>
      <w:r>
        <w:rPr>
          <w:rFonts w:eastAsia="Times New Roman"/>
          <w:noProof/>
          <w:szCs w:val="24"/>
          <w:lang w:val="en-IE"/>
        </w:rPr>
        <w:t>to businesses with a focus on expansion abroad</w:t>
      </w:r>
      <w:r w:rsidRPr="00FE48E2">
        <w:rPr>
          <w:rFonts w:eastAsia="Times New Roman"/>
          <w:noProof/>
          <w:szCs w:val="24"/>
          <w:lang w:val="en-IE"/>
        </w:rPr>
        <w:t>.</w:t>
      </w:r>
    </w:p>
    <w:p w:rsidRPr="002609D3" w:rsidR="00D87E44" w:rsidP="00D226F4" w:rsidRDefault="00D87E44" w14:paraId="15457927" w14:textId="77777777">
      <w:pPr>
        <w:spacing w:line="240" w:lineRule="auto"/>
        <w:jc w:val="both"/>
        <w:rPr>
          <w:b/>
          <w:bCs/>
          <w:noProof/>
          <w:color w:val="000000"/>
          <w:szCs w:val="24"/>
          <w:lang w:val="en-IE"/>
        </w:rPr>
      </w:pPr>
      <w:r w:rsidRPr="002609D3">
        <w:rPr>
          <w:b/>
          <w:bCs/>
          <w:noProof/>
          <w:color w:val="000000"/>
          <w:szCs w:val="24"/>
          <w:lang w:val="en-IE"/>
        </w:rPr>
        <w:t xml:space="preserve">Investment 11: </w:t>
      </w:r>
      <w:r w:rsidRPr="002609D3">
        <w:rPr>
          <w:b/>
          <w:bCs/>
          <w:noProof/>
          <w:szCs w:val="24"/>
          <w:lang w:val="en-IE"/>
        </w:rPr>
        <w:t>Digital Regulatory sandbox in line with EU priorities</w:t>
      </w:r>
    </w:p>
    <w:p w:rsidRPr="00FE48E2" w:rsidR="00D87E44" w:rsidP="00D226F4" w:rsidRDefault="00D87E44" w14:paraId="15457928" w14:textId="77777777">
      <w:pPr>
        <w:spacing w:line="240" w:lineRule="auto"/>
        <w:jc w:val="both"/>
        <w:rPr>
          <w:rFonts w:ascii="Calibri" w:hAnsi="Calibri"/>
          <w:noProof/>
          <w:sz w:val="22"/>
          <w:lang w:val="en-IE"/>
        </w:rPr>
      </w:pPr>
      <w:r w:rsidRPr="00FE48E2">
        <w:rPr>
          <w:rFonts w:eastAsia="Times New Roman"/>
          <w:noProof/>
          <w:szCs w:val="24"/>
          <w:lang w:val="en-IE"/>
        </w:rPr>
        <w:t xml:space="preserve">The objective of this </w:t>
      </w:r>
      <w:r>
        <w:rPr>
          <w:rFonts w:eastAsia="Times New Roman"/>
          <w:noProof/>
          <w:szCs w:val="24"/>
          <w:lang w:val="en-IE"/>
        </w:rPr>
        <w:t>investment</w:t>
      </w:r>
      <w:r w:rsidRPr="00FE48E2">
        <w:rPr>
          <w:rFonts w:eastAsia="Times New Roman"/>
          <w:noProof/>
          <w:szCs w:val="24"/>
          <w:lang w:val="en-IE"/>
        </w:rPr>
        <w:t xml:space="preserve"> is </w:t>
      </w:r>
      <w:r>
        <w:rPr>
          <w:rFonts w:eastAsia="Times New Roman"/>
          <w:noProof/>
          <w:szCs w:val="24"/>
          <w:lang w:val="en-IE"/>
        </w:rPr>
        <w:t xml:space="preserve">to provide a testing environment for the products and services of fintech companies. </w:t>
      </w:r>
      <w:r>
        <w:rPr>
          <w:noProof/>
          <w:lang w:val="en-IE"/>
        </w:rPr>
        <w:t>This measure consists in the</w:t>
      </w:r>
      <w:r>
        <w:rPr>
          <w:rFonts w:eastAsia="Times New Roman"/>
          <w:noProof/>
          <w:szCs w:val="24"/>
          <w:lang w:val="en-IE"/>
        </w:rPr>
        <w:t xml:space="preserve"> </w:t>
      </w:r>
      <w:r w:rsidRPr="00FE48E2">
        <w:rPr>
          <w:rFonts w:eastAsia="Times New Roman"/>
          <w:noProof/>
          <w:lang w:val="en-IE"/>
        </w:rPr>
        <w:t xml:space="preserve">launch </w:t>
      </w:r>
      <w:r>
        <w:rPr>
          <w:rFonts w:eastAsia="Times New Roman"/>
          <w:noProof/>
          <w:lang w:val="en-IE"/>
        </w:rPr>
        <w:t>of a</w:t>
      </w:r>
      <w:r w:rsidRPr="00FE48E2">
        <w:rPr>
          <w:rFonts w:eastAsia="Times New Roman"/>
          <w:noProof/>
          <w:lang w:val="en-IE"/>
        </w:rPr>
        <w:t xml:space="preserve"> regulatory sandbox</w:t>
      </w:r>
      <w:r>
        <w:rPr>
          <w:rFonts w:eastAsia="Times New Roman"/>
          <w:noProof/>
          <w:lang w:val="en-IE"/>
        </w:rPr>
        <w:t xml:space="preserve"> and the participation of companies in the sandbox</w:t>
      </w:r>
      <w:r w:rsidRPr="00FE48E2">
        <w:rPr>
          <w:rFonts w:eastAsia="Times New Roman"/>
          <w:noProof/>
          <w:lang w:val="en-IE"/>
        </w:rPr>
        <w:t xml:space="preserve">. </w:t>
      </w:r>
    </w:p>
    <w:p w:rsidR="00D87E44" w:rsidRDefault="00D87E44" w14:paraId="15457929" w14:textId="77777777">
      <w:pPr>
        <w:spacing w:before="0" w:after="160" w:line="259" w:lineRule="auto"/>
        <w:rPr>
          <w:b/>
          <w:noProof/>
          <w:szCs w:val="24"/>
          <w:lang w:val="en-IE"/>
        </w:rPr>
      </w:pPr>
      <w:r>
        <w:rPr>
          <w:b/>
          <w:noProof/>
          <w:szCs w:val="24"/>
          <w:lang w:val="en-IE"/>
        </w:rPr>
        <w:br w:type="page"/>
      </w:r>
    </w:p>
    <w:p w:rsidRPr="00FE48E2" w:rsidR="00D87E44" w:rsidP="00D226F4" w:rsidRDefault="00D87E44" w14:paraId="1545792A" w14:textId="77777777">
      <w:pPr>
        <w:spacing w:line="240" w:lineRule="auto"/>
        <w:jc w:val="both"/>
        <w:rPr>
          <w:b/>
          <w:noProof/>
          <w:szCs w:val="24"/>
          <w:lang w:val="en-IE"/>
        </w:rPr>
      </w:pPr>
      <w:r w:rsidRPr="00FE48E2">
        <w:rPr>
          <w:b/>
          <w:noProof/>
          <w:szCs w:val="24"/>
          <w:lang w:val="en-IE"/>
        </w:rPr>
        <w:lastRenderedPageBreak/>
        <w:t xml:space="preserve">Investment 12: Building quantum </w:t>
      </w:r>
      <w:r w:rsidRPr="00FE48E2">
        <w:rPr>
          <w:b/>
          <w:noProof/>
          <w:szCs w:val="24"/>
          <w:lang w:val="en-IE"/>
        </w:rPr>
        <w:t>communication infrastructure</w:t>
      </w:r>
    </w:p>
    <w:p w:rsidRPr="00FE48E2" w:rsidR="00D87E44" w:rsidP="00D226F4" w:rsidRDefault="00D87E44" w14:paraId="1545792B" w14:textId="77777777">
      <w:pPr>
        <w:spacing w:line="240" w:lineRule="auto"/>
        <w:jc w:val="both"/>
        <w:rPr>
          <w:rFonts w:eastAsia="Times New Roman"/>
          <w:noProof/>
          <w:szCs w:val="24"/>
          <w:lang w:val="en-IE"/>
        </w:rPr>
      </w:pPr>
      <w:r w:rsidRPr="00FE48E2">
        <w:rPr>
          <w:rFonts w:eastAsia="Times New Roman"/>
          <w:noProof/>
          <w:szCs w:val="24"/>
          <w:lang w:val="en-IE"/>
        </w:rPr>
        <w:t xml:space="preserve">The investment aims at building an optical quantum communication network in Czechia in line with the priorities of the Digital Europe Programme. </w:t>
      </w:r>
      <w:r w:rsidRPr="001B3C6A">
        <w:rPr>
          <w:rFonts w:eastAsia="Times New Roman"/>
          <w:noProof/>
          <w:szCs w:val="24"/>
          <w:lang w:val="en-IE"/>
        </w:rPr>
        <w:t>The RRF shall support part of the costs of this investment. This investment may also receive support from other Union programmes or instruments for costs that are not supported by the RRF</w:t>
      </w:r>
      <w:r>
        <w:rPr>
          <w:rFonts w:eastAsia="Times New Roman"/>
          <w:noProof/>
          <w:szCs w:val="24"/>
          <w:lang w:val="en-IE"/>
        </w:rPr>
        <w:t>.</w:t>
      </w:r>
    </w:p>
    <w:p w:rsidRPr="00FE48E2" w:rsidR="00D87E44" w:rsidP="00D226F4" w:rsidRDefault="00D87E44" w14:paraId="1545792C" w14:textId="77777777">
      <w:pPr>
        <w:spacing w:line="240" w:lineRule="auto"/>
        <w:jc w:val="both"/>
        <w:rPr>
          <w:b/>
          <w:noProof/>
          <w:szCs w:val="24"/>
          <w:lang w:val="en-IE"/>
        </w:rPr>
      </w:pPr>
    </w:p>
    <w:p w:rsidRPr="00FE48E2" w:rsidR="00D87E44" w:rsidP="00D226F4" w:rsidRDefault="00D87E44" w14:paraId="1545792D" w14:textId="77777777">
      <w:pPr>
        <w:spacing w:line="240" w:lineRule="auto"/>
        <w:jc w:val="both"/>
        <w:rPr>
          <w:noProof/>
          <w:u w:val="single"/>
          <w:lang w:val="en-IE"/>
        </w:rPr>
        <w:sectPr w:rsidRPr="00FE48E2" w:rsidR="00C16C1F" w:rsidSect="00D226F4">
          <w:headerReference w:type="even" r:id="Ra8bdb48c79284657"/>
          <w:headerReference w:type="default" r:id="Rb2a8efffeff144e9"/>
          <w:footerReference w:type="even" r:id="Rd041565d9a3f45ee"/>
          <w:footerReference w:type="default" r:id="R6a8db22261094b37"/>
          <w:headerReference w:type="first" r:id="R47d50b23296b440a"/>
          <w:footerReference w:type="first" r:id="R55889639e5cc4a61"/>
          <w:pgSz w:w="11907" w:h="16839"/>
          <w:pgMar w:top="1134" w:right="1134" w:bottom="1134" w:left="1134" w:header="567" w:footer="567" w:gutter="0"/>
          <w:cols w:space="720"/>
          <w:docGrid w:linePitch="360"/>
        </w:sectPr>
      </w:pPr>
    </w:p>
    <w:p w:rsidRPr="00FE48E2" w:rsidR="00D87E44" w:rsidP="00D226F4" w:rsidRDefault="00D87E44" w14:paraId="1545792E" w14:textId="77777777">
      <w:pPr>
        <w:spacing w:line="240" w:lineRule="auto"/>
        <w:jc w:val="both"/>
        <w:rPr>
          <w:b/>
          <w:noProof/>
          <w:u w:val="single"/>
          <w:lang w:val="en-IE"/>
        </w:rPr>
      </w:pPr>
      <w:r w:rsidRPr="00FE48E2">
        <w:rPr>
          <w:b/>
          <w:noProof/>
          <w:u w:val="single"/>
          <w:lang w:val="en-IE"/>
        </w:rPr>
        <w:lastRenderedPageBreak/>
        <w:t>D.2. Milestones, targets, indicators, and timetable for monitoring and implementation for non-repayable financial support</w:t>
      </w:r>
    </w:p>
    <w:tbl>
      <w:tblPr>
        <w:tblW w:w="15593" w:type="dxa"/>
        <w:jc w:val="center"/>
        <w:tblLayout w:type="fixed"/>
        <w:tblCellMar>
          <w:left w:w="0" w:type="dxa"/>
          <w:right w:w="0" w:type="dxa"/>
        </w:tblCellMar>
        <w:tblLook w:val="0400" w:firstRow="0" w:lastRow="0" w:firstColumn="0" w:lastColumn="0" w:noHBand="0" w:noVBand="1"/>
      </w:tblPr>
      <w:tblGrid>
        <w:gridCol w:w="704"/>
        <w:gridCol w:w="2054"/>
        <w:gridCol w:w="1093"/>
        <w:gridCol w:w="1479"/>
        <w:gridCol w:w="1719"/>
        <w:gridCol w:w="998"/>
        <w:gridCol w:w="998"/>
        <w:gridCol w:w="998"/>
        <w:gridCol w:w="985"/>
        <w:gridCol w:w="636"/>
        <w:gridCol w:w="3929"/>
      </w:tblGrid>
      <w:tr w:rsidRPr="00FE48E2" w:rsidR="00E3458A" w:rsidTr="009F3A8B" w14:paraId="15457937" w14:textId="77777777">
        <w:trPr>
          <w:trHeight w:val="672"/>
          <w:tblHeader/>
          <w:jc w:val="center"/>
        </w:trPr>
        <w:tc>
          <w:tcPr>
            <w:tcW w:w="704"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2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2054"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093"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79"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19"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994" w:type="dxa"/>
            <w:gridSpan w:val="3"/>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621" w:type="dxa"/>
            <w:gridSpan w:val="2"/>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5"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929" w:type="dxa"/>
            <w:vMerge w:val="restart"/>
            <w:tcBorders>
              <w:top w:val="single" w:color="auto" w:sz="4" w:space="0"/>
              <w:left w:val="single" w:color="auto" w:sz="4" w:space="0"/>
              <w:bottom w:val="single" w:color="auto" w:sz="4" w:space="0"/>
              <w:right w:val="single" w:color="auto" w:sz="4" w:space="0"/>
            </w:tcBorders>
            <w:shd w:val="clear" w:color="auto" w:fill="BDD7EE"/>
            <w:vAlign w:val="center"/>
            <w:hideMark/>
          </w:tcPr>
          <w:p w:rsidRPr="00FE48E2" w:rsidR="00D87E44" w:rsidRDefault="00D87E44" w14:paraId="15457936"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rsidTr="007D7CC4" w14:paraId="15457943" w14:textId="77777777">
        <w:trPr>
          <w:trHeight w:val="458"/>
          <w:tblHeader/>
          <w:jc w:val="center"/>
        </w:trPr>
        <w:tc>
          <w:tcPr>
            <w:tcW w:w="704"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38" w14:textId="77777777">
            <w:pPr>
              <w:spacing w:before="0" w:after="0" w:line="240" w:lineRule="auto"/>
              <w:rPr>
                <w:rFonts w:eastAsia="Times New Roman"/>
                <w:b/>
                <w:noProof/>
                <w:sz w:val="18"/>
                <w:szCs w:val="18"/>
                <w:lang w:val="en-IE"/>
              </w:rPr>
            </w:pPr>
          </w:p>
        </w:tc>
        <w:tc>
          <w:tcPr>
            <w:tcW w:w="2054"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39" w14:textId="77777777">
            <w:pPr>
              <w:spacing w:before="0" w:after="0" w:line="240" w:lineRule="auto"/>
              <w:rPr>
                <w:rFonts w:eastAsia="Times New Roman"/>
                <w:b/>
                <w:noProof/>
                <w:sz w:val="18"/>
                <w:szCs w:val="18"/>
                <w:lang w:val="en-IE"/>
              </w:rPr>
            </w:pPr>
          </w:p>
        </w:tc>
        <w:tc>
          <w:tcPr>
            <w:tcW w:w="1093"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3A" w14:textId="77777777">
            <w:pPr>
              <w:spacing w:before="0" w:after="0" w:line="240" w:lineRule="auto"/>
              <w:rPr>
                <w:rFonts w:eastAsia="Times New Roman"/>
                <w:b/>
                <w:noProof/>
                <w:sz w:val="18"/>
                <w:szCs w:val="18"/>
                <w:lang w:val="en-IE"/>
              </w:rPr>
            </w:pPr>
          </w:p>
        </w:tc>
        <w:tc>
          <w:tcPr>
            <w:tcW w:w="1479"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3B" w14:textId="77777777">
            <w:pPr>
              <w:spacing w:before="0" w:after="0" w:line="240" w:lineRule="auto"/>
              <w:rPr>
                <w:rFonts w:eastAsia="Times New Roman"/>
                <w:b/>
                <w:noProof/>
                <w:sz w:val="18"/>
                <w:szCs w:val="18"/>
                <w:lang w:val="en-IE"/>
              </w:rPr>
            </w:pPr>
          </w:p>
        </w:tc>
        <w:tc>
          <w:tcPr>
            <w:tcW w:w="1719"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3C" w14:textId="77777777">
            <w:pPr>
              <w:spacing w:before="0" w:after="0" w:line="240" w:lineRule="auto"/>
              <w:rPr>
                <w:rFonts w:eastAsia="Times New Roman"/>
                <w:b/>
                <w:noProof/>
                <w:sz w:val="18"/>
                <w:szCs w:val="18"/>
                <w:lang w:val="en-IE"/>
              </w:rPr>
            </w:pPr>
          </w:p>
        </w:tc>
        <w:tc>
          <w:tcPr>
            <w:tcW w:w="998" w:type="dxa"/>
            <w:tcBorders>
              <w:top w:val="single" w:color="auto" w:sz="4" w:space="0"/>
              <w:left w:val="single" w:color="auto" w:sz="4" w:space="0"/>
              <w:bottom w:val="single" w:color="auto" w:sz="4" w:space="0"/>
              <w:right w:val="single" w:color="auto" w:sz="4" w:space="0"/>
            </w:tcBorders>
            <w:shd w:val="clear" w:color="auto" w:fill="BDD7EE"/>
            <w:vAlign w:val="center"/>
            <w:hideMark/>
          </w:tcPr>
          <w:p w:rsidRPr="00275E81" w:rsidR="00D87E44" w:rsidRDefault="00D87E44" w14:paraId="1545793D"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Unit of measure</w:t>
            </w:r>
          </w:p>
        </w:tc>
        <w:tc>
          <w:tcPr>
            <w:tcW w:w="998" w:type="dxa"/>
            <w:tcBorders>
              <w:top w:val="single" w:color="auto" w:sz="4" w:space="0"/>
              <w:left w:val="single" w:color="auto" w:sz="4" w:space="0"/>
              <w:bottom w:val="single" w:color="auto" w:sz="4" w:space="0"/>
              <w:right w:val="single" w:color="auto" w:sz="4" w:space="0"/>
            </w:tcBorders>
            <w:shd w:val="clear" w:color="auto" w:fill="BDD7EE"/>
            <w:vAlign w:val="center"/>
            <w:hideMark/>
          </w:tcPr>
          <w:p w:rsidRPr="00275E81" w:rsidR="00D87E44" w:rsidRDefault="00D87E44" w14:paraId="1545793E"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Baseline </w:t>
            </w:r>
          </w:p>
        </w:tc>
        <w:tc>
          <w:tcPr>
            <w:tcW w:w="998" w:type="dxa"/>
            <w:tcBorders>
              <w:top w:val="single" w:color="auto" w:sz="4" w:space="0"/>
              <w:left w:val="single" w:color="auto" w:sz="4" w:space="0"/>
              <w:bottom w:val="single" w:color="auto" w:sz="4" w:space="0"/>
              <w:right w:val="single" w:color="auto" w:sz="4" w:space="0"/>
            </w:tcBorders>
            <w:shd w:val="clear" w:color="auto" w:fill="BDD7EE"/>
            <w:vAlign w:val="center"/>
            <w:hideMark/>
          </w:tcPr>
          <w:p w:rsidRPr="00275E81" w:rsidR="00D87E44" w:rsidRDefault="00D87E44" w14:paraId="1545793F"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Goal </w:t>
            </w:r>
          </w:p>
        </w:tc>
        <w:tc>
          <w:tcPr>
            <w:tcW w:w="985" w:type="dxa"/>
            <w:tcBorders>
              <w:top w:val="single" w:color="auto" w:sz="4" w:space="0"/>
              <w:left w:val="single" w:color="auto" w:sz="4" w:space="0"/>
              <w:bottom w:val="single" w:color="auto" w:sz="4" w:space="0"/>
              <w:right w:val="single" w:color="auto" w:sz="4" w:space="0"/>
            </w:tcBorders>
            <w:shd w:val="clear" w:color="auto" w:fill="BDD7EE"/>
            <w:vAlign w:val="center"/>
            <w:hideMark/>
          </w:tcPr>
          <w:p w:rsidRPr="00275E81" w:rsidR="00D87E44" w:rsidRDefault="00D87E44" w14:paraId="15457940"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Quarter</w:t>
            </w:r>
          </w:p>
        </w:tc>
        <w:tc>
          <w:tcPr>
            <w:tcW w:w="636" w:type="dxa"/>
            <w:tcBorders>
              <w:top w:val="single" w:color="auto" w:sz="4" w:space="0"/>
              <w:left w:val="single" w:color="auto" w:sz="4" w:space="0"/>
              <w:bottom w:val="single" w:color="auto" w:sz="4" w:space="0"/>
              <w:right w:val="single" w:color="auto" w:sz="4" w:space="0"/>
            </w:tcBorders>
            <w:shd w:val="clear" w:color="auto" w:fill="BDD7EE"/>
            <w:vAlign w:val="center"/>
            <w:hideMark/>
          </w:tcPr>
          <w:p w:rsidRPr="00275E81" w:rsidR="00D87E44" w:rsidRDefault="00D87E44" w14:paraId="15457941"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Year</w:t>
            </w:r>
          </w:p>
        </w:tc>
        <w:tc>
          <w:tcPr>
            <w:tcW w:w="3929" w:type="dxa"/>
            <w:vMerge/>
            <w:tcBorders>
              <w:top w:val="single" w:color="auto" w:sz="4" w:space="0"/>
              <w:left w:val="single" w:color="auto" w:sz="4" w:space="0"/>
              <w:bottom w:val="single" w:color="auto" w:sz="4" w:space="0"/>
              <w:right w:val="single" w:color="auto" w:sz="4" w:space="0"/>
            </w:tcBorders>
            <w:vAlign w:val="center"/>
            <w:hideMark/>
          </w:tcPr>
          <w:p w:rsidRPr="00FE48E2" w:rsidR="00D87E44" w:rsidRDefault="00D87E44" w14:paraId="15457942" w14:textId="77777777">
            <w:pPr>
              <w:spacing w:before="0" w:after="0" w:line="240" w:lineRule="auto"/>
              <w:rPr>
                <w:rFonts w:eastAsia="Times New Roman"/>
                <w:b/>
                <w:noProof/>
                <w:sz w:val="18"/>
                <w:szCs w:val="18"/>
                <w:lang w:val="en-IE"/>
              </w:rPr>
            </w:pPr>
          </w:p>
        </w:tc>
      </w:tr>
      <w:tr w:rsidRPr="00FE48E2" w:rsidR="00E3458A" w:rsidTr="009F3A8B" w14:paraId="1545794F"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47</w:t>
            </w:r>
          </w:p>
        </w:tc>
        <w:tc>
          <w:tcPr>
            <w:tcW w:w="2054"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Reform 1: Institutional reform of the coordination and support system for </w:t>
            </w:r>
            <w:r w:rsidRPr="00FE48E2">
              <w:rPr>
                <w:rFonts w:eastAsia="Times New Roman"/>
                <w:noProof/>
                <w:color w:val="004300"/>
                <w:sz w:val="18"/>
                <w:szCs w:val="18"/>
                <w:lang w:val="en-IE" w:eastAsia="en-GB"/>
              </w:rPr>
              <w:t>digital transformation of economy (incl. RIS 3)</w:t>
            </w:r>
          </w:p>
        </w:tc>
        <w:tc>
          <w:tcPr>
            <w:tcW w:w="1093"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7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7" w14:textId="77777777">
            <w:pPr>
              <w:spacing w:before="0" w:after="0" w:line="240" w:lineRule="auto"/>
              <w:rPr>
                <w:rFonts w:eastAsia="Times New Roman"/>
                <w:noProof/>
                <w:sz w:val="18"/>
                <w:szCs w:val="18"/>
                <w:lang w:val="en-IE"/>
              </w:rPr>
            </w:pPr>
            <w:r w:rsidRPr="00FE48E2">
              <w:rPr>
                <w:rFonts w:eastAsia="Times New Roman"/>
                <w:noProof/>
                <w:color w:val="004300"/>
                <w:sz w:val="18"/>
                <w:szCs w:val="18"/>
                <w:lang w:val="en-IE"/>
              </w:rPr>
              <w:t>Implementation of organisational changes to reform the structure of public bodies overseeing digital transformation of the economy</w:t>
            </w:r>
          </w:p>
        </w:tc>
        <w:tc>
          <w:tcPr>
            <w:tcW w:w="171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Setting up of the Committee (and of the related working group) responsible for the coordination of national stakeholders to prepare projects for digital transformation of Czech economy </w:t>
            </w:r>
          </w:p>
        </w:tc>
        <w:tc>
          <w:tcPr>
            <w:tcW w:w="99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949" w14:textId="77777777">
            <w:pPr>
              <w:spacing w:before="0" w:after="0" w:line="240" w:lineRule="auto"/>
              <w:rPr>
                <w:rFonts w:eastAsia="Times New Roman"/>
                <w:noProof/>
                <w:color w:val="004300"/>
                <w:sz w:val="18"/>
                <w:szCs w:val="18"/>
                <w:lang w:val="en-IE"/>
              </w:rPr>
            </w:pPr>
          </w:p>
        </w:tc>
        <w:tc>
          <w:tcPr>
            <w:tcW w:w="99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94A" w14:textId="77777777">
            <w:pPr>
              <w:spacing w:before="0" w:after="0" w:line="240" w:lineRule="auto"/>
              <w:rPr>
                <w:rFonts w:eastAsia="Times New Roman"/>
                <w:noProof/>
                <w:color w:val="004300"/>
                <w:sz w:val="18"/>
                <w:szCs w:val="18"/>
                <w:lang w:val="en-IE"/>
              </w:rPr>
            </w:pPr>
          </w:p>
        </w:tc>
        <w:tc>
          <w:tcPr>
            <w:tcW w:w="99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94B" w14:textId="77777777">
            <w:pPr>
              <w:spacing w:before="0" w:after="0" w:line="240" w:lineRule="auto"/>
              <w:rPr>
                <w:rFonts w:eastAsia="Times New Roman"/>
                <w:noProof/>
                <w:color w:val="004300"/>
                <w:sz w:val="18"/>
                <w:szCs w:val="18"/>
                <w:lang w:val="en-IE"/>
              </w:rPr>
            </w:pPr>
          </w:p>
        </w:tc>
        <w:tc>
          <w:tcPr>
            <w:tcW w:w="985"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sidRPr="0A4DE686">
              <w:rPr>
                <w:rFonts w:eastAsia="Times New Roman"/>
                <w:noProof/>
                <w:color w:val="004300"/>
                <w:sz w:val="18"/>
                <w:szCs w:val="18"/>
                <w:lang w:val="en-IE"/>
              </w:rPr>
              <w:t>4</w:t>
            </w:r>
          </w:p>
        </w:tc>
        <w:tc>
          <w:tcPr>
            <w:tcW w:w="636"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sidRPr="0A4DE686">
              <w:rPr>
                <w:rFonts w:eastAsia="Times New Roman"/>
                <w:noProof/>
                <w:color w:val="004300"/>
                <w:sz w:val="18"/>
                <w:szCs w:val="18"/>
                <w:lang w:val="en-IE"/>
              </w:rPr>
              <w:t>4</w:t>
            </w:r>
          </w:p>
        </w:tc>
        <w:tc>
          <w:tcPr>
            <w:tcW w:w="392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4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The Digital Transformation Committee, including </w:t>
            </w:r>
            <w:r>
              <w:rPr>
                <w:rFonts w:eastAsia="Times New Roman"/>
                <w:noProof/>
                <w:color w:val="004300"/>
                <w:sz w:val="18"/>
                <w:szCs w:val="18"/>
                <w:lang w:val="en-IE"/>
              </w:rPr>
              <w:t xml:space="preserve">the participation of </w:t>
            </w:r>
            <w:r w:rsidRPr="00FE48E2">
              <w:rPr>
                <w:rFonts w:eastAsia="Times New Roman"/>
                <w:noProof/>
                <w:color w:val="004300"/>
                <w:sz w:val="18"/>
                <w:szCs w:val="18"/>
                <w:lang w:val="en-IE"/>
              </w:rPr>
              <w:t xml:space="preserve">public and private stakeholders, shall coordinate the implementation of the reforms and investments under component 1.4 and 1.5. This shall also include a special consultative working group overseeing the implementation of the EU Start-up Nations Standards under this component. This milestone shall be considered fulfilled once the Committee and the working group start to work. </w:t>
            </w:r>
          </w:p>
        </w:tc>
      </w:tr>
      <w:tr w:rsidRPr="00FE48E2" w:rsidR="00E3458A" w:rsidTr="009F3A8B" w14:paraId="1545795B" w14:textId="77777777">
        <w:trPr>
          <w:trHeight w:val="309"/>
          <w:jc w:val="center"/>
        </w:trPr>
        <w:tc>
          <w:tcPr>
            <w:tcW w:w="704" w:type="dxa"/>
            <w:tcBorders>
              <w:top w:val="single" w:color="auto" w:sz="4" w:space="0"/>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5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48</w:t>
            </w:r>
          </w:p>
        </w:tc>
        <w:tc>
          <w:tcPr>
            <w:tcW w:w="2054"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Reform 2: Joint Strategic Technologies Support and </w:t>
            </w:r>
            <w:r w:rsidRPr="00FE48E2">
              <w:rPr>
                <w:rFonts w:eastAsia="Times New Roman"/>
                <w:noProof/>
                <w:color w:val="004300"/>
                <w:sz w:val="18"/>
                <w:szCs w:val="18"/>
                <w:lang w:val="en-IE" w:eastAsia="en-GB"/>
              </w:rPr>
              <w:t>Certification Group with the Strategic Technologies Board</w:t>
            </w:r>
          </w:p>
        </w:tc>
        <w:tc>
          <w:tcPr>
            <w:tcW w:w="1093"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7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Establishment and appointment of certification network </w:t>
            </w:r>
          </w:p>
        </w:tc>
        <w:tc>
          <w:tcPr>
            <w:tcW w:w="171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Creation of a network of certification authorities, technical experts and involved companies for strategic sectors.</w:t>
            </w:r>
          </w:p>
        </w:tc>
        <w:tc>
          <w:tcPr>
            <w:tcW w:w="998" w:type="dxa"/>
            <w:tcBorders>
              <w:top w:val="single" w:color="auto" w:sz="4" w:space="0"/>
              <w:left w:val="nil"/>
              <w:bottom w:val="single" w:color="000000" w:themeColor="text1" w:sz="4" w:space="0"/>
              <w:right w:val="single" w:color="000000" w:themeColor="text1" w:sz="4" w:space="0"/>
            </w:tcBorders>
            <w:shd w:val="clear" w:color="auto" w:fill="C6EFCE"/>
          </w:tcPr>
          <w:p w:rsidRPr="00FE48E2" w:rsidR="00D87E44" w:rsidRDefault="00D87E44" w14:paraId="15457955" w14:textId="77777777">
            <w:pPr>
              <w:spacing w:before="0" w:after="0" w:line="240" w:lineRule="auto"/>
              <w:rPr>
                <w:rFonts w:eastAsia="Times New Roman"/>
                <w:noProof/>
                <w:color w:val="004300"/>
                <w:sz w:val="18"/>
                <w:szCs w:val="18"/>
                <w:lang w:val="en-IE"/>
              </w:rPr>
            </w:pPr>
          </w:p>
        </w:tc>
        <w:tc>
          <w:tcPr>
            <w:tcW w:w="998" w:type="dxa"/>
            <w:tcBorders>
              <w:top w:val="single" w:color="auto" w:sz="4" w:space="0"/>
              <w:left w:val="nil"/>
              <w:bottom w:val="single" w:color="000000" w:themeColor="text1" w:sz="4" w:space="0"/>
              <w:right w:val="single" w:color="000000" w:themeColor="text1" w:sz="4" w:space="0"/>
            </w:tcBorders>
            <w:shd w:val="clear" w:color="auto" w:fill="C6EFCE"/>
          </w:tcPr>
          <w:p w:rsidRPr="00FE48E2" w:rsidR="00D87E44" w:rsidRDefault="00D87E44" w14:paraId="15457956" w14:textId="77777777">
            <w:pPr>
              <w:spacing w:before="0" w:after="0" w:line="240" w:lineRule="auto"/>
              <w:rPr>
                <w:rFonts w:eastAsia="Times New Roman"/>
                <w:noProof/>
                <w:color w:val="004300"/>
                <w:sz w:val="18"/>
                <w:szCs w:val="18"/>
                <w:lang w:val="en-IE"/>
              </w:rPr>
            </w:pPr>
          </w:p>
        </w:tc>
        <w:tc>
          <w:tcPr>
            <w:tcW w:w="998" w:type="dxa"/>
            <w:tcBorders>
              <w:top w:val="single" w:color="auto" w:sz="4" w:space="0"/>
              <w:left w:val="nil"/>
              <w:bottom w:val="single" w:color="000000" w:themeColor="text1" w:sz="4" w:space="0"/>
              <w:right w:val="single" w:color="000000" w:themeColor="text1" w:sz="4" w:space="0"/>
            </w:tcBorders>
            <w:shd w:val="clear" w:color="auto" w:fill="C6EFCE"/>
          </w:tcPr>
          <w:p w:rsidRPr="00FE48E2" w:rsidR="00D87E44" w:rsidRDefault="00D87E44" w14:paraId="15457957" w14:textId="77777777">
            <w:pPr>
              <w:spacing w:before="0" w:after="0" w:line="240" w:lineRule="auto"/>
              <w:rPr>
                <w:rFonts w:eastAsia="Times New Roman"/>
                <w:noProof/>
                <w:color w:val="004300"/>
                <w:sz w:val="18"/>
                <w:szCs w:val="18"/>
                <w:lang w:val="en-IE"/>
              </w:rPr>
            </w:pPr>
          </w:p>
        </w:tc>
        <w:tc>
          <w:tcPr>
            <w:tcW w:w="985"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636"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2023</w:t>
            </w:r>
          </w:p>
        </w:tc>
        <w:tc>
          <w:tcPr>
            <w:tcW w:w="392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5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Creation of a one stop shop for sharing best practices, finding actual information on certification such as quality and availability of accredited laboratories or notified bodies, offers for technical support.</w:t>
            </w:r>
          </w:p>
        </w:tc>
      </w:tr>
      <w:tr w:rsidRPr="00FE48E2" w:rsidR="00E3458A" w14:paraId="15457967"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5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49</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5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Reform 2: Joint Strategic </w:t>
            </w:r>
            <w:r w:rsidRPr="00FE48E2">
              <w:rPr>
                <w:rFonts w:eastAsia="Times New Roman"/>
                <w:noProof/>
                <w:color w:val="004300"/>
                <w:sz w:val="18"/>
                <w:szCs w:val="18"/>
                <w:lang w:val="en-IE" w:eastAsia="en-GB"/>
              </w:rPr>
              <w:t>Technologies Support and Certification Group with the Strategic Technologies Board</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5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5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Number of companies provided with certification </w:t>
            </w:r>
          </w:p>
        </w:tc>
        <w:tc>
          <w:tcPr>
            <w:tcW w:w="1719" w:type="dxa"/>
            <w:tcBorders>
              <w:top w:val="nil"/>
              <w:left w:val="nil"/>
              <w:bottom w:val="single" w:color="auto" w:sz="4" w:space="0"/>
              <w:right w:val="single" w:color="000000" w:themeColor="text1" w:sz="4" w:space="0"/>
            </w:tcBorders>
            <w:shd w:val="clear" w:color="auto" w:fill="C6EFCE"/>
            <w:hideMark/>
          </w:tcPr>
          <w:p w:rsidRPr="00FE48E2" w:rsidR="00D87E44" w:rsidRDefault="00D87E44" w14:paraId="15457960"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50</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50 companies shall be supported</w:t>
            </w:r>
            <w:r>
              <w:rPr>
                <w:rFonts w:eastAsia="Times New Roman"/>
                <w:noProof/>
                <w:color w:val="004300"/>
                <w:sz w:val="18"/>
                <w:szCs w:val="18"/>
                <w:lang w:val="en-IE" w:eastAsia="en-GB"/>
              </w:rPr>
              <w:t xml:space="preserve"> to obtain certification</w:t>
            </w:r>
            <w:r w:rsidRPr="00542103">
              <w:rPr>
                <w:rFonts w:eastAsia="Times New Roman"/>
                <w:noProof/>
                <w:color w:val="004300"/>
                <w:sz w:val="18"/>
                <w:szCs w:val="18"/>
                <w:lang w:val="en-IE" w:eastAsia="en-GB"/>
              </w:rPr>
              <w:t>.</w:t>
            </w:r>
            <w:r w:rsidRPr="00FE48E2">
              <w:rPr>
                <w:rFonts w:eastAsia="Times New Roman"/>
                <w:noProof/>
                <w:color w:val="004300"/>
                <w:sz w:val="18"/>
                <w:szCs w:val="18"/>
                <w:lang w:val="en-IE" w:eastAsia="en-GB"/>
              </w:rPr>
              <w:t xml:space="preserve"> </w:t>
            </w:r>
            <w:r>
              <w:rPr>
                <w:rFonts w:eastAsia="Times New Roman"/>
                <w:noProof/>
                <w:color w:val="004300"/>
                <w:sz w:val="18"/>
                <w:szCs w:val="18"/>
                <w:lang w:val="en-IE" w:eastAsia="en-GB"/>
              </w:rPr>
              <w:t>E</w:t>
            </w:r>
            <w:r w:rsidRPr="00FE48E2">
              <w:rPr>
                <w:rFonts w:eastAsia="Times New Roman"/>
                <w:noProof/>
                <w:color w:val="004300"/>
                <w:sz w:val="18"/>
                <w:szCs w:val="18"/>
                <w:lang w:val="en-IE" w:eastAsia="en-GB"/>
              </w:rPr>
              <w:t xml:space="preserve">ducational courses on </w:t>
            </w:r>
            <w:r w:rsidRPr="00FE48E2">
              <w:rPr>
                <w:rFonts w:eastAsia="Times New Roman"/>
                <w:noProof/>
                <w:color w:val="004300"/>
                <w:sz w:val="18"/>
                <w:szCs w:val="18"/>
                <w:lang w:val="en-IE" w:eastAsia="en-GB"/>
              </w:rPr>
              <w:t>certification</w:t>
            </w:r>
            <w:r>
              <w:rPr>
                <w:rFonts w:eastAsia="Times New Roman"/>
                <w:noProof/>
                <w:color w:val="004300"/>
                <w:sz w:val="18"/>
                <w:szCs w:val="18"/>
                <w:lang w:val="en-IE" w:eastAsia="en-GB"/>
              </w:rPr>
              <w:t xml:space="preserve"> shall be created and made available.</w:t>
            </w:r>
            <w:r w:rsidRPr="00FE48E2">
              <w:rPr>
                <w:rFonts w:eastAsia="Times New Roman"/>
                <w:noProof/>
                <w:color w:val="004300"/>
                <w:sz w:val="18"/>
                <w:szCs w:val="18"/>
                <w:lang w:val="en-IE" w:eastAsia="en-GB"/>
              </w:rPr>
              <w:t xml:space="preserve"> </w:t>
            </w:r>
          </w:p>
        </w:tc>
      </w:tr>
      <w:tr w:rsidRPr="00FE48E2" w:rsidR="00E3458A" w14:paraId="15457973"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6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51</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Investment 2: European Digital Media Observatory Hub (EDMO)</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6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479" w:type="dxa"/>
            <w:tcBorders>
              <w:top w:val="nil"/>
              <w:left w:val="nil"/>
              <w:bottom w:val="single" w:color="000000" w:themeColor="text1" w:sz="4" w:space="0"/>
              <w:right w:val="single" w:color="auto" w:sz="4" w:space="0"/>
            </w:tcBorders>
            <w:shd w:val="clear" w:color="auto" w:fill="C6EFCE"/>
            <w:hideMark/>
          </w:tcPr>
          <w:p w:rsidRPr="00FE48E2" w:rsidR="00D87E44" w:rsidRDefault="00D87E44" w14:paraId="1545796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Launch of the European Digital Media Observatory hub for CEE in the Czech Republic (CEDMO)</w:t>
            </w:r>
          </w:p>
        </w:tc>
        <w:tc>
          <w:tcPr>
            <w:tcW w:w="171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6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Launch of the CEDMO hub built by the </w:t>
            </w:r>
            <w:r w:rsidRPr="00FE48E2">
              <w:rPr>
                <w:rFonts w:eastAsia="Times New Roman"/>
                <w:noProof/>
                <w:color w:val="004300"/>
                <w:sz w:val="18"/>
                <w:szCs w:val="18"/>
                <w:lang w:val="en-IE"/>
              </w:rPr>
              <w:t>academic consortium with the Charles University in Prague as a leading partner</w:t>
            </w:r>
          </w:p>
        </w:tc>
        <w:tc>
          <w:tcPr>
            <w:tcW w:w="998" w:type="dxa"/>
            <w:tcBorders>
              <w:top w:val="nil"/>
              <w:left w:val="single" w:color="auto" w:sz="4" w:space="0"/>
              <w:bottom w:val="single" w:color="000000" w:themeColor="text1" w:sz="4" w:space="0"/>
              <w:right w:val="single" w:color="000000" w:themeColor="text1" w:sz="4" w:space="0"/>
            </w:tcBorders>
            <w:shd w:val="clear" w:color="auto" w:fill="C6EFCE"/>
          </w:tcPr>
          <w:p w:rsidRPr="00FE48E2" w:rsidR="00D87E44" w:rsidRDefault="00D87E44" w14:paraId="1545796D"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6E"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6F"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7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7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2021</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7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The Digital Media Hub as part of the EDMO network shall focus on analysing and combating the spread of fake information such as misinformation related to COVID or 5G networks.</w:t>
            </w:r>
          </w:p>
        </w:tc>
      </w:tr>
      <w:tr w:rsidRPr="00FE48E2" w:rsidR="00E3458A" w14:paraId="1545797F"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tcPr>
          <w:p w:rsidRPr="00FE48E2" w:rsidR="00D87E44" w:rsidRDefault="00D87E44" w14:paraId="15457974" w14:textId="77777777">
            <w:pPr>
              <w:spacing w:before="0" w:after="0" w:line="240" w:lineRule="auto"/>
              <w:rPr>
                <w:rFonts w:eastAsia="Times New Roman"/>
                <w:noProof/>
                <w:sz w:val="18"/>
                <w:szCs w:val="18"/>
                <w:lang w:val="en-IE"/>
              </w:rPr>
            </w:pPr>
            <w:r w:rsidRPr="1BF2BC24">
              <w:rPr>
                <w:rFonts w:eastAsia="Times New Roman"/>
                <w:noProof/>
                <w:color w:val="004300"/>
                <w:sz w:val="18"/>
                <w:szCs w:val="18"/>
                <w:lang w:val="en-IE"/>
              </w:rPr>
              <w:t>250</w:t>
            </w:r>
          </w:p>
        </w:tc>
        <w:tc>
          <w:tcPr>
            <w:tcW w:w="2054"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Investment 2: European Digital Media Observatory Hub (EDMO)</w:t>
            </w:r>
          </w:p>
        </w:tc>
        <w:tc>
          <w:tcPr>
            <w:tcW w:w="1093"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479"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Launch of the extended CEDMO hub </w:t>
            </w:r>
          </w:p>
        </w:tc>
        <w:tc>
          <w:tcPr>
            <w:tcW w:w="1719" w:type="dxa"/>
            <w:tcBorders>
              <w:top w:val="single" w:color="auto" w:sz="4" w:space="0"/>
              <w:left w:val="nil"/>
              <w:bottom w:val="single" w:color="000000" w:themeColor="text1" w:sz="4" w:space="0"/>
              <w:right w:val="single" w:color="000000" w:themeColor="text1" w:sz="4" w:space="0"/>
            </w:tcBorders>
            <w:shd w:val="clear" w:color="auto" w:fill="C6EFCE"/>
          </w:tcPr>
          <w:p w:rsidRPr="00FE48E2" w:rsidR="00D87E44" w:rsidRDefault="00D87E44" w14:paraId="1545797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Signature of grant agreement</w:t>
            </w: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9"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A"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B"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636"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929"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7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Grant agreement for the expanded Digital Media Hub as part of the EDMO network shall be signed </w:t>
            </w:r>
            <w:r>
              <w:rPr>
                <w:rFonts w:eastAsia="Times New Roman"/>
                <w:noProof/>
                <w:color w:val="004300"/>
                <w:sz w:val="18"/>
                <w:szCs w:val="18"/>
                <w:lang w:val="en-IE"/>
              </w:rPr>
              <w:t>for the</w:t>
            </w:r>
            <w:r w:rsidRPr="00FE48E2">
              <w:rPr>
                <w:rFonts w:eastAsia="Times New Roman"/>
                <w:noProof/>
                <w:color w:val="004300"/>
                <w:sz w:val="18"/>
                <w:szCs w:val="18"/>
                <w:lang w:val="en-IE"/>
              </w:rPr>
              <w:t xml:space="preserve"> three </w:t>
            </w:r>
            <w:r w:rsidRPr="00FE48E2" w:rsidDel="00462107">
              <w:rPr>
                <w:rFonts w:eastAsia="Times New Roman"/>
                <w:noProof/>
                <w:color w:val="004300"/>
                <w:sz w:val="18"/>
                <w:szCs w:val="18"/>
                <w:lang w:val="en-IE"/>
              </w:rPr>
              <w:t xml:space="preserve">new </w:t>
            </w:r>
            <w:r>
              <w:rPr>
                <w:rFonts w:eastAsia="Times New Roman"/>
                <w:noProof/>
                <w:color w:val="004300"/>
                <w:sz w:val="18"/>
                <w:szCs w:val="18"/>
                <w:lang w:val="en-IE"/>
              </w:rPr>
              <w:t xml:space="preserve">supported </w:t>
            </w:r>
            <w:r w:rsidRPr="00FE48E2">
              <w:rPr>
                <w:rFonts w:eastAsia="Times New Roman"/>
                <w:noProof/>
                <w:color w:val="004300"/>
                <w:sz w:val="18"/>
                <w:szCs w:val="18"/>
                <w:lang w:val="en-IE"/>
              </w:rPr>
              <w:t xml:space="preserve">activities </w:t>
            </w:r>
          </w:p>
        </w:tc>
      </w:tr>
      <w:tr w:rsidRPr="00FE48E2" w:rsidR="00E3458A" w14:paraId="15457991"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8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52</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2: European Digital Media Observatory Hub (EDMO)</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2"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eastAsia="en-GB"/>
              </w:rPr>
              <w:t>milestone</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Publication of research results by CEDMO </w:t>
            </w:r>
          </w:p>
        </w:tc>
        <w:tc>
          <w:tcPr>
            <w:tcW w:w="171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84"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Published studies</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5"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6"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7"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8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2025</w:t>
            </w:r>
          </w:p>
        </w:tc>
        <w:tc>
          <w:tcPr>
            <w:tcW w:w="3929" w:type="dxa"/>
            <w:tcBorders>
              <w:top w:val="nil"/>
              <w:left w:val="nil"/>
              <w:bottom w:val="single" w:color="000000" w:themeColor="text1" w:sz="4" w:space="0"/>
              <w:right w:val="single" w:color="000000" w:themeColor="text1" w:sz="4" w:space="0"/>
            </w:tcBorders>
            <w:shd w:val="clear" w:color="auto" w:fill="C6EFCE"/>
            <w:hideMark/>
          </w:tcPr>
          <w:p w:rsidR="00D87E44" w:rsidRDefault="00D87E44" w14:paraId="1545798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CEDMO shall publish results of its research activities </w:t>
            </w:r>
            <w:r w:rsidRPr="3D8BF51B">
              <w:rPr>
                <w:rFonts w:eastAsia="Times New Roman"/>
                <w:noProof/>
                <w:color w:val="004300"/>
                <w:sz w:val="18"/>
                <w:szCs w:val="18"/>
                <w:lang w:val="en-IE" w:eastAsia="en-GB"/>
              </w:rPr>
              <w:t xml:space="preserve">(studies) </w:t>
            </w:r>
            <w:r w:rsidRPr="00FE48E2">
              <w:rPr>
                <w:rFonts w:eastAsia="Times New Roman"/>
                <w:noProof/>
                <w:color w:val="004300"/>
                <w:sz w:val="18"/>
                <w:szCs w:val="18"/>
                <w:lang w:val="en-IE"/>
              </w:rPr>
              <w:t>focusing on</w:t>
            </w:r>
            <w:r>
              <w:rPr>
                <w:rFonts w:eastAsia="Times New Roman"/>
                <w:noProof/>
                <w:color w:val="004300"/>
                <w:sz w:val="18"/>
                <w:szCs w:val="18"/>
                <w:lang w:val="en-IE"/>
              </w:rPr>
              <w:t>:</w:t>
            </w:r>
          </w:p>
          <w:p w:rsidRPr="00C95F1A" w:rsidR="00D87E44" w:rsidRDefault="00D87E44" w14:paraId="1545798B"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 xml:space="preserve">- </w:t>
            </w:r>
            <w:r w:rsidRPr="00C95F1A">
              <w:rPr>
                <w:rFonts w:eastAsia="Times New Roman"/>
                <w:noProof/>
                <w:color w:val="004300"/>
                <w:sz w:val="18"/>
                <w:szCs w:val="18"/>
                <w:lang w:val="en-IE"/>
              </w:rPr>
              <w:t xml:space="preserve">Extension of CEDMO Trends and Index </w:t>
            </w:r>
          </w:p>
          <w:p w:rsidRPr="00C95F1A" w:rsidR="00D87E44" w:rsidRDefault="00D87E44" w14:paraId="1545798C" w14:textId="77777777">
            <w:pPr>
              <w:spacing w:before="0" w:after="0" w:line="240" w:lineRule="auto"/>
              <w:rPr>
                <w:rFonts w:eastAsia="Times New Roman"/>
                <w:noProof/>
                <w:color w:val="004300"/>
                <w:sz w:val="18"/>
                <w:szCs w:val="18"/>
                <w:lang w:val="en-IE"/>
              </w:rPr>
            </w:pPr>
            <w:r w:rsidRPr="00C95F1A">
              <w:rPr>
                <w:rFonts w:eastAsia="Times New Roman"/>
                <w:noProof/>
                <w:color w:val="004300"/>
                <w:sz w:val="18"/>
                <w:szCs w:val="18"/>
                <w:lang w:val="en-IE"/>
              </w:rPr>
              <w:t>- Applied research for the development of</w:t>
            </w:r>
          </w:p>
          <w:p w:rsidRPr="00C95F1A" w:rsidR="00D87E44" w:rsidRDefault="00D87E44" w14:paraId="1545798D" w14:textId="77777777">
            <w:pPr>
              <w:spacing w:before="0" w:after="0" w:line="240" w:lineRule="auto"/>
              <w:rPr>
                <w:rFonts w:eastAsia="Times New Roman"/>
                <w:noProof/>
                <w:color w:val="004300"/>
                <w:sz w:val="18"/>
                <w:szCs w:val="18"/>
                <w:lang w:val="en-IE"/>
              </w:rPr>
            </w:pPr>
            <w:r w:rsidRPr="00C95F1A">
              <w:rPr>
                <w:rFonts w:eastAsia="Times New Roman"/>
                <w:noProof/>
                <w:color w:val="004300"/>
                <w:sz w:val="18"/>
                <w:szCs w:val="18"/>
                <w:lang w:val="en-IE"/>
              </w:rPr>
              <w:t xml:space="preserve">artificial </w:t>
            </w:r>
            <w:r w:rsidRPr="00C95F1A">
              <w:rPr>
                <w:rFonts w:eastAsia="Times New Roman"/>
                <w:noProof/>
                <w:color w:val="004300"/>
                <w:sz w:val="18"/>
                <w:szCs w:val="18"/>
                <w:lang w:val="en-IE"/>
              </w:rPr>
              <w:t>intelligence tools</w:t>
            </w:r>
          </w:p>
          <w:p w:rsidRPr="00C95F1A" w:rsidR="00D87E44" w:rsidRDefault="00D87E44" w14:paraId="1545798E" w14:textId="77777777">
            <w:pPr>
              <w:spacing w:before="0" w:after="0" w:line="240" w:lineRule="auto"/>
              <w:rPr>
                <w:rFonts w:eastAsia="Times New Roman"/>
                <w:noProof/>
                <w:color w:val="004300"/>
                <w:sz w:val="18"/>
                <w:szCs w:val="18"/>
                <w:lang w:val="en-IE"/>
              </w:rPr>
            </w:pPr>
            <w:r w:rsidRPr="00C95F1A">
              <w:rPr>
                <w:rFonts w:eastAsia="Times New Roman"/>
                <w:noProof/>
                <w:color w:val="004300"/>
                <w:sz w:val="18"/>
                <w:szCs w:val="18"/>
                <w:lang w:val="en-IE"/>
              </w:rPr>
              <w:t>- Risks of artificial intelligence</w:t>
            </w:r>
          </w:p>
          <w:p w:rsidRPr="00C95F1A" w:rsidR="00D87E44" w:rsidRDefault="00D87E44" w14:paraId="1545798F" w14:textId="77777777">
            <w:pPr>
              <w:spacing w:before="0" w:after="0" w:line="240" w:lineRule="auto"/>
              <w:rPr>
                <w:rFonts w:eastAsia="Times New Roman"/>
                <w:noProof/>
                <w:color w:val="004300"/>
                <w:sz w:val="18"/>
                <w:szCs w:val="18"/>
                <w:lang w:val="en-IE"/>
              </w:rPr>
            </w:pPr>
            <w:r w:rsidRPr="00C95F1A">
              <w:rPr>
                <w:rFonts w:eastAsia="Times New Roman"/>
                <w:noProof/>
                <w:color w:val="004300"/>
                <w:sz w:val="18"/>
                <w:szCs w:val="18"/>
                <w:lang w:val="en-IE"/>
              </w:rPr>
              <w:lastRenderedPageBreak/>
              <w:t>- Use of Artificial Intelligence tools supporting media transformation</w:t>
            </w:r>
          </w:p>
          <w:p w:rsidRPr="009E2ECA" w:rsidR="00D87E44" w:rsidP="007D7CC4" w:rsidRDefault="00D87E44" w14:paraId="15457990" w14:textId="77777777">
            <w:pPr>
              <w:spacing w:before="0" w:after="0" w:line="240" w:lineRule="auto"/>
              <w:rPr>
                <w:rFonts w:eastAsia="Times New Roman"/>
                <w:noProof/>
                <w:color w:val="004300"/>
                <w:sz w:val="18"/>
                <w:szCs w:val="18"/>
                <w:lang w:val="en-IE"/>
              </w:rPr>
            </w:pPr>
            <w:r w:rsidRPr="00C95F1A">
              <w:rPr>
                <w:rFonts w:eastAsia="Times New Roman"/>
                <w:noProof/>
                <w:color w:val="004300"/>
                <w:sz w:val="18"/>
                <w:szCs w:val="18"/>
                <w:lang w:val="en-IE"/>
              </w:rPr>
              <w:t>- Regulating the use of artificial intelligence in the media</w:t>
            </w:r>
            <w:r w:rsidRPr="009E2ECA">
              <w:rPr>
                <w:rFonts w:eastAsia="Times New Roman"/>
                <w:noProof/>
                <w:color w:val="004300"/>
                <w:sz w:val="18"/>
                <w:szCs w:val="18"/>
                <w:lang w:val="en-IE"/>
              </w:rPr>
              <w:t xml:space="preserve"> </w:t>
            </w:r>
          </w:p>
        </w:tc>
      </w:tr>
      <w:tr w:rsidRPr="00FE48E2" w:rsidR="00E3458A" w14:paraId="1545799D"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9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lastRenderedPageBreak/>
              <w:t>55</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5: European Blockchain Services </w:t>
            </w:r>
            <w:r w:rsidRPr="00FE48E2">
              <w:rPr>
                <w:rFonts w:eastAsia="Times New Roman"/>
                <w:noProof/>
                <w:color w:val="004300"/>
                <w:sz w:val="18"/>
                <w:szCs w:val="18"/>
                <w:lang w:val="en-IE" w:eastAsia="en-GB"/>
              </w:rPr>
              <w:t>Infrastructure (</w:t>
            </w:r>
            <w:r w:rsidRPr="698045E7">
              <w:rPr>
                <w:rFonts w:eastAsia="Times New Roman"/>
                <w:noProof/>
                <w:color w:val="004300"/>
                <w:sz w:val="18"/>
                <w:szCs w:val="18"/>
                <w:lang w:val="en-IE" w:eastAsia="en-GB"/>
              </w:rPr>
              <w:t xml:space="preserve">compatible </w:t>
            </w:r>
            <w:r>
              <w:rPr>
                <w:rFonts w:eastAsia="Times New Roman"/>
                <w:noProof/>
                <w:color w:val="004300"/>
                <w:sz w:val="18"/>
                <w:szCs w:val="18"/>
                <w:lang w:val="en-IE" w:eastAsia="en-GB"/>
              </w:rPr>
              <w:t xml:space="preserve">with </w:t>
            </w:r>
            <w:r w:rsidRPr="00FE48E2">
              <w:rPr>
                <w:rFonts w:eastAsia="Times New Roman"/>
                <w:noProof/>
                <w:color w:val="004300"/>
                <w:sz w:val="18"/>
                <w:szCs w:val="18"/>
                <w:lang w:val="en-IE" w:eastAsia="en-GB"/>
              </w:rPr>
              <w:t>EBSI)</w:t>
            </w:r>
            <w:r>
              <w:rPr>
                <w:rFonts w:eastAsia="Times New Roman"/>
                <w:noProof/>
                <w:color w:val="004300"/>
                <w:sz w:val="18"/>
                <w:szCs w:val="18"/>
                <w:lang w:val="en-IE" w:eastAsia="en-GB"/>
              </w:rPr>
              <w:t xml:space="preserve"> -</w:t>
            </w:r>
            <w:r w:rsidRPr="00FE48E2">
              <w:rPr>
                <w:rFonts w:eastAsia="Times New Roman"/>
                <w:noProof/>
                <w:color w:val="004300"/>
                <w:sz w:val="18"/>
                <w:szCs w:val="18"/>
                <w:lang w:val="en-IE" w:eastAsia="en-GB"/>
              </w:rPr>
              <w:t xml:space="preserve"> DLT bonds for SME financing</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Grant agreement signed with the recipient for implementing the use-case for SMEs</w:t>
            </w:r>
          </w:p>
        </w:tc>
        <w:tc>
          <w:tcPr>
            <w:tcW w:w="171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Signature of grant agreement </w:t>
            </w: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97"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98"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99"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Pr>
                <w:rFonts w:eastAsia="Times New Roman"/>
                <w:noProof/>
                <w:color w:val="004300"/>
                <w:sz w:val="18"/>
                <w:szCs w:val="18"/>
                <w:lang w:val="en-IE"/>
              </w:rPr>
              <w:t>3</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Grant agreement shall be signed for the implementation of the SME use case. </w:t>
            </w:r>
          </w:p>
        </w:tc>
      </w:tr>
      <w:tr w:rsidRPr="00FE48E2" w:rsidR="00E3458A" w14:paraId="154579A9"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9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56</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9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5: European Blockchain Services Infrastructure (</w:t>
            </w:r>
            <w:r w:rsidRPr="698045E7">
              <w:rPr>
                <w:rFonts w:eastAsia="Times New Roman"/>
                <w:noProof/>
                <w:color w:val="004300"/>
                <w:sz w:val="18"/>
                <w:szCs w:val="18"/>
                <w:lang w:val="en-IE" w:eastAsia="en-GB"/>
              </w:rPr>
              <w:t xml:space="preserve">compatible </w:t>
            </w:r>
            <w:r>
              <w:rPr>
                <w:rFonts w:eastAsia="Times New Roman"/>
                <w:noProof/>
                <w:color w:val="004300"/>
                <w:sz w:val="18"/>
                <w:szCs w:val="18"/>
                <w:lang w:val="en-IE" w:eastAsia="en-GB"/>
              </w:rPr>
              <w:t xml:space="preserve">with </w:t>
            </w:r>
            <w:r w:rsidRPr="00FE48E2">
              <w:rPr>
                <w:rFonts w:eastAsia="Times New Roman"/>
                <w:noProof/>
                <w:color w:val="004300"/>
                <w:sz w:val="18"/>
                <w:szCs w:val="18"/>
                <w:lang w:val="en-IE" w:eastAsia="en-GB"/>
              </w:rPr>
              <w:t xml:space="preserve">EBSI) </w:t>
            </w:r>
            <w:r>
              <w:rPr>
                <w:rFonts w:eastAsia="Times New Roman"/>
                <w:noProof/>
                <w:color w:val="004300"/>
                <w:sz w:val="18"/>
                <w:szCs w:val="18"/>
                <w:lang w:val="en-IE" w:eastAsia="en-GB"/>
              </w:rPr>
              <w:t xml:space="preserve">- </w:t>
            </w:r>
            <w:r w:rsidRPr="00FE48E2">
              <w:rPr>
                <w:rFonts w:eastAsia="Times New Roman"/>
                <w:noProof/>
                <w:color w:val="004300"/>
                <w:sz w:val="18"/>
                <w:szCs w:val="18"/>
                <w:lang w:val="en-IE" w:eastAsia="en-GB"/>
              </w:rPr>
              <w:t>DLT bonds for SME financing</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 of SMEs enabled to offer digital bonds</w:t>
            </w:r>
            <w:r>
              <w:rPr>
                <w:rFonts w:eastAsia="Times New Roman"/>
                <w:noProof/>
                <w:color w:val="004300"/>
                <w:sz w:val="18"/>
                <w:szCs w:val="18"/>
                <w:lang w:val="en-IE" w:eastAsia="en-GB"/>
              </w:rPr>
              <w:t xml:space="preserve"> via EBSI</w:t>
            </w:r>
            <w:r w:rsidRPr="00FE48E2">
              <w:rPr>
                <w:rFonts w:eastAsia="Times New Roman"/>
                <w:noProof/>
                <w:color w:val="004300"/>
                <w:sz w:val="18"/>
                <w:szCs w:val="18"/>
                <w:lang w:val="en-IE" w:eastAsia="en-GB"/>
              </w:rPr>
              <w:t xml:space="preserve">. </w:t>
            </w:r>
          </w:p>
        </w:tc>
        <w:tc>
          <w:tcPr>
            <w:tcW w:w="171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2"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Number </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1</w:t>
            </w:r>
            <w:r>
              <w:rPr>
                <w:rFonts w:eastAsia="Times New Roman"/>
                <w:noProof/>
                <w:color w:val="004300"/>
                <w:sz w:val="18"/>
                <w:szCs w:val="18"/>
                <w:lang w:val="en-IE"/>
              </w:rPr>
              <w:t>90</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2</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Pr>
                <w:rFonts w:eastAsia="Times New Roman"/>
                <w:noProof/>
                <w:color w:val="004300"/>
                <w:sz w:val="18"/>
                <w:szCs w:val="18"/>
                <w:lang w:val="en-IE"/>
              </w:rPr>
              <w:t>4</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The support shall enable SMEs to offer bonds based on Distributed Ledger Technology, without prejudice to the participating companies’ decision on bond issuance</w:t>
            </w:r>
          </w:p>
        </w:tc>
      </w:tr>
      <w:tr w:rsidRPr="00FE48E2" w:rsidR="00E3458A" w14:paraId="154579B5"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A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57</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6:  Demonstrative application </w:t>
            </w:r>
            <w:r w:rsidRPr="00FE48E2">
              <w:rPr>
                <w:rFonts w:eastAsia="Times New Roman"/>
                <w:noProof/>
                <w:color w:val="004300"/>
                <w:sz w:val="18"/>
                <w:szCs w:val="18"/>
                <w:lang w:val="en-IE" w:eastAsia="en-GB"/>
              </w:rPr>
              <w:t>projects for cities and industrial areas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Development and operation of reference applications for Smart Cities</w:t>
            </w:r>
          </w:p>
        </w:tc>
        <w:tc>
          <w:tcPr>
            <w:tcW w:w="1719" w:type="dxa"/>
            <w:tcBorders>
              <w:top w:val="nil"/>
              <w:left w:val="nil"/>
              <w:bottom w:val="single" w:color="auto" w:sz="4" w:space="0"/>
              <w:right w:val="single" w:color="000000" w:themeColor="text1" w:sz="4" w:space="0"/>
            </w:tcBorders>
            <w:shd w:val="clear" w:color="auto" w:fill="C6EFCE"/>
            <w:hideMark/>
          </w:tcPr>
          <w:p w:rsidRPr="00FE48E2" w:rsidR="00D87E44" w:rsidRDefault="00D87E44" w14:paraId="154579AE"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A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2022</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4" w14:textId="77777777">
            <w:pPr>
              <w:spacing w:before="0" w:after="0" w:line="259"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Five reference application as part of the Smart Cities programme to be completed</w:t>
            </w:r>
          </w:p>
        </w:tc>
      </w:tr>
      <w:tr w:rsidRPr="00FE48E2" w:rsidR="00E3458A" w14:paraId="154579C1"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B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58</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6: </w:t>
            </w:r>
            <w:r w:rsidRPr="00FE48E2">
              <w:rPr>
                <w:rFonts w:eastAsia="Times New Roman"/>
                <w:noProof/>
                <w:color w:val="004300"/>
                <w:sz w:val="18"/>
                <w:szCs w:val="18"/>
                <w:lang w:val="en-IE" w:eastAsia="en-GB"/>
              </w:rPr>
              <w:t>Demonstrative application projects for cities and industrial areas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auto" w:sz="4" w:space="0"/>
            </w:tcBorders>
            <w:shd w:val="clear" w:color="auto" w:fill="C6EFCE"/>
            <w:hideMark/>
          </w:tcPr>
          <w:p w:rsidRPr="00FE48E2" w:rsidR="00D87E44" w:rsidRDefault="00D87E44" w14:paraId="154579B9"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eastAsia="en-GB"/>
              </w:rPr>
              <w:t>U</w:t>
            </w:r>
            <w:r w:rsidRPr="00FE48E2">
              <w:rPr>
                <w:rFonts w:eastAsia="Times New Roman"/>
                <w:noProof/>
                <w:color w:val="004300"/>
                <w:sz w:val="18"/>
                <w:szCs w:val="18"/>
                <w:lang w:val="en-IE" w:eastAsia="en-GB"/>
              </w:rPr>
              <w:t>se</w:t>
            </w:r>
            <w:r>
              <w:rPr>
                <w:rFonts w:eastAsia="Times New Roman"/>
                <w:noProof/>
                <w:color w:val="004300"/>
                <w:sz w:val="18"/>
                <w:szCs w:val="18"/>
                <w:lang w:val="en-IE" w:eastAsia="en-GB"/>
              </w:rPr>
              <w:t>-</w:t>
            </w:r>
            <w:r w:rsidRPr="00FE48E2">
              <w:rPr>
                <w:rFonts w:eastAsia="Times New Roman"/>
                <w:noProof/>
                <w:color w:val="004300"/>
                <w:sz w:val="18"/>
                <w:szCs w:val="18"/>
                <w:lang w:val="en-IE" w:eastAsia="en-GB"/>
              </w:rPr>
              <w:t>cases</w:t>
            </w:r>
            <w:r>
              <w:rPr>
                <w:rFonts w:eastAsia="Times New Roman"/>
                <w:noProof/>
                <w:color w:val="004300"/>
                <w:sz w:val="18"/>
                <w:szCs w:val="18"/>
                <w:lang w:val="en-IE" w:eastAsia="en-GB"/>
              </w:rPr>
              <w:t xml:space="preserve"> for municipalities or industry</w:t>
            </w:r>
          </w:p>
        </w:tc>
        <w:tc>
          <w:tcPr>
            <w:tcW w:w="171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BA" w14:textId="77777777">
            <w:pPr>
              <w:spacing w:before="0" w:after="0" w:line="240" w:lineRule="auto"/>
              <w:rPr>
                <w:rFonts w:eastAsia="Times New Roman"/>
                <w:noProof/>
                <w:color w:val="004300"/>
                <w:sz w:val="18"/>
                <w:szCs w:val="18"/>
                <w:lang w:val="en-IE"/>
              </w:rPr>
            </w:pPr>
          </w:p>
        </w:tc>
        <w:tc>
          <w:tcPr>
            <w:tcW w:w="998" w:type="dxa"/>
            <w:tcBorders>
              <w:top w:val="nil"/>
              <w:left w:val="single" w:color="auto" w:sz="4" w:space="0"/>
              <w:bottom w:val="single" w:color="000000" w:themeColor="text1" w:sz="4" w:space="0"/>
              <w:right w:val="single" w:color="000000" w:themeColor="text1" w:sz="4" w:space="0"/>
            </w:tcBorders>
            <w:shd w:val="clear" w:color="auto" w:fill="C6EFCE"/>
            <w:hideMark/>
          </w:tcPr>
          <w:p w:rsidRPr="00FE48E2" w:rsidR="00D87E44" w:rsidRDefault="00D87E44" w14:paraId="154579B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D" w14:textId="77777777">
            <w:pPr>
              <w:spacing w:before="0" w:after="0" w:line="240" w:lineRule="auto"/>
              <w:rPr>
                <w:rFonts w:eastAsia="Times New Roman"/>
                <w:noProof/>
                <w:color w:val="004300"/>
                <w:sz w:val="18"/>
                <w:szCs w:val="18"/>
                <w:lang w:val="en-IE"/>
              </w:rPr>
            </w:pPr>
            <w:r w:rsidRPr="17B29258">
              <w:rPr>
                <w:rFonts w:eastAsia="Times New Roman"/>
                <w:noProof/>
                <w:color w:val="004300"/>
                <w:sz w:val="18"/>
                <w:szCs w:val="18"/>
                <w:lang w:val="en-IE"/>
              </w:rPr>
              <w:t xml:space="preserve">47 </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B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2025</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0" w14:textId="77777777">
            <w:pPr>
              <w:spacing w:before="0" w:after="0" w:line="240" w:lineRule="auto"/>
              <w:rPr>
                <w:rFonts w:eastAsia="Times New Roman"/>
                <w:noProof/>
                <w:color w:val="004300"/>
                <w:sz w:val="18"/>
                <w:szCs w:val="18"/>
                <w:lang w:val="en-IE"/>
              </w:rPr>
            </w:pPr>
            <w:r w:rsidRPr="606AE51D">
              <w:rPr>
                <w:rFonts w:eastAsia="Times New Roman"/>
                <w:noProof/>
                <w:color w:val="004300"/>
                <w:sz w:val="18"/>
                <w:szCs w:val="18"/>
                <w:lang w:val="en-IE" w:eastAsia="en-GB"/>
              </w:rPr>
              <w:t>5G</w:t>
            </w:r>
            <w:r>
              <w:rPr>
                <w:rFonts w:eastAsia="Times New Roman"/>
                <w:noProof/>
                <w:color w:val="004300"/>
                <w:sz w:val="18"/>
                <w:szCs w:val="18"/>
                <w:lang w:val="en-IE" w:eastAsia="en-GB"/>
              </w:rPr>
              <w:t xml:space="preserve"> or alternative technology </w:t>
            </w:r>
            <w:r w:rsidRPr="17B29258">
              <w:rPr>
                <w:rFonts w:eastAsia="Times New Roman"/>
                <w:noProof/>
                <w:color w:val="004300"/>
                <w:sz w:val="18"/>
                <w:szCs w:val="18"/>
                <w:lang w:val="en-IE" w:eastAsia="en-GB"/>
              </w:rPr>
              <w:t xml:space="preserve">use-cases for municipalities or industry </w:t>
            </w:r>
            <w:r>
              <w:rPr>
                <w:rFonts w:eastAsia="Times New Roman"/>
                <w:noProof/>
                <w:color w:val="004300"/>
                <w:sz w:val="18"/>
                <w:szCs w:val="18"/>
                <w:lang w:val="en-IE" w:eastAsia="en-GB"/>
              </w:rPr>
              <w:t>shall be accepted by authorities.</w:t>
            </w:r>
          </w:p>
        </w:tc>
      </w:tr>
      <w:tr w:rsidRPr="00FE48E2" w:rsidR="00E3458A" w14:paraId="154579CD"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C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59</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7: Czech Rise-Up programme</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Support of projects aiming at innovation in medical and digital solutions to cope </w:t>
            </w:r>
            <w:r>
              <w:rPr>
                <w:rFonts w:eastAsia="Times New Roman"/>
                <w:noProof/>
                <w:color w:val="004300"/>
                <w:sz w:val="18"/>
                <w:szCs w:val="18"/>
                <w:lang w:val="en-IE" w:eastAsia="en-GB"/>
              </w:rPr>
              <w:t xml:space="preserve">with </w:t>
            </w:r>
            <w:r w:rsidRPr="00FE48E2">
              <w:rPr>
                <w:rFonts w:eastAsia="Times New Roman"/>
                <w:noProof/>
                <w:color w:val="004300"/>
                <w:sz w:val="18"/>
                <w:szCs w:val="18"/>
                <w:lang w:val="en-IE" w:eastAsia="en-GB"/>
              </w:rPr>
              <w:t xml:space="preserve">the effects of COVID-19 and with its economic and social consequences </w:t>
            </w:r>
          </w:p>
        </w:tc>
        <w:tc>
          <w:tcPr>
            <w:tcW w:w="171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9C6"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30</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2023</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Support </w:t>
            </w:r>
            <w:r>
              <w:rPr>
                <w:rFonts w:eastAsia="Times New Roman"/>
                <w:noProof/>
                <w:color w:val="004300"/>
                <w:sz w:val="18"/>
                <w:szCs w:val="18"/>
                <w:lang w:val="en-IE" w:eastAsia="en-GB"/>
              </w:rPr>
              <w:t>to</w:t>
            </w:r>
            <w:r w:rsidRPr="00FE48E2">
              <w:rPr>
                <w:rFonts w:eastAsia="Times New Roman"/>
                <w:noProof/>
                <w:color w:val="004300"/>
                <w:sz w:val="18"/>
                <w:szCs w:val="18"/>
                <w:lang w:val="en-IE" w:eastAsia="en-GB"/>
              </w:rPr>
              <w:t xml:space="preserve"> COVID related medical research </w:t>
            </w:r>
            <w:r>
              <w:rPr>
                <w:rFonts w:eastAsia="Times New Roman"/>
                <w:noProof/>
                <w:color w:val="004300"/>
                <w:sz w:val="18"/>
                <w:szCs w:val="18"/>
                <w:lang w:val="en-IE" w:eastAsia="en-GB"/>
              </w:rPr>
              <w:t xml:space="preserve">projects </w:t>
            </w:r>
            <w:r w:rsidRPr="00FE48E2">
              <w:rPr>
                <w:rFonts w:eastAsia="Times New Roman"/>
                <w:noProof/>
                <w:color w:val="004300"/>
                <w:sz w:val="18"/>
                <w:szCs w:val="18"/>
                <w:lang w:val="en-IE" w:eastAsia="en-GB"/>
              </w:rPr>
              <w:t xml:space="preserve">and in developing projects, and projects aiming at digital solutions to cope with the economic and social consequences of the crisis in a form of de minimis grant support. Award of the contracts to the projects selected under the competitive calls for proposals mentioned in this </w:t>
            </w:r>
            <w:r>
              <w:rPr>
                <w:rFonts w:eastAsia="Times New Roman"/>
                <w:noProof/>
                <w:color w:val="004300"/>
                <w:sz w:val="18"/>
                <w:szCs w:val="18"/>
                <w:lang w:val="en-IE" w:eastAsia="en-GB"/>
              </w:rPr>
              <w:t>target</w:t>
            </w:r>
            <w:r w:rsidRPr="00FE48E2">
              <w:rPr>
                <w:rFonts w:eastAsia="Times New Roman"/>
                <w:noProof/>
                <w:color w:val="004300"/>
                <w:sz w:val="18"/>
                <w:szCs w:val="18"/>
                <w:lang w:val="en-IE" w:eastAsia="en-GB"/>
              </w:rPr>
              <w:t xml:space="preserve"> shall be, in compliance with the ’Do no significant harm’ Technical Guidance (2021/C58/01) through the use of an exclusion list and the requirement of compliance with the relevant EU and national environmental legislation.</w:t>
            </w:r>
          </w:p>
        </w:tc>
      </w:tr>
      <w:tr w:rsidRPr="00FE48E2" w:rsidR="00E3458A" w14:paraId="154579D9"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C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60</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C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8: Fostering entrepreneurship and innovative firms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Number of </w:t>
            </w:r>
            <w:r>
              <w:rPr>
                <w:rFonts w:eastAsia="Times New Roman"/>
                <w:noProof/>
                <w:color w:val="004300"/>
                <w:sz w:val="18"/>
                <w:szCs w:val="18"/>
                <w:lang w:val="en-IE" w:eastAsia="en-GB"/>
              </w:rPr>
              <w:t xml:space="preserve">companies, entrepreneurs  </w:t>
            </w:r>
            <w:r w:rsidRPr="00FE48E2">
              <w:rPr>
                <w:rFonts w:eastAsia="Times New Roman"/>
                <w:noProof/>
                <w:color w:val="004300"/>
                <w:sz w:val="18"/>
                <w:szCs w:val="18"/>
                <w:lang w:val="en-IE" w:eastAsia="en-GB"/>
              </w:rPr>
              <w:t xml:space="preserve"> </w:t>
            </w:r>
            <w:r>
              <w:rPr>
                <w:rFonts w:eastAsia="Times New Roman"/>
                <w:noProof/>
                <w:color w:val="004300"/>
                <w:sz w:val="18"/>
                <w:szCs w:val="18"/>
                <w:lang w:val="en-IE" w:eastAsia="en-GB"/>
              </w:rPr>
              <w:t xml:space="preserve">and </w:t>
            </w:r>
            <w:r>
              <w:rPr>
                <w:rFonts w:eastAsia="Times New Roman"/>
                <w:noProof/>
                <w:color w:val="004300"/>
                <w:sz w:val="18"/>
                <w:szCs w:val="18"/>
                <w:lang w:val="en-IE" w:eastAsia="en-GB"/>
              </w:rPr>
              <w:lastRenderedPageBreak/>
              <w:t xml:space="preserve">individuals </w:t>
            </w:r>
            <w:r w:rsidRPr="00FE48E2">
              <w:rPr>
                <w:rFonts w:eastAsia="Times New Roman"/>
                <w:noProof/>
                <w:color w:val="004300"/>
                <w:sz w:val="18"/>
                <w:szCs w:val="18"/>
                <w:lang w:val="en-IE" w:eastAsia="en-GB"/>
              </w:rPr>
              <w:t xml:space="preserve">supported </w:t>
            </w:r>
          </w:p>
        </w:tc>
        <w:tc>
          <w:tcPr>
            <w:tcW w:w="1719" w:type="dxa"/>
            <w:tcBorders>
              <w:top w:val="nil"/>
              <w:left w:val="nil"/>
              <w:bottom w:val="single" w:color="auto" w:sz="4" w:space="0"/>
              <w:right w:val="single" w:color="000000" w:themeColor="text1" w:sz="4" w:space="0"/>
            </w:tcBorders>
            <w:shd w:val="clear" w:color="auto" w:fill="C6EFCE"/>
            <w:hideMark/>
          </w:tcPr>
          <w:p w:rsidRPr="00FE48E2" w:rsidR="00D87E44" w:rsidRDefault="00D87E44" w14:paraId="154579D2"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450</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8"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eastAsia="en-GB"/>
              </w:rPr>
              <w:t xml:space="preserve">Companies, entrepreneurs and individuals </w:t>
            </w:r>
            <w:r w:rsidRPr="00FE48E2">
              <w:rPr>
                <w:rFonts w:eastAsia="Times New Roman"/>
                <w:noProof/>
                <w:color w:val="004300"/>
                <w:sz w:val="18"/>
                <w:szCs w:val="18"/>
                <w:lang w:val="en-IE" w:eastAsia="en-GB"/>
              </w:rPr>
              <w:t xml:space="preserve">to be provided with mentoring, consultant </w:t>
            </w:r>
            <w:r>
              <w:rPr>
                <w:rFonts w:eastAsia="Times New Roman"/>
                <w:noProof/>
                <w:color w:val="004300"/>
                <w:sz w:val="18"/>
                <w:szCs w:val="18"/>
                <w:lang w:val="en-IE" w:eastAsia="en-GB"/>
              </w:rPr>
              <w:t>or</w:t>
            </w:r>
            <w:r w:rsidRPr="00FE48E2">
              <w:rPr>
                <w:rFonts w:eastAsia="Times New Roman"/>
                <w:noProof/>
                <w:color w:val="004300"/>
                <w:sz w:val="18"/>
                <w:szCs w:val="18"/>
                <w:lang w:val="en-IE" w:eastAsia="en-GB"/>
              </w:rPr>
              <w:t xml:space="preserve"> advisory services or training to foster entrepreneurship and validation of business plans.</w:t>
            </w:r>
          </w:p>
        </w:tc>
      </w:tr>
      <w:tr w:rsidRPr="00FE48E2" w:rsidR="00E3458A" w14:paraId="154579E6"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D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61</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9: </w:t>
            </w:r>
            <w:r>
              <w:rPr>
                <w:rFonts w:eastAsia="Times New Roman"/>
                <w:noProof/>
                <w:color w:val="004300"/>
                <w:sz w:val="18"/>
                <w:szCs w:val="18"/>
                <w:lang w:val="en-IE" w:eastAsia="en-GB"/>
              </w:rPr>
              <w:t xml:space="preserve">Fund of funds </w:t>
            </w:r>
            <w:r w:rsidRPr="00FE48E2">
              <w:rPr>
                <w:rFonts w:eastAsia="Times New Roman"/>
                <w:noProof/>
                <w:color w:val="004300"/>
                <w:sz w:val="18"/>
                <w:szCs w:val="18"/>
                <w:lang w:val="en-IE" w:eastAsia="en-GB"/>
              </w:rPr>
              <w:t xml:space="preserve">for the development of </w:t>
            </w:r>
            <w:r w:rsidRPr="00024BC5">
              <w:rPr>
                <w:rFonts w:eastAsia="Times New Roman"/>
                <w:noProof/>
                <w:color w:val="004300"/>
                <w:sz w:val="18"/>
                <w:szCs w:val="18"/>
                <w:lang w:val="en-IE" w:eastAsia="en-GB"/>
              </w:rPr>
              <w:t>pre</w:t>
            </w:r>
            <w:r>
              <w:rPr>
                <w:rFonts w:eastAsia="Times New Roman"/>
                <w:noProof/>
                <w:color w:val="004300"/>
                <w:sz w:val="18"/>
                <w:szCs w:val="18"/>
                <w:lang w:val="en-IE" w:eastAsia="en-GB"/>
              </w:rPr>
              <w:t>-</w:t>
            </w:r>
            <w:r w:rsidRPr="00024BC5">
              <w:rPr>
                <w:rFonts w:eastAsia="Times New Roman"/>
                <w:noProof/>
                <w:color w:val="004300"/>
                <w:sz w:val="18"/>
                <w:szCs w:val="18"/>
                <w:lang w:val="en-IE" w:eastAsia="en-GB"/>
              </w:rPr>
              <w:t>seed</w:t>
            </w:r>
            <w:r w:rsidRPr="00FE48E2">
              <w:rPr>
                <w:rFonts w:eastAsia="Times New Roman"/>
                <w:noProof/>
                <w:color w:val="004300"/>
                <w:sz w:val="18"/>
                <w:szCs w:val="18"/>
                <w:lang w:val="en-IE" w:eastAsia="en-GB"/>
              </w:rPr>
              <w:t xml:space="preserve"> investments, strategic</w:t>
            </w:r>
            <w:r>
              <w:rPr>
                <w:rFonts w:eastAsia="Times New Roman"/>
                <w:noProof/>
                <w:color w:val="004300"/>
                <w:sz w:val="18"/>
                <w:szCs w:val="18"/>
                <w:lang w:val="en-IE" w:eastAsia="en-GB"/>
              </w:rPr>
              <w:t xml:space="preserve"> digital</w:t>
            </w:r>
            <w:r w:rsidRPr="00FE48E2">
              <w:rPr>
                <w:rFonts w:eastAsia="Times New Roman"/>
                <w:noProof/>
                <w:color w:val="004300"/>
                <w:sz w:val="18"/>
                <w:szCs w:val="18"/>
                <w:lang w:val="en-IE" w:eastAsia="en-GB"/>
              </w:rPr>
              <w:t xml:space="preserve"> technologies </w:t>
            </w:r>
            <w:r>
              <w:rPr>
                <w:rFonts w:eastAsia="Times New Roman"/>
                <w:noProof/>
                <w:color w:val="004300"/>
                <w:sz w:val="18"/>
                <w:szCs w:val="18"/>
                <w:lang w:val="en-IE" w:eastAsia="en-GB"/>
              </w:rPr>
              <w:t xml:space="preserve">or </w:t>
            </w:r>
            <w:r w:rsidRPr="00FE48E2">
              <w:rPr>
                <w:rFonts w:eastAsia="Times New Roman"/>
                <w:noProof/>
                <w:color w:val="004300"/>
                <w:sz w:val="18"/>
                <w:szCs w:val="18"/>
                <w:lang w:val="en-IE" w:eastAsia="en-GB"/>
              </w:rPr>
              <w:t xml:space="preserve">spin-offs </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D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79" w:type="dxa"/>
            <w:tcBorders>
              <w:top w:val="nil"/>
              <w:left w:val="nil"/>
              <w:bottom w:val="single" w:color="000000" w:themeColor="text1" w:sz="4" w:space="0"/>
              <w:right w:val="single" w:color="auto" w:sz="4" w:space="0"/>
            </w:tcBorders>
            <w:shd w:val="clear" w:color="auto" w:fill="C6EFCE"/>
            <w:hideMark/>
          </w:tcPr>
          <w:p w:rsidRPr="00FE48E2" w:rsidR="00D87E44" w:rsidRDefault="00D87E44" w14:paraId="154579DD"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US" w:eastAsia="en-GB"/>
              </w:rPr>
              <w:t>Transfer of funds</w:t>
            </w:r>
          </w:p>
        </w:tc>
        <w:tc>
          <w:tcPr>
            <w:tcW w:w="171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DE" w14:textId="77777777">
            <w:pPr>
              <w:spacing w:before="0" w:after="0" w:line="240" w:lineRule="auto"/>
              <w:rPr>
                <w:rFonts w:eastAsia="Times New Roman"/>
                <w:noProof/>
                <w:color w:val="004300"/>
                <w:sz w:val="18"/>
                <w:szCs w:val="18"/>
                <w:lang w:val="en-IE"/>
              </w:rPr>
            </w:pPr>
            <w:r w:rsidRPr="003C1814">
              <w:rPr>
                <w:rFonts w:eastAsia="Times New Roman"/>
                <w:noProof/>
                <w:color w:val="004300"/>
                <w:sz w:val="18"/>
                <w:szCs w:val="18"/>
                <w:lang w:eastAsia="en-GB"/>
              </w:rPr>
              <w:t>Certificate of transfer and signed legal agreements with fund managers</w:t>
            </w:r>
          </w:p>
        </w:tc>
        <w:tc>
          <w:tcPr>
            <w:tcW w:w="998" w:type="dxa"/>
            <w:tcBorders>
              <w:top w:val="nil"/>
              <w:left w:val="single" w:color="auto" w:sz="4" w:space="0"/>
              <w:bottom w:val="single" w:color="000000" w:themeColor="text1" w:sz="4" w:space="0"/>
              <w:right w:val="single" w:color="000000" w:themeColor="text1" w:sz="4" w:space="0"/>
            </w:tcBorders>
            <w:shd w:val="clear" w:color="auto" w:fill="C6EFCE"/>
          </w:tcPr>
          <w:p w:rsidRPr="00FE48E2" w:rsidR="00D87E44" w:rsidRDefault="00D87E44" w14:paraId="154579DF"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E0"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E1"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2</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Pr>
                <w:rFonts w:eastAsia="Times New Roman"/>
                <w:noProof/>
                <w:color w:val="004300"/>
                <w:sz w:val="18"/>
                <w:szCs w:val="18"/>
                <w:lang w:val="en-IE"/>
              </w:rPr>
              <w:t>6</w:t>
            </w:r>
          </w:p>
        </w:tc>
        <w:tc>
          <w:tcPr>
            <w:tcW w:w="3929" w:type="dxa"/>
            <w:tcBorders>
              <w:top w:val="nil"/>
              <w:left w:val="nil"/>
              <w:bottom w:val="single" w:color="000000" w:themeColor="text1" w:sz="4" w:space="0"/>
              <w:right w:val="single" w:color="000000" w:themeColor="text1" w:sz="4" w:space="0"/>
            </w:tcBorders>
            <w:shd w:val="clear" w:color="auto" w:fill="C6EFCE"/>
            <w:hideMark/>
          </w:tcPr>
          <w:p w:rsidR="00D87E44" w:rsidRDefault="00D87E44" w14:paraId="154579E4" w14:textId="77777777">
            <w:pPr>
              <w:spacing w:before="0" w:after="0" w:line="240" w:lineRule="auto"/>
              <w:rPr>
                <w:rFonts w:eastAsia="Times New Roman"/>
                <w:noProof/>
                <w:color w:val="004300"/>
                <w:sz w:val="18"/>
                <w:szCs w:val="18"/>
                <w:lang w:val="en-IE" w:eastAsia="en-GB"/>
              </w:rPr>
            </w:pPr>
            <w:r w:rsidRPr="005D44C0">
              <w:rPr>
                <w:rFonts w:eastAsia="Times New Roman"/>
                <w:noProof/>
                <w:color w:val="004300"/>
                <w:sz w:val="18"/>
                <w:szCs w:val="18"/>
                <w:lang w:val="en-IE" w:eastAsia="en-GB"/>
              </w:rPr>
              <w:t>Czechia</w:t>
            </w:r>
            <w:r w:rsidRPr="00FF1320">
              <w:rPr>
                <w:color w:val="004300"/>
                <w:sz w:val="18"/>
                <w:lang w:val="en-IE"/>
              </w:rPr>
              <w:t xml:space="preserve"> shall </w:t>
            </w:r>
            <w:r w:rsidRPr="005D44C0">
              <w:rPr>
                <w:rFonts w:eastAsia="Times New Roman"/>
                <w:noProof/>
                <w:color w:val="004300"/>
                <w:sz w:val="18"/>
                <w:szCs w:val="18"/>
                <w:lang w:val="en-IE" w:eastAsia="en-GB"/>
              </w:rPr>
              <w:t>transfer a</w:t>
            </w:r>
            <w:r w:rsidRPr="00FF1320">
              <w:rPr>
                <w:color w:val="004300"/>
                <w:sz w:val="18"/>
                <w:lang w:val="en-IE"/>
              </w:rPr>
              <w:t xml:space="preserve"> minimum amount of </w:t>
            </w:r>
          </w:p>
          <w:p w:rsidRPr="00FE48E2" w:rsidR="00D87E44" w:rsidRDefault="00D87E44" w14:paraId="154579E5" w14:textId="77777777">
            <w:pPr>
              <w:spacing w:before="0" w:after="0" w:line="240" w:lineRule="auto"/>
              <w:rPr>
                <w:rFonts w:eastAsia="Times New Roman"/>
                <w:noProof/>
                <w:color w:val="004300"/>
                <w:sz w:val="18"/>
                <w:szCs w:val="18"/>
                <w:lang w:val="en-IE" w:eastAsia="en-GB"/>
              </w:rPr>
            </w:pPr>
            <w:r w:rsidRPr="00FF1320">
              <w:rPr>
                <w:color w:val="004300"/>
                <w:sz w:val="18"/>
                <w:lang w:val="en-IE"/>
              </w:rPr>
              <w:t>EUR 54</w:t>
            </w:r>
            <w:r>
              <w:rPr>
                <w:rFonts w:eastAsia="Times New Roman"/>
                <w:noProof/>
                <w:color w:val="004300"/>
                <w:sz w:val="18"/>
                <w:szCs w:val="18"/>
                <w:lang w:val="en-IE" w:eastAsia="en-GB"/>
              </w:rPr>
              <w:t> </w:t>
            </w:r>
            <w:r w:rsidRPr="00FF1320">
              <w:rPr>
                <w:color w:val="004300"/>
                <w:sz w:val="18"/>
                <w:lang w:val="en-IE"/>
              </w:rPr>
              <w:t>983</w:t>
            </w:r>
            <w:r>
              <w:rPr>
                <w:rFonts w:eastAsia="Times New Roman"/>
                <w:noProof/>
                <w:color w:val="004300"/>
                <w:sz w:val="18"/>
                <w:szCs w:val="18"/>
                <w:lang w:val="en-IE" w:eastAsia="en-GB"/>
              </w:rPr>
              <w:t> </w:t>
            </w:r>
            <w:r w:rsidRPr="00FF1320">
              <w:rPr>
                <w:color w:val="004300"/>
                <w:sz w:val="18"/>
                <w:lang w:val="en-IE"/>
              </w:rPr>
              <w:t>897</w:t>
            </w:r>
            <w:r w:rsidRPr="005D44C0">
              <w:rPr>
                <w:rFonts w:eastAsia="Times New Roman"/>
                <w:noProof/>
                <w:color w:val="004300"/>
                <w:sz w:val="18"/>
                <w:szCs w:val="18"/>
                <w:lang w:val="en-IE" w:eastAsia="en-GB"/>
              </w:rPr>
              <w:t xml:space="preserve"> to the European</w:t>
            </w:r>
            <w:r w:rsidRPr="00FF1320">
              <w:rPr>
                <w:color w:val="004300"/>
                <w:sz w:val="18"/>
                <w:lang w:val="en-IE"/>
              </w:rPr>
              <w:t xml:space="preserve"> Investment </w:t>
            </w:r>
            <w:r w:rsidRPr="005D44C0">
              <w:rPr>
                <w:rFonts w:eastAsia="Times New Roman"/>
                <w:noProof/>
                <w:color w:val="004300"/>
                <w:sz w:val="18"/>
                <w:szCs w:val="18"/>
                <w:lang w:val="en-IE" w:eastAsia="en-GB"/>
              </w:rPr>
              <w:t xml:space="preserve">Fund for the </w:t>
            </w:r>
            <w:r>
              <w:rPr>
                <w:rFonts w:eastAsia="Times New Roman"/>
                <w:noProof/>
                <w:color w:val="004300"/>
                <w:sz w:val="18"/>
                <w:szCs w:val="18"/>
                <w:lang w:val="en-IE" w:eastAsia="en-GB"/>
              </w:rPr>
              <w:t xml:space="preserve">fund of funds focusing on equity instruments </w:t>
            </w:r>
            <w:r w:rsidRPr="00FF1320">
              <w:rPr>
                <w:color w:val="004300"/>
                <w:sz w:val="18"/>
                <w:lang w:val="en-IE"/>
              </w:rPr>
              <w:t xml:space="preserve">for </w:t>
            </w:r>
            <w:r>
              <w:rPr>
                <w:rFonts w:eastAsia="Times New Roman"/>
                <w:noProof/>
                <w:color w:val="004300"/>
                <w:sz w:val="18"/>
                <w:szCs w:val="18"/>
                <w:lang w:val="en-IE" w:eastAsia="en-GB"/>
              </w:rPr>
              <w:t>digital technologies</w:t>
            </w:r>
            <w:r w:rsidRPr="005D44C0">
              <w:rPr>
                <w:rFonts w:eastAsia="Times New Roman"/>
                <w:noProof/>
                <w:color w:val="004300"/>
                <w:sz w:val="18"/>
                <w:szCs w:val="18"/>
                <w:lang w:val="en-IE" w:eastAsia="en-GB"/>
              </w:rPr>
              <w:t xml:space="preserve">. The EIF shall have entered into legal financing agreements with fund managers for an amount necessary to use 100% of the RRF investment into the </w:t>
            </w:r>
            <w:r>
              <w:rPr>
                <w:rFonts w:eastAsia="Times New Roman"/>
                <w:noProof/>
                <w:color w:val="004300"/>
                <w:sz w:val="18"/>
                <w:szCs w:val="18"/>
                <w:lang w:val="en-IE" w:eastAsia="en-GB"/>
              </w:rPr>
              <w:t>f</w:t>
            </w:r>
            <w:r w:rsidRPr="005D44C0">
              <w:rPr>
                <w:rFonts w:eastAsia="Times New Roman"/>
                <w:noProof/>
                <w:color w:val="004300"/>
                <w:sz w:val="18"/>
                <w:szCs w:val="18"/>
                <w:lang w:val="en-IE" w:eastAsia="en-GB"/>
              </w:rPr>
              <w:t>acility (taking into account management fees). The legal agreement between Czechia and the EIF shall include the requirement to reinvest reflows according to the investment policy of the facility</w:t>
            </w:r>
            <w:r>
              <w:rPr>
                <w:rFonts w:eastAsia="Times New Roman"/>
                <w:noProof/>
                <w:color w:val="004300"/>
                <w:sz w:val="18"/>
                <w:szCs w:val="18"/>
                <w:lang w:val="en-IE" w:eastAsia="en-GB"/>
              </w:rPr>
              <w:t>. T</w:t>
            </w:r>
            <w:r w:rsidRPr="00CC48D6">
              <w:rPr>
                <w:rFonts w:eastAsia="Times New Roman"/>
                <w:noProof/>
                <w:color w:val="004300"/>
                <w:sz w:val="18"/>
                <w:szCs w:val="18"/>
                <w:lang w:val="en-IE" w:eastAsia="en-GB"/>
              </w:rPr>
              <w:t xml:space="preserve">he subsequent investment policy of </w:t>
            </w:r>
            <w:r w:rsidRPr="00FF1320">
              <w:rPr>
                <w:color w:val="004300"/>
                <w:sz w:val="18"/>
                <w:lang w:val="en-IE"/>
              </w:rPr>
              <w:t xml:space="preserve">the financial instrument shall </w:t>
            </w:r>
            <w:r w:rsidRPr="00CC48D6">
              <w:rPr>
                <w:rFonts w:eastAsia="Times New Roman"/>
                <w:noProof/>
                <w:color w:val="004300"/>
                <w:sz w:val="18"/>
                <w:szCs w:val="18"/>
                <w:lang w:val="en-IE" w:eastAsia="en-GB"/>
              </w:rPr>
              <w:t xml:space="preserve">require the application of the </w:t>
            </w:r>
            <w:r w:rsidRPr="00CC48D6">
              <w:rPr>
                <w:rFonts w:eastAsia="Times New Roman"/>
                <w:noProof/>
                <w:color w:val="004300"/>
                <w:sz w:val="18"/>
                <w:szCs w:val="18"/>
                <w:lang w:val="en-IE" w:eastAsia="en-GB"/>
              </w:rPr>
              <w:t xml:space="preserve">Commission’s technical guidance on </w:t>
            </w:r>
            <w:r w:rsidRPr="00FF1320">
              <w:rPr>
                <w:color w:val="004300"/>
                <w:sz w:val="18"/>
                <w:lang w:val="en-IE"/>
              </w:rPr>
              <w:t>sustainability proofing</w:t>
            </w:r>
            <w:r w:rsidRPr="00CC48D6">
              <w:rPr>
                <w:rFonts w:eastAsia="Times New Roman"/>
                <w:noProof/>
                <w:color w:val="004300"/>
                <w:sz w:val="18"/>
                <w:szCs w:val="18"/>
                <w:lang w:val="en-IE" w:eastAsia="en-GB"/>
              </w:rPr>
              <w:t xml:space="preserve"> for the InvestEU Fund; and exclude the following</w:t>
            </w:r>
            <w:r w:rsidRPr="00FF1320">
              <w:rPr>
                <w:color w:val="004300"/>
                <w:sz w:val="18"/>
                <w:lang w:val="en-IE"/>
              </w:rPr>
              <w:t xml:space="preserve"> list</w:t>
            </w:r>
            <w:r w:rsidRPr="00CC48D6">
              <w:rPr>
                <w:rFonts w:eastAsia="Times New Roman"/>
                <w:noProof/>
                <w:color w:val="004300"/>
                <w:sz w:val="18"/>
                <w:szCs w:val="18"/>
                <w:lang w:val="en-IE" w:eastAsia="en-GB"/>
              </w:rPr>
              <w:t xml:space="preserve"> of activities and assets from eligibility: (i) activities</w:t>
            </w:r>
            <w:r w:rsidRPr="00FF1320">
              <w:rPr>
                <w:color w:val="004300"/>
                <w:sz w:val="18"/>
                <w:lang w:val="en-IE"/>
              </w:rPr>
              <w:t xml:space="preserve"> and </w:t>
            </w:r>
            <w:r w:rsidRPr="00CC48D6">
              <w:rPr>
                <w:rFonts w:eastAsia="Times New Roman"/>
                <w:noProof/>
                <w:color w:val="004300"/>
                <w:sz w:val="18"/>
                <w:szCs w:val="18"/>
                <w:lang w:val="en-IE" w:eastAsia="en-GB"/>
              </w:rPr>
              <w:t>assets related to fossil fuels, including downstream use</w:t>
            </w:r>
            <w:r>
              <w:rPr>
                <w:rStyle w:val="FootnoteReference"/>
                <w:rFonts w:eastAsia="Times New Roman"/>
                <w:noProof/>
                <w:color w:val="004300"/>
                <w:sz w:val="18"/>
                <w:szCs w:val="18"/>
                <w:lang w:val="en-IE" w:eastAsia="en-GB"/>
              </w:rPr>
              <w:footnoteReference w:id="3"/>
            </w:r>
            <w:r w:rsidRPr="00CC48D6">
              <w:rPr>
                <w:rFonts w:eastAsia="Times New Roman"/>
                <w:noProof/>
                <w:color w:val="004300"/>
                <w:sz w:val="18"/>
                <w:szCs w:val="18"/>
                <w:lang w:val="en-IE" w:eastAsia="en-GB"/>
              </w:rPr>
              <w:t>; (ii) activities and assets under the EU Emission Trading System (ETS) achieving projected greenhouse gas emissions that are not lower than the relevant benchmarks</w:t>
            </w:r>
            <w:r>
              <w:rPr>
                <w:rStyle w:val="FootnoteReference"/>
                <w:rFonts w:eastAsia="Times New Roman"/>
                <w:noProof/>
                <w:color w:val="004300"/>
                <w:sz w:val="18"/>
                <w:szCs w:val="18"/>
                <w:lang w:val="en-IE" w:eastAsia="en-GB"/>
              </w:rPr>
              <w:footnoteReference w:id="4"/>
            </w:r>
            <w:r w:rsidRPr="00CC48D6">
              <w:rPr>
                <w:rFonts w:eastAsia="Times New Roman"/>
                <w:noProof/>
                <w:color w:val="004300"/>
                <w:sz w:val="18"/>
                <w:szCs w:val="18"/>
                <w:lang w:val="en-IE" w:eastAsia="en-GB"/>
              </w:rPr>
              <w:t>; (iii) activities and assets related to waste landfills, incinerators</w:t>
            </w:r>
            <w:r>
              <w:rPr>
                <w:rStyle w:val="FootnoteReference"/>
                <w:rFonts w:eastAsia="Times New Roman"/>
                <w:noProof/>
                <w:color w:val="004300"/>
                <w:sz w:val="18"/>
                <w:szCs w:val="18"/>
                <w:lang w:val="en-IE" w:eastAsia="en-GB"/>
              </w:rPr>
              <w:footnoteReference w:id="5"/>
            </w:r>
            <w:r w:rsidRPr="00CC48D6">
              <w:rPr>
                <w:rFonts w:eastAsia="Times New Roman"/>
                <w:noProof/>
                <w:color w:val="004300"/>
                <w:sz w:val="18"/>
                <w:szCs w:val="18"/>
                <w:lang w:val="en-IE" w:eastAsia="en-GB"/>
              </w:rPr>
              <w:t xml:space="preserve"> and mechanical biological treatment </w:t>
            </w:r>
            <w:r w:rsidRPr="00CC48D6">
              <w:rPr>
                <w:rFonts w:eastAsia="Times New Roman"/>
                <w:noProof/>
                <w:color w:val="004300"/>
                <w:sz w:val="18"/>
                <w:szCs w:val="18"/>
                <w:lang w:val="en-IE" w:eastAsia="en-GB"/>
              </w:rPr>
              <w:lastRenderedPageBreak/>
              <w:t>plants</w:t>
            </w:r>
            <w:r>
              <w:rPr>
                <w:rStyle w:val="FootnoteReference"/>
                <w:rFonts w:eastAsia="Times New Roman"/>
                <w:noProof/>
                <w:color w:val="004300"/>
                <w:sz w:val="18"/>
                <w:szCs w:val="18"/>
                <w:lang w:val="en-IE" w:eastAsia="en-GB"/>
              </w:rPr>
              <w:footnoteReference w:id="6"/>
            </w:r>
            <w:r w:rsidRPr="00CC48D6">
              <w:rPr>
                <w:rFonts w:eastAsia="Times New Roman"/>
                <w:noProof/>
                <w:color w:val="004300"/>
                <w:sz w:val="18"/>
                <w:szCs w:val="18"/>
                <w:lang w:val="en-IE" w:eastAsia="en-GB"/>
              </w:rPr>
              <w:t>; and (iv) activities and assets where the long-term disposal of waste may cause harm to the environment; and require the verification of legal</w:t>
            </w:r>
            <w:r w:rsidRPr="00FF1320">
              <w:rPr>
                <w:color w:val="004300"/>
                <w:sz w:val="18"/>
                <w:lang w:val="en-IE"/>
              </w:rPr>
              <w:t xml:space="preserve"> compliance with the relevant EU and national environmental legislation</w:t>
            </w:r>
            <w:r w:rsidRPr="00CC48D6">
              <w:rPr>
                <w:rFonts w:eastAsia="Times New Roman"/>
                <w:noProof/>
                <w:color w:val="004300"/>
                <w:sz w:val="18"/>
                <w:szCs w:val="18"/>
                <w:lang w:val="en-IE" w:eastAsia="en-GB"/>
              </w:rPr>
              <w:t xml:space="preserve"> of the projects by the entrusted entity or financial intermediary for all transactions, including those exempted from sustainability proofing </w:t>
            </w:r>
            <w:r w:rsidRPr="00FF1320">
              <w:rPr>
                <w:color w:val="004300"/>
                <w:sz w:val="18"/>
                <w:lang w:val="en-IE"/>
              </w:rPr>
              <w:t>.</w:t>
            </w:r>
          </w:p>
        </w:tc>
      </w:tr>
      <w:tr w:rsidRPr="00FE48E2" w:rsidR="00E3458A" w14:paraId="154579F2"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E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lastRenderedPageBreak/>
              <w:t>63</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10: Internationalisation of </w:t>
            </w:r>
            <w:r>
              <w:rPr>
                <w:rFonts w:eastAsia="Times New Roman"/>
                <w:noProof/>
                <w:color w:val="004300"/>
                <w:sz w:val="18"/>
                <w:szCs w:val="18"/>
                <w:lang w:val="en-IE" w:eastAsia="en-GB"/>
              </w:rPr>
              <w:t>businesses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A" w14:textId="77777777">
            <w:pPr>
              <w:spacing w:before="0" w:after="0" w:line="240" w:lineRule="auto"/>
              <w:rPr>
                <w:rFonts w:eastAsia="Times New Roman"/>
                <w:noProof/>
                <w:sz w:val="18"/>
                <w:szCs w:val="18"/>
                <w:lang w:val="en-IE"/>
              </w:rPr>
            </w:pPr>
            <w:r w:rsidRPr="00FE48E2">
              <w:rPr>
                <w:rFonts w:eastAsia="Times New Roman"/>
                <w:noProof/>
                <w:color w:val="004300"/>
                <w:sz w:val="18"/>
                <w:szCs w:val="18"/>
                <w:lang w:val="en-IE"/>
              </w:rPr>
              <w:t>Support</w:t>
            </w:r>
            <w:r w:rsidRPr="240B5839">
              <w:rPr>
                <w:rFonts w:eastAsia="Times New Roman"/>
                <w:noProof/>
                <w:color w:val="004300"/>
                <w:sz w:val="18"/>
                <w:szCs w:val="18"/>
                <w:lang w:val="en-IE"/>
              </w:rPr>
              <w:t xml:space="preserve"> to</w:t>
            </w:r>
            <w:r w:rsidRPr="00FE48E2">
              <w:rPr>
                <w:rFonts w:eastAsia="Times New Roman"/>
                <w:noProof/>
                <w:color w:val="004300"/>
                <w:sz w:val="18"/>
                <w:szCs w:val="18"/>
                <w:lang w:val="en-IE"/>
              </w:rPr>
              <w:t xml:space="preserve"> </w:t>
            </w:r>
            <w:r>
              <w:rPr>
                <w:rFonts w:eastAsia="Times New Roman"/>
                <w:noProof/>
                <w:color w:val="004300"/>
                <w:sz w:val="18"/>
                <w:szCs w:val="18"/>
                <w:lang w:val="en-IE"/>
              </w:rPr>
              <w:t>businesses</w:t>
            </w:r>
          </w:p>
        </w:tc>
        <w:tc>
          <w:tcPr>
            <w:tcW w:w="1719" w:type="dxa"/>
            <w:tcBorders>
              <w:top w:val="single" w:color="auto" w:sz="4" w:space="0"/>
              <w:left w:val="nil"/>
              <w:bottom w:val="single" w:color="auto" w:sz="4" w:space="0"/>
              <w:right w:val="single" w:color="000000" w:themeColor="text1" w:sz="4" w:space="0"/>
            </w:tcBorders>
            <w:shd w:val="clear" w:color="auto" w:fill="C6EFCE"/>
            <w:hideMark/>
          </w:tcPr>
          <w:p w:rsidRPr="00FE48E2" w:rsidR="00D87E44" w:rsidRDefault="00D87E44" w14:paraId="154579EB"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E"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90</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E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2025</w:t>
            </w:r>
          </w:p>
        </w:tc>
        <w:tc>
          <w:tcPr>
            <w:tcW w:w="3929"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F1" w14:textId="77777777">
            <w:pPr>
              <w:spacing w:before="0" w:after="0" w:line="240" w:lineRule="auto"/>
              <w:rPr>
                <w:rFonts w:eastAsia="Times New Roman"/>
                <w:noProof/>
                <w:color w:val="004300"/>
                <w:sz w:val="18"/>
                <w:szCs w:val="18"/>
                <w:lang w:val="en-IE"/>
              </w:rPr>
            </w:pPr>
            <w:r w:rsidRPr="240B5839">
              <w:rPr>
                <w:rFonts w:eastAsia="Times New Roman"/>
                <w:noProof/>
                <w:color w:val="004300"/>
                <w:sz w:val="18"/>
                <w:szCs w:val="18"/>
                <w:lang w:val="en-IE"/>
              </w:rPr>
              <w:t>Businesses</w:t>
            </w:r>
            <w:r w:rsidRPr="00FE48E2">
              <w:rPr>
                <w:rFonts w:eastAsia="Times New Roman"/>
                <w:noProof/>
                <w:color w:val="004300"/>
                <w:sz w:val="18"/>
                <w:szCs w:val="18"/>
                <w:lang w:val="en-IE"/>
              </w:rPr>
              <w:t xml:space="preserve"> to be </w:t>
            </w:r>
            <w:r>
              <w:rPr>
                <w:rFonts w:eastAsia="Times New Roman"/>
                <w:noProof/>
                <w:color w:val="004300"/>
                <w:sz w:val="18"/>
                <w:szCs w:val="18"/>
                <w:lang w:val="en-IE"/>
              </w:rPr>
              <w:t xml:space="preserve">provided with </w:t>
            </w:r>
            <w:r>
              <w:rPr>
                <w:rFonts w:eastAsia="Times New Roman"/>
                <w:noProof/>
                <w:color w:val="004300"/>
                <w:sz w:val="18"/>
                <w:szCs w:val="18"/>
                <w:lang w:val="en-IE"/>
              </w:rPr>
              <w:t>services including but not limited to training,</w:t>
            </w:r>
            <w:r w:rsidRPr="00FE48E2">
              <w:rPr>
                <w:rFonts w:eastAsia="Times New Roman"/>
                <w:noProof/>
                <w:color w:val="004300"/>
                <w:sz w:val="18"/>
                <w:szCs w:val="18"/>
                <w:lang w:val="en-IE"/>
              </w:rPr>
              <w:t xml:space="preserve"> consulting, </w:t>
            </w:r>
            <w:r>
              <w:rPr>
                <w:rFonts w:eastAsia="Times New Roman"/>
                <w:noProof/>
                <w:color w:val="004300"/>
                <w:sz w:val="18"/>
                <w:szCs w:val="18"/>
                <w:lang w:val="en-IE"/>
              </w:rPr>
              <w:t xml:space="preserve">or </w:t>
            </w:r>
            <w:r w:rsidRPr="00FE48E2">
              <w:rPr>
                <w:rFonts w:eastAsia="Times New Roman"/>
                <w:noProof/>
                <w:color w:val="004300"/>
                <w:sz w:val="18"/>
                <w:szCs w:val="18"/>
                <w:lang w:val="en-IE"/>
              </w:rPr>
              <w:t>services</w:t>
            </w:r>
            <w:r>
              <w:rPr>
                <w:rFonts w:eastAsia="Times New Roman"/>
                <w:noProof/>
                <w:color w:val="004300"/>
                <w:sz w:val="18"/>
                <w:szCs w:val="18"/>
                <w:lang w:val="en-IE"/>
              </w:rPr>
              <w:t xml:space="preserve"> focusing on expanding businesses abroad.</w:t>
            </w:r>
            <w:r w:rsidRPr="00FE48E2">
              <w:rPr>
                <w:rFonts w:eastAsia="Times New Roman"/>
                <w:noProof/>
                <w:color w:val="004300"/>
                <w:sz w:val="18"/>
                <w:szCs w:val="18"/>
                <w:lang w:val="en-IE"/>
              </w:rPr>
              <w:t xml:space="preserve"> </w:t>
            </w:r>
          </w:p>
        </w:tc>
      </w:tr>
      <w:tr w:rsidRPr="00FE48E2" w:rsidR="00E3458A" w14:paraId="154579FE" w14:textId="77777777">
        <w:trPr>
          <w:trHeight w:val="2175"/>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F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64</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11: Digital regulatory sandbox in line with EU priorities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79" w:type="dxa"/>
            <w:tcBorders>
              <w:top w:val="nil"/>
              <w:left w:val="nil"/>
              <w:bottom w:val="single" w:color="000000" w:themeColor="text1" w:sz="4" w:space="0"/>
              <w:right w:val="single" w:color="auto" w:sz="4" w:space="0"/>
            </w:tcBorders>
            <w:shd w:val="clear" w:color="auto" w:fill="C6EFCE"/>
            <w:hideMark/>
          </w:tcPr>
          <w:p w:rsidRPr="00FE48E2" w:rsidR="00D87E44" w:rsidRDefault="00D87E44" w14:paraId="154579F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Launch of the digital regulatory sandbox </w:t>
            </w:r>
          </w:p>
        </w:tc>
        <w:tc>
          <w:tcPr>
            <w:tcW w:w="1719"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79F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Set-up of the sandbox in the priority regulated areas, such as fintech (based on Digital Finance Package) </w:t>
            </w:r>
            <w:r>
              <w:rPr>
                <w:rFonts w:eastAsia="Times New Roman"/>
                <w:noProof/>
                <w:color w:val="004300"/>
                <w:sz w:val="18"/>
                <w:szCs w:val="18"/>
                <w:lang w:val="en-IE" w:eastAsia="en-GB"/>
              </w:rPr>
              <w:t>Distributed</w:t>
            </w:r>
            <w:r w:rsidRPr="00FE48E2">
              <w:rPr>
                <w:rFonts w:eastAsia="Times New Roman"/>
                <w:noProof/>
                <w:color w:val="004300"/>
                <w:sz w:val="18"/>
                <w:szCs w:val="18"/>
                <w:lang w:val="en-IE" w:eastAsia="en-GB"/>
              </w:rPr>
              <w:t xml:space="preserve"> Ledger Technology</w:t>
            </w:r>
            <w:r>
              <w:rPr>
                <w:rFonts w:eastAsia="Times New Roman"/>
                <w:noProof/>
                <w:color w:val="004300"/>
                <w:sz w:val="18"/>
                <w:szCs w:val="18"/>
                <w:lang w:val="en-IE" w:eastAsia="en-GB"/>
              </w:rPr>
              <w:t xml:space="preserve"> (DLT)</w:t>
            </w:r>
          </w:p>
        </w:tc>
        <w:tc>
          <w:tcPr>
            <w:tcW w:w="998" w:type="dxa"/>
            <w:tcBorders>
              <w:top w:val="nil"/>
              <w:left w:val="single" w:color="auto" w:sz="4" w:space="0"/>
              <w:bottom w:val="single" w:color="000000" w:themeColor="text1" w:sz="4" w:space="0"/>
              <w:right w:val="single" w:color="000000" w:themeColor="text1" w:sz="4" w:space="0"/>
            </w:tcBorders>
            <w:shd w:val="clear" w:color="auto" w:fill="C6EFCE"/>
          </w:tcPr>
          <w:p w:rsidRPr="00FE48E2" w:rsidR="00D87E44" w:rsidRDefault="00D87E44" w14:paraId="154579F8"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F9"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9FA" w14:textId="77777777">
            <w:pPr>
              <w:spacing w:before="0" w:after="0" w:line="240" w:lineRule="auto"/>
              <w:rPr>
                <w:rFonts w:eastAsia="Times New Roman"/>
                <w:noProof/>
                <w:color w:val="004300"/>
                <w:sz w:val="18"/>
                <w:szCs w:val="18"/>
                <w:lang w:val="en-IE"/>
              </w:rPr>
            </w:pP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9F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Digital regulator sandbox with pilot focus in the field of fintech</w:t>
            </w:r>
            <w:r>
              <w:rPr>
                <w:rFonts w:eastAsia="Times New Roman"/>
                <w:noProof/>
                <w:color w:val="004300"/>
                <w:sz w:val="18"/>
                <w:szCs w:val="18"/>
                <w:lang w:val="en-IE" w:eastAsia="en-GB"/>
              </w:rPr>
              <w:t xml:space="preserve"> and DLT</w:t>
            </w:r>
            <w:r w:rsidRPr="00FE48E2">
              <w:rPr>
                <w:rFonts w:eastAsia="Times New Roman"/>
                <w:noProof/>
                <w:color w:val="004300"/>
                <w:sz w:val="18"/>
                <w:szCs w:val="18"/>
                <w:lang w:val="en-IE" w:eastAsia="en-GB"/>
              </w:rPr>
              <w:t xml:space="preserve"> shall be considered to be active and operating when innovative companies are able to submit their applications for testing projects and products.</w:t>
            </w:r>
          </w:p>
        </w:tc>
      </w:tr>
      <w:tr w:rsidRPr="00FE48E2" w:rsidR="00E3458A" w14:paraId="15457A0A"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9F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65</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Investment 11: Digital </w:t>
            </w:r>
            <w:r w:rsidRPr="00FE48E2">
              <w:rPr>
                <w:rFonts w:eastAsia="Times New Roman"/>
                <w:noProof/>
                <w:color w:val="004300"/>
                <w:sz w:val="18"/>
                <w:szCs w:val="18"/>
                <w:lang w:val="en-IE" w:eastAsia="en-GB"/>
              </w:rPr>
              <w:t>regulatory sandbox in line with EU priorities</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2"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eastAsia="en-GB"/>
              </w:rPr>
              <w:t>Companies</w:t>
            </w:r>
            <w:r w:rsidRPr="00FE48E2">
              <w:rPr>
                <w:rFonts w:eastAsia="Times New Roman"/>
                <w:noProof/>
                <w:color w:val="004300"/>
                <w:sz w:val="18"/>
                <w:szCs w:val="18"/>
                <w:lang w:val="en-IE" w:eastAsia="en-GB"/>
              </w:rPr>
              <w:t xml:space="preserve"> </w:t>
            </w:r>
            <w:r>
              <w:rPr>
                <w:rFonts w:eastAsia="Times New Roman"/>
                <w:noProof/>
                <w:color w:val="004300"/>
                <w:sz w:val="18"/>
                <w:szCs w:val="18"/>
                <w:lang w:val="en-IE" w:eastAsia="en-GB"/>
              </w:rPr>
              <w:t xml:space="preserve">participating in </w:t>
            </w:r>
            <w:r w:rsidRPr="00FE48E2">
              <w:rPr>
                <w:rFonts w:eastAsia="Times New Roman"/>
                <w:noProof/>
                <w:color w:val="004300"/>
                <w:sz w:val="18"/>
                <w:szCs w:val="18"/>
                <w:lang w:val="en-IE" w:eastAsia="en-GB"/>
              </w:rPr>
              <w:t>the sandbox</w:t>
            </w:r>
          </w:p>
        </w:tc>
        <w:tc>
          <w:tcPr>
            <w:tcW w:w="1719" w:type="dxa"/>
            <w:tcBorders>
              <w:top w:val="single" w:color="auto" w:sz="4" w:space="0"/>
              <w:left w:val="nil"/>
              <w:bottom w:val="single" w:color="000000" w:themeColor="text1" w:sz="4" w:space="0"/>
              <w:right w:val="single" w:color="000000" w:themeColor="text1" w:sz="4" w:space="0"/>
            </w:tcBorders>
            <w:shd w:val="clear" w:color="auto" w:fill="C6EFCE"/>
            <w:hideMark/>
          </w:tcPr>
          <w:p w:rsidRPr="00FE48E2" w:rsidR="00D87E44" w:rsidRDefault="00D87E44" w14:paraId="15457A03" w14:textId="77777777">
            <w:pPr>
              <w:spacing w:before="0" w:after="0" w:line="240" w:lineRule="auto"/>
              <w:rPr>
                <w:rFonts w:eastAsia="Times New Roman"/>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Number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20 </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4</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8" w14:textId="77777777">
            <w:pPr>
              <w:spacing w:before="0" w:after="0" w:line="240" w:lineRule="auto"/>
              <w:rPr>
                <w:rFonts w:eastAsia="Times New Roman"/>
                <w:noProof/>
                <w:color w:val="004300"/>
                <w:sz w:val="18"/>
                <w:szCs w:val="18"/>
                <w:lang w:val="en-IE"/>
              </w:rPr>
            </w:pPr>
            <w:r w:rsidRPr="17B29258">
              <w:rPr>
                <w:rFonts w:eastAsia="Times New Roman"/>
                <w:noProof/>
                <w:color w:val="004300"/>
                <w:sz w:val="18"/>
                <w:szCs w:val="18"/>
                <w:lang w:val="en-IE"/>
              </w:rPr>
              <w:t>2025</w:t>
            </w:r>
          </w:p>
        </w:tc>
        <w:tc>
          <w:tcPr>
            <w:tcW w:w="392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9" w14:textId="77777777">
            <w:pPr>
              <w:spacing w:before="0" w:after="0" w:line="240" w:lineRule="auto"/>
              <w:rPr>
                <w:rFonts w:eastAsia="Times New Roman"/>
                <w:noProof/>
                <w:sz w:val="18"/>
                <w:szCs w:val="18"/>
                <w:lang w:val="en-IE"/>
              </w:rPr>
            </w:pPr>
            <w:r>
              <w:rPr>
                <w:rFonts w:eastAsia="Times New Roman"/>
                <w:noProof/>
                <w:color w:val="004300"/>
                <w:sz w:val="18"/>
                <w:szCs w:val="18"/>
                <w:lang w:val="en-IE" w:eastAsia="en-GB"/>
              </w:rPr>
              <w:t>20 c</w:t>
            </w:r>
            <w:r w:rsidRPr="00FE48E2">
              <w:rPr>
                <w:rFonts w:eastAsia="Times New Roman"/>
                <w:noProof/>
                <w:color w:val="004300"/>
                <w:sz w:val="18"/>
                <w:szCs w:val="18"/>
                <w:lang w:val="en-IE" w:eastAsia="en-GB"/>
              </w:rPr>
              <w:t>ompanies</w:t>
            </w:r>
            <w:r>
              <w:rPr>
                <w:rFonts w:eastAsia="Times New Roman"/>
                <w:noProof/>
                <w:color w:val="004300"/>
                <w:sz w:val="18"/>
                <w:szCs w:val="18"/>
                <w:lang w:val="en-IE" w:eastAsia="en-GB"/>
              </w:rPr>
              <w:t xml:space="preserve"> participating in the sandbox.</w:t>
            </w:r>
            <w:r w:rsidRPr="00FE48E2">
              <w:rPr>
                <w:rFonts w:eastAsia="Times New Roman"/>
                <w:noProof/>
                <w:color w:val="004300"/>
                <w:sz w:val="18"/>
                <w:szCs w:val="18"/>
                <w:lang w:val="en-IE" w:eastAsia="en-GB"/>
              </w:rPr>
              <w:t xml:space="preserve"> </w:t>
            </w:r>
          </w:p>
        </w:tc>
      </w:tr>
      <w:tr w:rsidRPr="00FE48E2" w:rsidR="00E3458A" w:rsidTr="00F05799" w14:paraId="15457A18" w14:textId="77777777">
        <w:trPr>
          <w:trHeight w:val="309"/>
          <w:jc w:val="center"/>
        </w:trPr>
        <w:tc>
          <w:tcPr>
            <w:tcW w:w="704" w:type="dxa"/>
            <w:tcBorders>
              <w:top w:val="nil"/>
              <w:left w:val="single" w:color="000000" w:themeColor="text1" w:sz="4" w:space="0"/>
              <w:bottom w:val="single" w:color="000000" w:themeColor="text1" w:sz="4" w:space="0"/>
              <w:right w:val="single" w:color="000000" w:themeColor="text1" w:sz="4" w:space="0"/>
            </w:tcBorders>
            <w:shd w:val="clear" w:color="auto" w:fill="C6EFCE"/>
            <w:hideMark/>
          </w:tcPr>
          <w:p w:rsidRPr="00FE48E2" w:rsidR="00D87E44" w:rsidRDefault="00D87E44" w14:paraId="15457A0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66</w:t>
            </w:r>
          </w:p>
        </w:tc>
        <w:tc>
          <w:tcPr>
            <w:tcW w:w="2054"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12: Building quantum communication infrastructure</w:t>
            </w:r>
          </w:p>
        </w:tc>
        <w:tc>
          <w:tcPr>
            <w:tcW w:w="1093"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D"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eastAsia="en-GB"/>
              </w:rPr>
              <w:t>Target</w:t>
            </w:r>
          </w:p>
        </w:tc>
        <w:tc>
          <w:tcPr>
            <w:tcW w:w="1479"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0E"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rPr>
              <w:t xml:space="preserve">Disbursement of funds for </w:t>
            </w:r>
            <w:r w:rsidRPr="00FE48E2">
              <w:rPr>
                <w:rFonts w:eastAsia="Times New Roman"/>
                <w:noProof/>
                <w:color w:val="004300"/>
                <w:sz w:val="18"/>
                <w:szCs w:val="18"/>
                <w:lang w:val="en-IE" w:eastAsia="en-GB"/>
              </w:rPr>
              <w:t>optical quantum network</w:t>
            </w:r>
            <w:r w:rsidRPr="00FE48E2" w:rsidDel="00E6395F">
              <w:rPr>
                <w:rFonts w:eastAsia="Times New Roman"/>
                <w:noProof/>
                <w:color w:val="004300"/>
                <w:sz w:val="18"/>
                <w:szCs w:val="18"/>
                <w:lang w:val="en-IE" w:eastAsia="en-GB"/>
              </w:rPr>
              <w:t xml:space="preserve"> </w:t>
            </w:r>
          </w:p>
        </w:tc>
        <w:tc>
          <w:tcPr>
            <w:tcW w:w="1719" w:type="dxa"/>
            <w:tcBorders>
              <w:top w:val="nil"/>
              <w:left w:val="nil"/>
              <w:bottom w:val="single" w:color="000000" w:themeColor="text1" w:sz="4" w:space="0"/>
              <w:right w:val="single" w:color="000000" w:themeColor="text1" w:sz="4" w:space="0"/>
            </w:tcBorders>
            <w:shd w:val="clear" w:color="auto" w:fill="C6EFCE"/>
          </w:tcPr>
          <w:p w:rsidRPr="00FE48E2" w:rsidR="00D87E44" w:rsidRDefault="00D87E44" w14:paraId="15457A0F" w14:textId="77777777">
            <w:pPr>
              <w:spacing w:before="0" w:after="0" w:line="240" w:lineRule="auto"/>
              <w:rPr>
                <w:noProof/>
                <w:color w:val="004300"/>
                <w:sz w:val="18"/>
                <w:szCs w:val="18"/>
                <w:lang w:val="en-IE"/>
              </w:rPr>
            </w:pP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10"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EUR</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11"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0</w:t>
            </w:r>
          </w:p>
        </w:tc>
        <w:tc>
          <w:tcPr>
            <w:tcW w:w="998"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12"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4.</w:t>
            </w:r>
            <w:r w:rsidRPr="40AEDE7B">
              <w:rPr>
                <w:rFonts w:eastAsia="Times New Roman"/>
                <w:noProof/>
                <w:color w:val="004300"/>
                <w:sz w:val="18"/>
                <w:szCs w:val="18"/>
                <w:lang w:val="en-IE"/>
              </w:rPr>
              <w:t xml:space="preserve">7 </w:t>
            </w:r>
            <w:r>
              <w:rPr>
                <w:rFonts w:eastAsia="Times New Roman"/>
                <w:noProof/>
                <w:color w:val="004300"/>
                <w:sz w:val="18"/>
                <w:szCs w:val="18"/>
                <w:lang w:val="en-IE"/>
              </w:rPr>
              <w:t>million</w:t>
            </w:r>
          </w:p>
        </w:tc>
        <w:tc>
          <w:tcPr>
            <w:tcW w:w="985"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1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2</w:t>
            </w:r>
          </w:p>
        </w:tc>
        <w:tc>
          <w:tcPr>
            <w:tcW w:w="636" w:type="dxa"/>
            <w:tcBorders>
              <w:top w:val="nil"/>
              <w:left w:val="nil"/>
              <w:bottom w:val="single" w:color="000000" w:themeColor="text1" w:sz="4" w:space="0"/>
              <w:right w:val="single" w:color="000000" w:themeColor="text1" w:sz="4" w:space="0"/>
            </w:tcBorders>
            <w:shd w:val="clear" w:color="auto" w:fill="C6EFCE"/>
            <w:hideMark/>
          </w:tcPr>
          <w:p w:rsidRPr="00FE48E2" w:rsidR="00D87E44" w:rsidRDefault="00D87E44" w14:paraId="15457A1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Pr>
                <w:rFonts w:eastAsia="Times New Roman"/>
                <w:noProof/>
                <w:color w:val="004300"/>
                <w:sz w:val="18"/>
                <w:szCs w:val="18"/>
                <w:lang w:val="en-IE"/>
              </w:rPr>
              <w:t>6</w:t>
            </w:r>
          </w:p>
        </w:tc>
        <w:tc>
          <w:tcPr>
            <w:tcW w:w="3929" w:type="dxa"/>
            <w:tcBorders>
              <w:top w:val="nil"/>
              <w:left w:val="nil"/>
              <w:bottom w:val="single" w:color="000000" w:themeColor="text1" w:sz="4" w:space="0"/>
              <w:right w:val="single" w:color="000000" w:themeColor="text1" w:sz="4" w:space="0"/>
            </w:tcBorders>
            <w:shd w:val="clear" w:color="auto" w:fill="C6EFCE"/>
          </w:tcPr>
          <w:p w:rsidRPr="00FB521F" w:rsidR="00D87E44" w:rsidP="00F05799" w:rsidRDefault="00D87E44" w14:paraId="15457A15" w14:textId="77777777">
            <w:pPr>
              <w:spacing w:line="240" w:lineRule="auto"/>
              <w:rPr>
                <w:rFonts w:eastAsia="Times New Roman"/>
                <w:noProof/>
                <w:color w:val="004300"/>
                <w:sz w:val="18"/>
                <w:szCs w:val="18"/>
                <w:lang w:val="en-IE" w:eastAsia="en-GB"/>
              </w:rPr>
            </w:pPr>
            <w:r w:rsidRPr="00FB521F">
              <w:rPr>
                <w:rFonts w:eastAsia="Times New Roman"/>
                <w:noProof/>
                <w:color w:val="004300"/>
                <w:sz w:val="18"/>
                <w:szCs w:val="18"/>
                <w:lang w:val="en-IE" w:eastAsia="en-GB"/>
              </w:rPr>
              <w:t>At least EUR 4.</w:t>
            </w:r>
            <w:r w:rsidRPr="40AEDE7B">
              <w:rPr>
                <w:rFonts w:eastAsia="Times New Roman"/>
                <w:noProof/>
                <w:color w:val="004300"/>
                <w:sz w:val="18"/>
                <w:szCs w:val="18"/>
                <w:lang w:val="en-IE" w:eastAsia="en-GB"/>
              </w:rPr>
              <w:t>7</w:t>
            </w:r>
            <w:r w:rsidRPr="00FB521F">
              <w:rPr>
                <w:rFonts w:eastAsia="Times New Roman"/>
                <w:noProof/>
                <w:color w:val="004300"/>
                <w:sz w:val="18"/>
                <w:szCs w:val="18"/>
                <w:lang w:val="en-IE" w:eastAsia="en-GB"/>
              </w:rPr>
              <w:t xml:space="preserve"> million shall be paid for the construction of an </w:t>
            </w:r>
            <w:r w:rsidRPr="00FE48E2">
              <w:rPr>
                <w:rFonts w:eastAsia="Times New Roman"/>
                <w:noProof/>
                <w:color w:val="004300"/>
                <w:sz w:val="18"/>
                <w:szCs w:val="18"/>
                <w:lang w:val="en-IE" w:eastAsia="en-GB"/>
              </w:rPr>
              <w:t>optical quantum network</w:t>
            </w:r>
            <w:r>
              <w:rPr>
                <w:rFonts w:eastAsia="Times New Roman"/>
                <w:noProof/>
                <w:color w:val="004300"/>
                <w:sz w:val="18"/>
                <w:szCs w:val="18"/>
                <w:lang w:val="en-IE" w:eastAsia="en-GB"/>
              </w:rPr>
              <w:t>.</w:t>
            </w:r>
          </w:p>
          <w:p w:rsidR="00D87E44" w:rsidP="00F05799" w:rsidRDefault="00D87E44" w14:paraId="15457A16" w14:textId="77777777">
            <w:pPr>
              <w:spacing w:before="0" w:after="0" w:line="240" w:lineRule="auto"/>
              <w:rPr>
                <w:rFonts w:eastAsia="Times New Roman"/>
                <w:noProof/>
                <w:color w:val="004300"/>
                <w:sz w:val="18"/>
                <w:szCs w:val="18"/>
                <w:lang w:val="en-IE" w:eastAsia="en-GB"/>
              </w:rPr>
            </w:pPr>
            <w:r w:rsidRPr="00FB521F" w:rsidDel="00426560">
              <w:rPr>
                <w:rFonts w:eastAsia="Times New Roman"/>
                <w:noProof/>
                <w:color w:val="004300"/>
                <w:sz w:val="18"/>
                <w:szCs w:val="18"/>
                <w:lang w:val="en-IE" w:eastAsia="en-GB"/>
              </w:rPr>
              <w:t xml:space="preserve">Any amounts provided by other Union programmes or instruments shall not be counted towards this </w:t>
            </w:r>
            <w:r w:rsidRPr="00FB521F">
              <w:rPr>
                <w:rFonts w:eastAsia="Times New Roman"/>
                <w:noProof/>
                <w:color w:val="004300"/>
                <w:sz w:val="18"/>
                <w:szCs w:val="18"/>
                <w:lang w:val="en-IE" w:eastAsia="en-GB"/>
              </w:rPr>
              <w:t>amount</w:t>
            </w:r>
            <w:r>
              <w:rPr>
                <w:rFonts w:eastAsia="Times New Roman"/>
                <w:noProof/>
                <w:color w:val="004300"/>
                <w:sz w:val="18"/>
                <w:szCs w:val="18"/>
                <w:lang w:val="en-IE" w:eastAsia="en-GB"/>
              </w:rPr>
              <w:t>.</w:t>
            </w:r>
          </w:p>
          <w:p w:rsidRPr="00FE48E2" w:rsidR="00D87E44" w:rsidP="00F05799" w:rsidRDefault="00D87E44" w14:paraId="15457A17" w14:textId="77777777">
            <w:pPr>
              <w:spacing w:before="0" w:after="0" w:line="240" w:lineRule="auto"/>
              <w:rPr>
                <w:rFonts w:eastAsia="Times New Roman"/>
                <w:noProof/>
                <w:color w:val="004300"/>
                <w:sz w:val="18"/>
                <w:szCs w:val="18"/>
                <w:lang w:val="en-IE"/>
              </w:rPr>
            </w:pPr>
          </w:p>
        </w:tc>
      </w:tr>
    </w:tbl>
    <w:p w:rsidRPr="00FE48E2" w:rsidR="00D87E44" w:rsidP="00D226F4" w:rsidRDefault="00D87E44" w14:paraId="15457A19" w14:textId="77777777">
      <w:pPr>
        <w:keepNext/>
        <w:tabs>
          <w:tab w:val="left" w:pos="850"/>
        </w:tabs>
        <w:spacing w:before="360" w:line="240" w:lineRule="auto"/>
        <w:jc w:val="both"/>
        <w:outlineLvl w:val="0"/>
        <w:rPr>
          <w:b/>
          <w:smallCaps/>
          <w:noProof/>
          <w:lang w:val="en-IE"/>
        </w:rPr>
        <w:sectPr w:rsidRPr="00FE48E2" w:rsidR="00C16C1F" w:rsidSect="00D226F4">
          <w:headerReference w:type="even" r:id="R55cfe0b16ace4eae"/>
          <w:headerReference w:type="default" r:id="R8a59c6fec07040b5"/>
          <w:footerReference w:type="even" r:id="R3fbfdeb4ffd548a9"/>
          <w:footerReference w:type="default" r:id="Rfe9cc597bb0b444a"/>
          <w:headerReference w:type="first" r:id="R440cf18abcf34917"/>
          <w:footerReference w:type="first" r:id="R600d4e01ff23403b"/>
          <w:pgSz w:w="16839" w:h="11907" w:orient="landscape" w:code="9"/>
          <w:pgMar w:top="1134" w:right="1134" w:bottom="1134" w:left="1134" w:header="567" w:footer="567" w:gutter="0"/>
          <w:cols w:space="720"/>
          <w:docGrid w:linePitch="360"/>
        </w:sectPr>
      </w:pPr>
    </w:p>
    <w:p w:rsidRPr="00FE48E2" w:rsidR="00D87E44" w:rsidP="00D226F4" w:rsidRDefault="00D87E44" w14:paraId="15457A1A" w14:textId="77777777">
      <w:pPr>
        <w:keepNext/>
        <w:tabs>
          <w:tab w:val="left" w:pos="850"/>
        </w:tabs>
        <w:spacing w:line="240" w:lineRule="auto"/>
        <w:jc w:val="both"/>
        <w:outlineLvl w:val="0"/>
        <w:rPr>
          <w:b/>
          <w:smallCaps/>
          <w:noProof/>
          <w:lang w:val="en-IE"/>
        </w:rPr>
      </w:pPr>
      <w:r w:rsidRPr="00FE48E2">
        <w:rPr>
          <w:b/>
          <w:smallCaps/>
          <w:noProof/>
          <w:lang w:val="en-IE"/>
        </w:rPr>
        <w:lastRenderedPageBreak/>
        <w:t xml:space="preserve">E. COMPONENT 1.5: Digital Transformation of Enterprises </w:t>
      </w:r>
    </w:p>
    <w:p w:rsidRPr="00FE48E2" w:rsidR="00D87E44" w:rsidP="00D226F4" w:rsidRDefault="00D87E44" w14:paraId="15457A1B" w14:textId="77777777">
      <w:pPr>
        <w:spacing w:line="240" w:lineRule="auto"/>
        <w:jc w:val="both"/>
        <w:rPr>
          <w:noProof/>
          <w:szCs w:val="24"/>
          <w:lang w:val="en-IE"/>
        </w:rPr>
      </w:pPr>
      <w:r w:rsidRPr="00FE48E2">
        <w:rPr>
          <w:noProof/>
          <w:szCs w:val="24"/>
          <w:lang w:val="en-IE"/>
        </w:rPr>
        <w:t xml:space="preserve">This component of the Czech recovery and resilience plan contributes to addressing the challenge of supporting the digitalisation of industry, the use of technologies and the emergence of an interconnected and sustainable national layer of the European digital ecosystem through the Digital innovation Hubs. </w:t>
      </w:r>
      <w:r w:rsidRPr="00FE48E2">
        <w:rPr>
          <w:rFonts w:eastAsia="Times New Roman"/>
          <w:noProof/>
          <w:szCs w:val="24"/>
          <w:lang w:val="en-IE"/>
        </w:rPr>
        <w:t xml:space="preserve">It shall also support the creation of a Reference Testing and Experimentation Facility. </w:t>
      </w:r>
      <w:r w:rsidRPr="00FE48E2">
        <w:rPr>
          <w:noProof/>
          <w:szCs w:val="24"/>
          <w:lang w:val="en-IE"/>
        </w:rPr>
        <w:t>Another objective is to enable support for companies participating in potential Important Projects of Common European Interest (IPCEI), especially in the areas of microelectronics, connectivity, and cloud infrastructure and services, including projects in the field of microprocessors linked to European High-Performance Computing. The component is expected to support the green transition, particularly of small and medium-</w:t>
      </w:r>
      <w:r w:rsidRPr="00FE48E2">
        <w:rPr>
          <w:noProof/>
          <w:szCs w:val="24"/>
          <w:lang w:val="en-IE"/>
        </w:rPr>
        <w:t>size enterprises, through digital technologies, in line with the objectives of the European Green Deal.</w:t>
      </w:r>
    </w:p>
    <w:p w:rsidRPr="00FE48E2" w:rsidR="00D87E44" w:rsidP="00D226F4" w:rsidRDefault="00D87E44" w14:paraId="15457A1C" w14:textId="77777777">
      <w:pPr>
        <w:spacing w:line="240" w:lineRule="auto"/>
        <w:jc w:val="both"/>
        <w:rPr>
          <w:rFonts w:eastAsia="Times New Roman"/>
          <w:noProof/>
          <w:color w:val="000000"/>
          <w:szCs w:val="24"/>
          <w:lang w:val="en-IE"/>
        </w:rPr>
      </w:pPr>
      <w:r w:rsidRPr="00FE48E2">
        <w:rPr>
          <w:rFonts w:eastAsia="Times New Roman"/>
          <w:noProof/>
          <w:szCs w:val="24"/>
          <w:lang w:val="en-IE"/>
        </w:rPr>
        <w:t>The component supports addressing country-specific recommendation 3 2020, according to which Czechia shall focus investment on the digital transition, in particular on high-capacity digital infrastructure and technologies, including in the coal regions</w:t>
      </w:r>
      <w:r w:rsidRPr="00FE48E2">
        <w:rPr>
          <w:rFonts w:eastAsia="Times New Roman"/>
          <w:noProof/>
          <w:color w:val="000000"/>
          <w:szCs w:val="24"/>
          <w:lang w:val="en-IE"/>
        </w:rPr>
        <w:t>.</w:t>
      </w:r>
    </w:p>
    <w:p w:rsidRPr="00FE48E2" w:rsidR="00D87E44" w:rsidP="00D226F4" w:rsidRDefault="00D87E44" w14:paraId="15457A1D" w14:textId="77777777">
      <w:pPr>
        <w:spacing w:line="240" w:lineRule="auto"/>
        <w:jc w:val="both"/>
        <w:rPr>
          <w:rFonts w:eastAsia="Times New Roman"/>
          <w:noProof/>
          <w:lang w:val="en-IE"/>
        </w:rPr>
      </w:pPr>
      <w:r w:rsidRPr="00FE48E2">
        <w:rPr>
          <w:rFonts w:eastAsia="Times New Roman"/>
          <w:noProof/>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In particular, procurement of ICT equipment shall ensure compliance with the relevant EU green public procurement criteria as well as the relevant EU energy and material efficiency requirement</w:t>
      </w:r>
      <w:r w:rsidRPr="00FE48E2">
        <w:rPr>
          <w:rFonts w:eastAsia="Times New Roman"/>
          <w:noProof/>
          <w:lang w:val="en-IE"/>
        </w:rPr>
        <w:t>s and recycling requirements set in accordance with Directive 2009/125/EC, Directive 2009/125/EC, Directive 2011/65/EU and Directive 2021/19/EU.</w:t>
      </w:r>
    </w:p>
    <w:p w:rsidRPr="00FE48E2" w:rsidR="00D87E44" w:rsidP="00D226F4" w:rsidRDefault="00D87E44" w14:paraId="15457A1E" w14:textId="77777777">
      <w:pPr>
        <w:spacing w:line="240" w:lineRule="auto"/>
        <w:jc w:val="both"/>
        <w:rPr>
          <w:rFonts w:eastAsia="Times New Roman"/>
          <w:noProof/>
          <w:szCs w:val="24"/>
          <w:lang w:val="en-IE"/>
        </w:rPr>
      </w:pPr>
    </w:p>
    <w:p w:rsidRPr="00FE48E2" w:rsidR="00D87E44" w:rsidP="00D226F4" w:rsidRDefault="00D87E44" w14:paraId="15457A1F" w14:textId="77777777">
      <w:pPr>
        <w:spacing w:line="240" w:lineRule="auto"/>
        <w:jc w:val="both"/>
        <w:rPr>
          <w:b/>
          <w:i/>
          <w:noProof/>
          <w:color w:val="4F81BD"/>
          <w:lang w:val="en-IE"/>
        </w:rPr>
      </w:pPr>
      <w:r w:rsidRPr="00FE48E2">
        <w:rPr>
          <w:b/>
          <w:noProof/>
          <w:u w:val="single"/>
          <w:lang w:val="en-IE"/>
        </w:rPr>
        <w:t>E.1. Description of the reforms and investments for non-repayable financial support</w:t>
      </w:r>
    </w:p>
    <w:p w:rsidRPr="00FE48E2" w:rsidR="00D87E44" w:rsidP="00D226F4" w:rsidRDefault="00D87E44" w14:paraId="15457A20" w14:textId="77777777">
      <w:pPr>
        <w:pBdr>
          <w:top w:val="nil"/>
          <w:left w:val="nil"/>
          <w:bottom w:val="nil"/>
          <w:right w:val="nil"/>
          <w:between w:val="nil"/>
        </w:pBdr>
        <w:spacing w:line="240" w:lineRule="auto"/>
        <w:jc w:val="both"/>
        <w:rPr>
          <w:b/>
          <w:noProof/>
          <w:szCs w:val="24"/>
          <w:lang w:val="en-IE"/>
        </w:rPr>
      </w:pPr>
      <w:r w:rsidRPr="008C7FAF">
        <w:rPr>
          <w:b/>
          <w:noProof/>
          <w:szCs w:val="24"/>
          <w:lang w:val="en-IE"/>
        </w:rPr>
        <w:t>Reform 1: Creation of</w:t>
      </w:r>
      <w:r w:rsidRPr="008C7FAF">
        <w:rPr>
          <w:noProof/>
          <w:szCs w:val="24"/>
          <w:lang w:val="en-IE"/>
        </w:rPr>
        <w:t xml:space="preserve"> </w:t>
      </w:r>
      <w:r w:rsidRPr="008C7FAF">
        <w:rPr>
          <w:b/>
          <w:noProof/>
          <w:szCs w:val="24"/>
          <w:lang w:val="en-IE"/>
        </w:rPr>
        <w:t xml:space="preserve">a platform for the digitalisation of the </w:t>
      </w:r>
      <w:r w:rsidRPr="008C7FAF">
        <w:rPr>
          <w:b/>
          <w:noProof/>
          <w:szCs w:val="24"/>
          <w:lang w:val="en-IE"/>
        </w:rPr>
        <w:t>economy</w:t>
      </w:r>
      <w:r w:rsidRPr="00FE48E2">
        <w:rPr>
          <w:b/>
          <w:noProof/>
          <w:szCs w:val="24"/>
          <w:lang w:val="en-IE"/>
        </w:rPr>
        <w:t xml:space="preserve"> </w:t>
      </w:r>
    </w:p>
    <w:p w:rsidRPr="00FE48E2" w:rsidR="00D87E44" w:rsidP="00D226F4" w:rsidRDefault="00D87E44" w14:paraId="15457A21" w14:textId="77777777">
      <w:pPr>
        <w:pBdr>
          <w:top w:val="nil"/>
          <w:left w:val="nil"/>
          <w:bottom w:val="nil"/>
          <w:right w:val="nil"/>
          <w:between w:val="nil"/>
        </w:pBdr>
        <w:spacing w:line="240" w:lineRule="auto"/>
        <w:jc w:val="both"/>
        <w:rPr>
          <w:noProof/>
          <w:sz w:val="22"/>
          <w:lang w:val="en-IE"/>
        </w:rPr>
      </w:pPr>
      <w:r w:rsidRPr="00FE48E2">
        <w:rPr>
          <w:noProof/>
          <w:szCs w:val="24"/>
          <w:lang w:val="en-IE"/>
        </w:rPr>
        <w:t xml:space="preserve">The measure aims at putting into operation a platform coordinating the interconnection of all actors in the national digital ecosystem such as the European and national Digital Innovation Hubs, the National Competence Centres in High-Performance Computing and Cybersecurity, </w:t>
      </w:r>
      <w:r w:rsidRPr="00FE48E2">
        <w:rPr>
          <w:rFonts w:eastAsia="Times New Roman"/>
          <w:noProof/>
          <w:szCs w:val="24"/>
          <w:lang w:val="en-IE"/>
        </w:rPr>
        <w:t>the European Reference Testing and Experimentation facilities, the innovation centres, and clients of all these centres</w:t>
      </w:r>
      <w:r w:rsidRPr="00FE48E2">
        <w:rPr>
          <w:noProof/>
          <w:szCs w:val="24"/>
          <w:lang w:val="en-IE"/>
        </w:rPr>
        <w:t xml:space="preserve">. It aims to boost the digital transformation, the use of technologies, and the recruitment of experts in digitalisation and new technologies and make industry and services more resilient to potential further crises. </w:t>
      </w:r>
    </w:p>
    <w:p w:rsidRPr="00FE48E2" w:rsidR="00D87E44" w:rsidP="00D226F4" w:rsidRDefault="00D87E44" w14:paraId="15457A22" w14:textId="77777777">
      <w:pPr>
        <w:pBdr>
          <w:top w:val="nil"/>
          <w:left w:val="nil"/>
          <w:bottom w:val="nil"/>
          <w:right w:val="nil"/>
          <w:between w:val="nil"/>
        </w:pBdr>
        <w:spacing w:line="240" w:lineRule="auto"/>
        <w:jc w:val="both"/>
        <w:rPr>
          <w:noProof/>
          <w:color w:val="000000"/>
          <w:szCs w:val="24"/>
          <w:lang w:val="en-IE"/>
        </w:rPr>
      </w:pPr>
      <w:r w:rsidRPr="00FE48E2">
        <w:rPr>
          <w:noProof/>
          <w:color w:val="000000"/>
          <w:szCs w:val="24"/>
          <w:lang w:val="en-IE"/>
        </w:rPr>
        <w:t xml:space="preserve">The reform shall be implemented by </w:t>
      </w:r>
      <w:r w:rsidRPr="00FE48E2">
        <w:rPr>
          <w:noProof/>
          <w:color w:val="000000" w:themeColor="text1"/>
          <w:szCs w:val="24"/>
          <w:lang w:val="en-IE"/>
        </w:rPr>
        <w:t>31 December 2025.</w:t>
      </w:r>
    </w:p>
    <w:p w:rsidRPr="00FE48E2" w:rsidR="00D87E44" w:rsidP="00D226F4" w:rsidRDefault="00D87E44" w14:paraId="15457A23" w14:textId="77777777">
      <w:pPr>
        <w:autoSpaceDE w:val="0"/>
        <w:autoSpaceDN w:val="0"/>
        <w:adjustRightInd w:val="0"/>
        <w:spacing w:line="240" w:lineRule="auto"/>
        <w:jc w:val="both"/>
        <w:rPr>
          <w:rFonts w:eastAsia="Times New Roman"/>
          <w:noProof/>
          <w:szCs w:val="24"/>
          <w:lang w:val="en-IE"/>
        </w:rPr>
      </w:pPr>
      <w:r w:rsidRPr="00FE48E2">
        <w:rPr>
          <w:rFonts w:eastAsia="Times New Roman"/>
          <w:b/>
          <w:noProof/>
          <w:szCs w:val="24"/>
          <w:lang w:val="en-IE"/>
        </w:rPr>
        <w:t>Investment 1: European Digital Innovation</w:t>
      </w:r>
      <w:r w:rsidRPr="00FE48E2">
        <w:rPr>
          <w:rFonts w:eastAsia="Times New Roman"/>
          <w:noProof/>
          <w:szCs w:val="24"/>
          <w:lang w:val="en-IE"/>
        </w:rPr>
        <w:t xml:space="preserve"> </w:t>
      </w:r>
      <w:r w:rsidRPr="00FE48E2">
        <w:rPr>
          <w:rFonts w:eastAsia="Times New Roman"/>
          <w:b/>
          <w:noProof/>
          <w:szCs w:val="24"/>
          <w:lang w:val="en-IE"/>
        </w:rPr>
        <w:t>Hubs</w:t>
      </w:r>
      <w:r w:rsidRPr="00FE48E2">
        <w:rPr>
          <w:rFonts w:eastAsia="Times New Roman"/>
          <w:noProof/>
          <w:szCs w:val="24"/>
          <w:lang w:val="en-IE"/>
        </w:rPr>
        <w:t xml:space="preserve"> </w:t>
      </w:r>
    </w:p>
    <w:p w:rsidRPr="00FE48E2" w:rsidR="00D87E44" w:rsidP="00FF1320" w:rsidRDefault="00D87E44" w14:paraId="15457A24" w14:textId="77777777">
      <w:pPr>
        <w:tabs>
          <w:tab w:val="right" w:pos="9639"/>
        </w:tabs>
        <w:autoSpaceDE w:val="0"/>
        <w:autoSpaceDN w:val="0"/>
        <w:adjustRightInd w:val="0"/>
        <w:spacing w:line="240" w:lineRule="auto"/>
        <w:jc w:val="both"/>
        <w:rPr>
          <w:rFonts w:ascii="Calibri" w:hAnsi="Calibri"/>
          <w:noProof/>
          <w:sz w:val="22"/>
          <w:lang w:val="en-IE"/>
        </w:rPr>
      </w:pPr>
      <w:r w:rsidRPr="44FD23D0">
        <w:rPr>
          <w:rFonts w:eastAsia="Times New Roman"/>
          <w:noProof/>
          <w:lang w:val="en-IE"/>
        </w:rPr>
        <w:t xml:space="preserve">The </w:t>
      </w:r>
      <w:r w:rsidRPr="6828F156">
        <w:rPr>
          <w:rFonts w:eastAsia="Times New Roman"/>
          <w:noProof/>
          <w:lang w:val="en-IE"/>
        </w:rPr>
        <w:t>objective of this measure is to</w:t>
      </w:r>
      <w:r w:rsidRPr="44FD23D0">
        <w:rPr>
          <w:rFonts w:eastAsia="Times New Roman"/>
          <w:noProof/>
          <w:lang w:val="en-IE"/>
        </w:rPr>
        <w:t xml:space="preserve"> support the digital transformation</w:t>
      </w:r>
      <w:r w:rsidRPr="28114FA4">
        <w:rPr>
          <w:rFonts w:eastAsia="Times New Roman"/>
          <w:noProof/>
          <w:lang w:val="en-IE"/>
        </w:rPr>
        <w:t xml:space="preserve"> of business</w:t>
      </w:r>
      <w:r>
        <w:rPr>
          <w:rFonts w:eastAsia="Times New Roman"/>
          <w:noProof/>
          <w:lang w:val="en-IE"/>
        </w:rPr>
        <w:t>es</w:t>
      </w:r>
      <w:r w:rsidRPr="28114FA4">
        <w:rPr>
          <w:rFonts w:eastAsia="Times New Roman"/>
          <w:noProof/>
          <w:lang w:val="en-IE"/>
        </w:rPr>
        <w:t xml:space="preserve"> and public administration</w:t>
      </w:r>
      <w:r w:rsidRPr="2B4F2D0F">
        <w:rPr>
          <w:rFonts w:eastAsia="Times New Roman"/>
          <w:noProof/>
          <w:lang w:val="en-IE"/>
        </w:rPr>
        <w:t>. This measure co</w:t>
      </w:r>
      <w:r>
        <w:rPr>
          <w:rFonts w:eastAsia="Times New Roman"/>
          <w:noProof/>
          <w:lang w:val="en-IE"/>
        </w:rPr>
        <w:t>n</w:t>
      </w:r>
      <w:r w:rsidRPr="2B4F2D0F">
        <w:rPr>
          <w:rFonts w:eastAsia="Times New Roman"/>
          <w:noProof/>
          <w:lang w:val="en-IE"/>
        </w:rPr>
        <w:t xml:space="preserve">sists </w:t>
      </w:r>
      <w:r w:rsidRPr="28114FA4">
        <w:rPr>
          <w:rFonts w:eastAsia="Times New Roman"/>
          <w:noProof/>
          <w:lang w:val="en-IE"/>
        </w:rPr>
        <w:t>of</w:t>
      </w:r>
      <w:r w:rsidRPr="6828F156">
        <w:rPr>
          <w:noProof/>
          <w:lang w:val="en-IE"/>
        </w:rPr>
        <w:t xml:space="preserve"> </w:t>
      </w:r>
      <w:r w:rsidRPr="29922D1C">
        <w:rPr>
          <w:noProof/>
          <w:lang w:val="en-IE"/>
        </w:rPr>
        <w:t>grant support to European</w:t>
      </w:r>
      <w:r>
        <w:rPr>
          <w:noProof/>
          <w:lang w:val="en-IE"/>
        </w:rPr>
        <w:t xml:space="preserve"> </w:t>
      </w:r>
      <w:r w:rsidRPr="29922D1C">
        <w:rPr>
          <w:noProof/>
          <w:lang w:val="en-IE"/>
        </w:rPr>
        <w:t>Digital Innovation Hubs</w:t>
      </w:r>
      <w:r w:rsidRPr="44FD23D0">
        <w:rPr>
          <w:rFonts w:eastAsia="Times New Roman"/>
          <w:noProof/>
          <w:lang w:val="en-IE"/>
        </w:rPr>
        <w:t>. Co-funding from the Digital Europe Programme is foreseen.</w:t>
      </w:r>
    </w:p>
    <w:p w:rsidRPr="00FE48E2" w:rsidR="00D87E44" w:rsidP="00D226F4" w:rsidRDefault="00D87E44" w14:paraId="15457A25" w14:textId="77777777">
      <w:pPr>
        <w:keepNext/>
        <w:autoSpaceDE w:val="0"/>
        <w:autoSpaceDN w:val="0"/>
        <w:adjustRightInd w:val="0"/>
        <w:spacing w:line="240" w:lineRule="auto"/>
        <w:jc w:val="both"/>
        <w:rPr>
          <w:rFonts w:eastAsia="Times New Roman"/>
          <w:noProof/>
          <w:szCs w:val="24"/>
          <w:lang w:val="en-IE"/>
        </w:rPr>
      </w:pPr>
      <w:r w:rsidRPr="008C7FAF">
        <w:rPr>
          <w:rFonts w:eastAsia="Times New Roman"/>
          <w:b/>
          <w:noProof/>
          <w:szCs w:val="24"/>
          <w:lang w:val="en-IE"/>
        </w:rPr>
        <w:t>Investment 2: European Reference Testing and Experimentation facility</w:t>
      </w:r>
    </w:p>
    <w:p w:rsidRPr="00FE48E2" w:rsidR="00D87E44" w:rsidP="00D226F4" w:rsidRDefault="00D87E44" w14:paraId="15457A26" w14:textId="77777777">
      <w:pPr>
        <w:autoSpaceDE w:val="0"/>
        <w:autoSpaceDN w:val="0"/>
        <w:adjustRightInd w:val="0"/>
        <w:spacing w:line="240" w:lineRule="auto"/>
        <w:jc w:val="both"/>
        <w:rPr>
          <w:rFonts w:eastAsia="Times New Roman"/>
          <w:noProof/>
          <w:lang w:val="en-IE"/>
        </w:rPr>
      </w:pPr>
      <w:r w:rsidRPr="0824AC77">
        <w:rPr>
          <w:rFonts w:eastAsia="Times New Roman"/>
          <w:noProof/>
          <w:lang w:val="en-IE"/>
        </w:rPr>
        <w:t xml:space="preserve">A European Reference Testing and Experimentation facility shall be set up and put into operation. The measure aims at establishing a connection between research sectors and the wider economy </w:t>
      </w:r>
      <w:r w:rsidRPr="0824AC77">
        <w:rPr>
          <w:rFonts w:eastAsia="Times New Roman"/>
          <w:noProof/>
          <w:lang w:val="en-IE"/>
        </w:rPr>
        <w:lastRenderedPageBreak/>
        <w:t>(</w:t>
      </w:r>
      <w:r>
        <w:rPr>
          <w:rFonts w:eastAsia="Times New Roman"/>
          <w:noProof/>
          <w:lang w:val="en-IE"/>
        </w:rPr>
        <w:t>which may include but not limited to</w:t>
      </w:r>
      <w:r w:rsidRPr="0824AC77">
        <w:rPr>
          <w:rFonts w:eastAsia="Times New Roman"/>
          <w:noProof/>
          <w:lang w:val="en-IE"/>
        </w:rPr>
        <w:t xml:space="preserve"> the European and national Digital Innovation Hubs) by allowing enterprises (e.g. small and medium-sized enterprises) to test the technologies and applications developed so that they can be used in their operations. Co-funding from the Digital Europe Programme is foreseen. </w:t>
      </w:r>
    </w:p>
    <w:p w:rsidRPr="00FE48E2" w:rsidR="00D87E44" w:rsidP="00D226F4" w:rsidRDefault="00D87E44" w14:paraId="15457A27" w14:textId="77777777">
      <w:pPr>
        <w:autoSpaceDE w:val="0"/>
        <w:autoSpaceDN w:val="0"/>
        <w:adjustRightInd w:val="0"/>
        <w:spacing w:line="240" w:lineRule="auto"/>
        <w:jc w:val="both"/>
        <w:rPr>
          <w:rFonts w:eastAsia="Times New Roman"/>
          <w:noProof/>
          <w:szCs w:val="24"/>
          <w:lang w:val="en-IE"/>
        </w:rPr>
      </w:pPr>
      <w:r w:rsidRPr="00FE48E2">
        <w:rPr>
          <w:rFonts w:eastAsia="Times New Roman"/>
          <w:noProof/>
          <w:szCs w:val="24"/>
          <w:lang w:val="en-IE"/>
        </w:rPr>
        <w:t xml:space="preserve">The investment shall be </w:t>
      </w:r>
      <w:r w:rsidRPr="00FE48E2">
        <w:rPr>
          <w:rFonts w:eastAsia="Times New Roman"/>
          <w:noProof/>
          <w:color w:val="000000"/>
          <w:szCs w:val="24"/>
          <w:lang w:val="en-IE"/>
        </w:rPr>
        <w:t>implemented</w:t>
      </w:r>
      <w:r w:rsidRPr="00FE48E2">
        <w:rPr>
          <w:rFonts w:eastAsia="Times New Roman"/>
          <w:noProof/>
          <w:szCs w:val="24"/>
          <w:lang w:val="en-IE"/>
        </w:rPr>
        <w:t xml:space="preserve"> by 31 December 2024.</w:t>
      </w:r>
    </w:p>
    <w:p w:rsidR="00D87E44" w:rsidRDefault="00D87E44" w14:paraId="15457A28" w14:textId="77777777">
      <w:pPr>
        <w:spacing w:before="0" w:after="160" w:line="259" w:lineRule="auto"/>
        <w:rPr>
          <w:rFonts w:eastAsia="Times New Roman"/>
          <w:b/>
          <w:noProof/>
          <w:szCs w:val="24"/>
          <w:lang w:val="en-IE"/>
        </w:rPr>
      </w:pPr>
      <w:r>
        <w:rPr>
          <w:rFonts w:eastAsia="Times New Roman"/>
          <w:b/>
          <w:noProof/>
          <w:szCs w:val="24"/>
          <w:lang w:val="en-IE"/>
        </w:rPr>
        <w:br w:type="page"/>
      </w:r>
    </w:p>
    <w:p w:rsidRPr="00FE48E2" w:rsidR="00D87E44" w:rsidP="00D226F4" w:rsidRDefault="00D87E44" w14:paraId="15457A29" w14:textId="77777777">
      <w:pPr>
        <w:autoSpaceDE w:val="0"/>
        <w:autoSpaceDN w:val="0"/>
        <w:adjustRightInd w:val="0"/>
        <w:spacing w:line="240" w:lineRule="auto"/>
        <w:jc w:val="both"/>
        <w:rPr>
          <w:rFonts w:eastAsia="Times New Roman"/>
          <w:noProof/>
          <w:szCs w:val="24"/>
          <w:lang w:val="en-IE"/>
        </w:rPr>
      </w:pPr>
      <w:r w:rsidRPr="00FE48E2">
        <w:rPr>
          <w:rFonts w:eastAsia="Times New Roman"/>
          <w:b/>
          <w:noProof/>
          <w:szCs w:val="24"/>
          <w:lang w:val="en-IE"/>
        </w:rPr>
        <w:lastRenderedPageBreak/>
        <w:t xml:space="preserve">Investment 3: Digital transformation of </w:t>
      </w:r>
      <w:r>
        <w:rPr>
          <w:rFonts w:eastAsia="Times New Roman"/>
          <w:b/>
          <w:noProof/>
          <w:szCs w:val="24"/>
          <w:lang w:val="en-IE"/>
        </w:rPr>
        <w:t>businesses</w:t>
      </w:r>
    </w:p>
    <w:p w:rsidRPr="00C95F1A" w:rsidR="00D87E44" w:rsidP="00E3458A" w:rsidRDefault="00D87E44" w14:paraId="15457A2A" w14:textId="77777777">
      <w:pPr>
        <w:autoSpaceDE w:val="0"/>
        <w:autoSpaceDN w:val="0"/>
        <w:adjustRightInd w:val="0"/>
        <w:spacing w:before="0" w:line="240" w:lineRule="auto"/>
        <w:jc w:val="both"/>
        <w:rPr>
          <w:rFonts w:eastAsia="Times New Roman"/>
          <w:noProof/>
          <w:lang w:val="en-IE"/>
        </w:rPr>
      </w:pPr>
      <w:r w:rsidRPr="00C95F1A">
        <w:rPr>
          <w:rFonts w:eastAsia="Times New Roman"/>
          <w:noProof/>
          <w:lang w:val="en-IE"/>
        </w:rPr>
        <w:t>The objective of this measure</w:t>
      </w:r>
      <w:r w:rsidRPr="007F2F3B">
        <w:rPr>
          <w:rFonts w:eastAsia="Times New Roman"/>
          <w:noProof/>
          <w:lang w:val="en-IE"/>
        </w:rPr>
        <w:t xml:space="preserve"> </w:t>
      </w:r>
      <w:r w:rsidRPr="00C95F1A">
        <w:rPr>
          <w:rFonts w:eastAsia="Times New Roman"/>
          <w:noProof/>
          <w:lang w:val="en-IE"/>
        </w:rPr>
        <w:t xml:space="preserve">is to </w:t>
      </w:r>
      <w:r w:rsidRPr="00FF1320">
        <w:rPr>
          <w:lang w:val="en-IE"/>
        </w:rPr>
        <w:t xml:space="preserve">increase </w:t>
      </w:r>
      <w:r w:rsidRPr="007F2F3B">
        <w:rPr>
          <w:rFonts w:eastAsia="Times New Roman"/>
          <w:noProof/>
          <w:lang w:val="en-IE"/>
        </w:rPr>
        <w:t>digital processes</w:t>
      </w:r>
      <w:r w:rsidRPr="00C95F1A">
        <w:rPr>
          <w:rFonts w:eastAsia="Times New Roman"/>
          <w:noProof/>
          <w:lang w:val="en-IE"/>
        </w:rPr>
        <w:t xml:space="preserve"> in </w:t>
      </w:r>
      <w:r>
        <w:rPr>
          <w:rFonts w:eastAsia="Times New Roman"/>
          <w:noProof/>
          <w:lang w:val="en-IE"/>
        </w:rPr>
        <w:t>businesses</w:t>
      </w:r>
      <w:r w:rsidRPr="007F2F3B">
        <w:rPr>
          <w:rFonts w:eastAsia="Times New Roman"/>
          <w:noProof/>
          <w:lang w:val="en-IE"/>
        </w:rPr>
        <w:t>.</w:t>
      </w:r>
      <w:r w:rsidRPr="00C95F1A">
        <w:rPr>
          <w:rFonts w:eastAsia="Times New Roman"/>
          <w:noProof/>
          <w:lang w:val="en-IE"/>
        </w:rPr>
        <w:t xml:space="preserve"> This measure consists </w:t>
      </w:r>
      <w:r w:rsidRPr="20E15C5D">
        <w:rPr>
          <w:rFonts w:eastAsia="Times New Roman"/>
          <w:noProof/>
          <w:lang w:val="en-IE"/>
        </w:rPr>
        <w:t>of grant s</w:t>
      </w:r>
      <w:r w:rsidRPr="00972CFD">
        <w:rPr>
          <w:rFonts w:eastAsia="Times New Roman"/>
          <w:noProof/>
          <w:lang w:val="en-IE"/>
        </w:rPr>
        <w:t>upport for the digital transformation</w:t>
      </w:r>
      <w:r w:rsidRPr="00C95F1A">
        <w:rPr>
          <w:rFonts w:eastAsia="Times New Roman"/>
          <w:noProof/>
          <w:lang w:val="en-IE"/>
        </w:rPr>
        <w:t xml:space="preserve"> of businesses.</w:t>
      </w:r>
      <w:r w:rsidRPr="00C95F1A">
        <w:rPr>
          <w:rFonts w:asciiTheme="minorHAnsi" w:hAnsiTheme="minorHAnsi" w:eastAsiaTheme="minorEastAsia" w:cstheme="minorBidi"/>
          <w:noProof/>
          <w:szCs w:val="24"/>
          <w:lang w:val="en-IE"/>
        </w:rPr>
        <w:t xml:space="preserve"> </w:t>
      </w:r>
    </w:p>
    <w:p w:rsidRPr="00E1266C" w:rsidR="00D87E44" w:rsidP="00D226F4" w:rsidRDefault="00D87E44" w14:paraId="15457A2B" w14:textId="77777777">
      <w:pPr>
        <w:rPr>
          <w:rFonts w:eastAsia="Times New Roman"/>
          <w:b/>
          <w:noProof/>
          <w:lang w:val="en-IE"/>
        </w:rPr>
      </w:pPr>
      <w:r w:rsidRPr="38D612B3">
        <w:rPr>
          <w:rFonts w:eastAsia="Times New Roman"/>
          <w:b/>
          <w:noProof/>
          <w:lang w:val="en-IE"/>
        </w:rPr>
        <w:t xml:space="preserve">Investment </w:t>
      </w:r>
      <w:r w:rsidRPr="1814F5C1">
        <w:rPr>
          <w:rFonts w:eastAsia="Times New Roman"/>
          <w:b/>
          <w:bCs/>
          <w:noProof/>
          <w:lang w:val="en-IE"/>
        </w:rPr>
        <w:t>5</w:t>
      </w:r>
      <w:r w:rsidRPr="38D612B3">
        <w:rPr>
          <w:rFonts w:eastAsia="Times New Roman"/>
          <w:b/>
          <w:noProof/>
          <w:lang w:val="en-IE"/>
        </w:rPr>
        <w:t xml:space="preserve"> - IPCEI Microelectronics and Communication Technologies</w:t>
      </w:r>
      <w:r w:rsidRPr="6190607B">
        <w:rPr>
          <w:rFonts w:eastAsia="Times New Roman"/>
          <w:b/>
          <w:bCs/>
          <w:noProof/>
          <w:lang w:val="en-IE"/>
        </w:rPr>
        <w:t xml:space="preserve"> (grants)</w:t>
      </w:r>
    </w:p>
    <w:p w:rsidRPr="00FE48E2" w:rsidR="00D87E44" w:rsidP="00D226F4" w:rsidRDefault="00D87E44" w14:paraId="15457A2C" w14:textId="77777777">
      <w:pPr>
        <w:autoSpaceDE w:val="0"/>
        <w:autoSpaceDN w:val="0"/>
        <w:adjustRightInd w:val="0"/>
        <w:spacing w:line="240" w:lineRule="auto"/>
        <w:jc w:val="both"/>
        <w:rPr>
          <w:rFonts w:eastAsia="Times New Roman"/>
          <w:noProof/>
        </w:rPr>
        <w:sectPr w:rsidRPr="00FE48E2" w:rsidR="00C16C1F" w:rsidSect="00D226F4">
          <w:headerReference w:type="even" r:id="Raa83ae227fa54d7a"/>
          <w:headerReference w:type="default" r:id="R935192ccd5cf4428"/>
          <w:footerReference w:type="even" r:id="Rcfb93dc7b2fd4609"/>
          <w:footerReference w:type="default" r:id="Rc62ce76407a94b16"/>
          <w:headerReference w:type="first" r:id="Rf7c12fd76da240e9"/>
          <w:footerReference w:type="first" r:id="Rdc60ae8ace9b4de5"/>
          <w:pgSz w:w="11907" w:h="16839"/>
          <w:pgMar w:top="1134" w:right="1134" w:bottom="1134" w:left="1134" w:header="567" w:footer="567" w:gutter="0"/>
          <w:cols w:space="720"/>
          <w:docGrid w:linePitch="326"/>
        </w:sectPr>
      </w:pPr>
      <w:r w:rsidRPr="00FF1320">
        <w:t xml:space="preserve">The </w:t>
      </w:r>
      <w:r w:rsidRPr="1F406A94">
        <w:rPr>
          <w:rFonts w:eastAsia="Times New Roman"/>
          <w:noProof/>
        </w:rPr>
        <w:t xml:space="preserve">objective of this </w:t>
      </w:r>
      <w:r w:rsidRPr="00FF1320">
        <w:t xml:space="preserve">investment is to support </w:t>
      </w:r>
      <w:r w:rsidRPr="1F406A94">
        <w:rPr>
          <w:rFonts w:eastAsia="Times New Roman"/>
          <w:noProof/>
        </w:rPr>
        <w:t>the creation of</w:t>
      </w:r>
      <w:r w:rsidRPr="00FF1320">
        <w:t xml:space="preserve"> next generation of microprocessors, semi-conductors</w:t>
      </w:r>
      <w:r w:rsidRPr="1F406A94">
        <w:rPr>
          <w:rFonts w:eastAsia="Times New Roman"/>
          <w:noProof/>
        </w:rPr>
        <w:t>,</w:t>
      </w:r>
      <w:r w:rsidRPr="00FF1320">
        <w:t xml:space="preserve"> and communication technologies. </w:t>
      </w:r>
      <w:r w:rsidRPr="1F406A94">
        <w:rPr>
          <w:noProof/>
        </w:rPr>
        <w:t>This measure consists in the</w:t>
      </w:r>
      <w:r>
        <w:rPr>
          <w:noProof/>
        </w:rPr>
        <w:t xml:space="preserve"> financial</w:t>
      </w:r>
      <w:r w:rsidRPr="1F406A94">
        <w:rPr>
          <w:rFonts w:eastAsia="Times New Roman"/>
          <w:noProof/>
        </w:rPr>
        <w:t xml:space="preserve"> support of </w:t>
      </w:r>
      <w:r w:rsidRPr="00FF1320">
        <w:t xml:space="preserve">four pilot </w:t>
      </w:r>
      <w:r w:rsidRPr="1F406A94">
        <w:rPr>
          <w:rFonts w:eastAsia="Times New Roman"/>
          <w:noProof/>
        </w:rPr>
        <w:t xml:space="preserve">projects participating in the IPCEI Microelectronics and Communication Technologies. </w:t>
      </w:r>
    </w:p>
    <w:p w:rsidRPr="00FE48E2" w:rsidR="00D87E44" w:rsidP="00D226F4" w:rsidRDefault="00D87E44" w14:paraId="15457A2D" w14:textId="77777777">
      <w:pPr>
        <w:tabs>
          <w:tab w:val="left" w:pos="993"/>
        </w:tabs>
        <w:spacing w:line="240" w:lineRule="auto"/>
        <w:jc w:val="both"/>
        <w:rPr>
          <w:b/>
          <w:noProof/>
          <w:u w:val="single"/>
          <w:lang w:val="en-IE"/>
        </w:rPr>
      </w:pPr>
      <w:r w:rsidRPr="00FE48E2">
        <w:rPr>
          <w:b/>
          <w:noProof/>
          <w:u w:val="single"/>
          <w:lang w:val="en-IE"/>
        </w:rPr>
        <w:lastRenderedPageBreak/>
        <w:t>E.2. Milestones, targets, indicators, and timetable for monitoring and implementation for non-repayable financial support</w:t>
      </w:r>
    </w:p>
    <w:tbl>
      <w:tblPr>
        <w:tblW w:w="15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851"/>
        <w:gridCol w:w="1418"/>
        <w:gridCol w:w="992"/>
        <w:gridCol w:w="1430"/>
        <w:gridCol w:w="1172"/>
        <w:gridCol w:w="1068"/>
        <w:gridCol w:w="1015"/>
        <w:gridCol w:w="1068"/>
        <w:gridCol w:w="1014"/>
        <w:gridCol w:w="990"/>
        <w:gridCol w:w="4347"/>
      </w:tblGrid>
      <w:tr w:rsidRPr="00FE48E2" w:rsidR="00E3458A" w14:paraId="15457A36" w14:textId="77777777">
        <w:trPr>
          <w:trHeight w:val="107"/>
          <w:tblHeader/>
          <w:jc w:val="center"/>
        </w:trPr>
        <w:tc>
          <w:tcPr>
            <w:tcW w:w="851" w:type="dxa"/>
            <w:vMerge w:val="restart"/>
            <w:shd w:val="clear" w:color="auto" w:fill="BDD7EE"/>
            <w:vAlign w:val="center"/>
          </w:tcPr>
          <w:p w:rsidRPr="00FE48E2" w:rsidR="00D87E44" w:rsidRDefault="00D87E44" w14:paraId="15457A2E" w14:textId="77777777">
            <w:pPr>
              <w:spacing w:line="240" w:lineRule="auto"/>
              <w:jc w:val="center"/>
              <w:rPr>
                <w:noProof/>
                <w:sz w:val="18"/>
                <w:szCs w:val="18"/>
                <w:lang w:val="en-IE"/>
              </w:rPr>
            </w:pPr>
            <w:r w:rsidRPr="00FE48E2">
              <w:rPr>
                <w:b/>
                <w:noProof/>
                <w:sz w:val="18"/>
                <w:szCs w:val="18"/>
                <w:lang w:val="en-IE"/>
              </w:rPr>
              <w:t>Seq. Num.</w:t>
            </w:r>
          </w:p>
        </w:tc>
        <w:tc>
          <w:tcPr>
            <w:tcW w:w="1418" w:type="dxa"/>
            <w:vMerge w:val="restart"/>
            <w:shd w:val="clear" w:color="auto" w:fill="BDD7EE"/>
            <w:vAlign w:val="center"/>
          </w:tcPr>
          <w:p w:rsidRPr="00FE48E2" w:rsidR="00D87E44" w:rsidRDefault="00D87E44" w14:paraId="15457A2F"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992" w:type="dxa"/>
            <w:vMerge w:val="restart"/>
            <w:shd w:val="clear" w:color="auto" w:fill="BDD7EE"/>
            <w:vAlign w:val="center"/>
          </w:tcPr>
          <w:p w:rsidRPr="00FE48E2" w:rsidR="00D87E44" w:rsidRDefault="00D87E44" w14:paraId="15457A30"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430" w:type="dxa"/>
            <w:vMerge w:val="restart"/>
            <w:shd w:val="clear" w:color="auto" w:fill="BDD7EE"/>
            <w:vAlign w:val="center"/>
          </w:tcPr>
          <w:p w:rsidRPr="00FE48E2" w:rsidR="00D87E44" w:rsidRDefault="00D87E44" w14:paraId="15457A31"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172" w:type="dxa"/>
            <w:vMerge w:val="restart"/>
            <w:shd w:val="clear" w:color="auto" w:fill="BDD7EE"/>
            <w:vAlign w:val="center"/>
          </w:tcPr>
          <w:p w:rsidRPr="00FE48E2" w:rsidR="00D87E44" w:rsidRDefault="00D87E44" w14:paraId="15457A32"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3151" w:type="dxa"/>
            <w:gridSpan w:val="3"/>
            <w:shd w:val="clear" w:color="auto" w:fill="BDD7EE"/>
            <w:vAlign w:val="center"/>
          </w:tcPr>
          <w:p w:rsidRPr="00FE48E2" w:rsidR="00D87E44" w:rsidRDefault="00D87E44" w14:paraId="15457A33"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2004" w:type="dxa"/>
            <w:gridSpan w:val="2"/>
            <w:shd w:val="clear" w:color="auto" w:fill="BDD7EE"/>
            <w:vAlign w:val="center"/>
          </w:tcPr>
          <w:p w:rsidRPr="00FE48E2" w:rsidR="00D87E44" w:rsidRDefault="00D87E44" w14:paraId="15457A34"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347" w:type="dxa"/>
            <w:vMerge w:val="restart"/>
            <w:shd w:val="clear" w:color="auto" w:fill="BDD7EE"/>
            <w:vAlign w:val="center"/>
          </w:tcPr>
          <w:p w:rsidRPr="00FE48E2" w:rsidR="00D87E44" w:rsidRDefault="00D87E44" w14:paraId="15457A35"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14:paraId="15457A42" w14:textId="77777777">
        <w:trPr>
          <w:trHeight w:val="173"/>
          <w:tblHeader/>
          <w:jc w:val="center"/>
        </w:trPr>
        <w:tc>
          <w:tcPr>
            <w:tcW w:w="851" w:type="dxa"/>
            <w:vMerge/>
            <w:vAlign w:val="center"/>
          </w:tcPr>
          <w:p w:rsidRPr="00FE48E2" w:rsidR="00D87E44" w:rsidRDefault="00D87E44" w14:paraId="15457A37" w14:textId="77777777">
            <w:pPr>
              <w:spacing w:line="240" w:lineRule="auto"/>
              <w:jc w:val="center"/>
              <w:rPr>
                <w:noProof/>
                <w:sz w:val="18"/>
                <w:szCs w:val="18"/>
                <w:lang w:val="en-IE"/>
              </w:rPr>
            </w:pPr>
          </w:p>
        </w:tc>
        <w:tc>
          <w:tcPr>
            <w:tcW w:w="1418" w:type="dxa"/>
            <w:vMerge/>
            <w:vAlign w:val="center"/>
          </w:tcPr>
          <w:p w:rsidRPr="00FE48E2" w:rsidR="00D87E44" w:rsidRDefault="00D87E44" w14:paraId="15457A38" w14:textId="77777777">
            <w:pPr>
              <w:spacing w:line="240" w:lineRule="auto"/>
              <w:jc w:val="center"/>
              <w:rPr>
                <w:noProof/>
                <w:sz w:val="18"/>
                <w:szCs w:val="18"/>
                <w:lang w:val="en-IE"/>
              </w:rPr>
            </w:pPr>
          </w:p>
        </w:tc>
        <w:tc>
          <w:tcPr>
            <w:tcW w:w="992" w:type="dxa"/>
            <w:vMerge/>
            <w:vAlign w:val="center"/>
          </w:tcPr>
          <w:p w:rsidRPr="00FE48E2" w:rsidR="00D87E44" w:rsidRDefault="00D87E44" w14:paraId="15457A39" w14:textId="77777777">
            <w:pPr>
              <w:spacing w:line="240" w:lineRule="auto"/>
              <w:jc w:val="center"/>
              <w:rPr>
                <w:noProof/>
                <w:sz w:val="18"/>
                <w:szCs w:val="18"/>
                <w:lang w:val="en-IE"/>
              </w:rPr>
            </w:pPr>
          </w:p>
        </w:tc>
        <w:tc>
          <w:tcPr>
            <w:tcW w:w="1430" w:type="dxa"/>
            <w:vMerge/>
            <w:vAlign w:val="center"/>
          </w:tcPr>
          <w:p w:rsidRPr="00FE48E2" w:rsidR="00D87E44" w:rsidRDefault="00D87E44" w14:paraId="15457A3A" w14:textId="77777777">
            <w:pPr>
              <w:spacing w:line="240" w:lineRule="auto"/>
              <w:jc w:val="center"/>
              <w:rPr>
                <w:noProof/>
                <w:sz w:val="18"/>
                <w:szCs w:val="18"/>
                <w:lang w:val="en-IE"/>
              </w:rPr>
            </w:pPr>
          </w:p>
        </w:tc>
        <w:tc>
          <w:tcPr>
            <w:tcW w:w="1172" w:type="dxa"/>
            <w:vMerge/>
            <w:vAlign w:val="center"/>
          </w:tcPr>
          <w:p w:rsidRPr="00FE48E2" w:rsidR="00D87E44" w:rsidRDefault="00D87E44" w14:paraId="15457A3B" w14:textId="77777777">
            <w:pPr>
              <w:spacing w:line="240" w:lineRule="auto"/>
              <w:jc w:val="center"/>
              <w:rPr>
                <w:noProof/>
                <w:sz w:val="18"/>
                <w:szCs w:val="18"/>
                <w:lang w:val="en-IE"/>
              </w:rPr>
            </w:pPr>
          </w:p>
        </w:tc>
        <w:tc>
          <w:tcPr>
            <w:tcW w:w="1068" w:type="dxa"/>
            <w:shd w:val="clear" w:color="auto" w:fill="BDD7EE"/>
            <w:vAlign w:val="center"/>
          </w:tcPr>
          <w:p w:rsidRPr="002F2ABF" w:rsidR="00D87E44" w:rsidRDefault="00D87E44" w14:paraId="15457A3C" w14:textId="77777777">
            <w:pPr>
              <w:spacing w:line="240" w:lineRule="auto"/>
              <w:jc w:val="center"/>
              <w:rPr>
                <w:noProof/>
                <w:sz w:val="18"/>
                <w:szCs w:val="18"/>
                <w:lang w:val="en-IE"/>
              </w:rPr>
            </w:pPr>
            <w:r w:rsidRPr="002F2ABF">
              <w:rPr>
                <w:rFonts w:eastAsia="Times New Roman"/>
                <w:b/>
                <w:noProof/>
                <w:sz w:val="18"/>
                <w:szCs w:val="18"/>
                <w:lang w:val="en-IE"/>
              </w:rPr>
              <w:t>Unit of measure</w:t>
            </w:r>
          </w:p>
        </w:tc>
        <w:tc>
          <w:tcPr>
            <w:tcW w:w="1015" w:type="dxa"/>
            <w:shd w:val="clear" w:color="auto" w:fill="BDD7EE"/>
            <w:vAlign w:val="center"/>
          </w:tcPr>
          <w:p w:rsidRPr="002F2ABF" w:rsidR="00D87E44" w:rsidRDefault="00D87E44" w14:paraId="15457A3D" w14:textId="77777777">
            <w:pPr>
              <w:spacing w:line="240" w:lineRule="auto"/>
              <w:jc w:val="center"/>
              <w:rPr>
                <w:noProof/>
                <w:sz w:val="18"/>
                <w:szCs w:val="18"/>
                <w:lang w:val="en-IE"/>
              </w:rPr>
            </w:pPr>
            <w:r w:rsidRPr="002F2ABF">
              <w:rPr>
                <w:rFonts w:eastAsia="Times New Roman"/>
                <w:b/>
                <w:noProof/>
                <w:sz w:val="18"/>
                <w:szCs w:val="18"/>
                <w:lang w:val="en-IE"/>
              </w:rPr>
              <w:t>Baseline</w:t>
            </w:r>
          </w:p>
        </w:tc>
        <w:tc>
          <w:tcPr>
            <w:tcW w:w="1068" w:type="dxa"/>
            <w:shd w:val="clear" w:color="auto" w:fill="BDD7EE"/>
            <w:vAlign w:val="center"/>
          </w:tcPr>
          <w:p w:rsidRPr="002F2ABF" w:rsidR="00D87E44" w:rsidRDefault="00D87E44" w14:paraId="15457A3E" w14:textId="77777777">
            <w:pPr>
              <w:spacing w:line="240" w:lineRule="auto"/>
              <w:jc w:val="center"/>
              <w:rPr>
                <w:noProof/>
                <w:sz w:val="18"/>
                <w:szCs w:val="18"/>
                <w:lang w:val="en-IE"/>
              </w:rPr>
            </w:pPr>
            <w:r w:rsidRPr="002F2ABF">
              <w:rPr>
                <w:rFonts w:eastAsia="Times New Roman"/>
                <w:b/>
                <w:noProof/>
                <w:sz w:val="18"/>
                <w:szCs w:val="18"/>
                <w:lang w:val="en-IE"/>
              </w:rPr>
              <w:t>Goal</w:t>
            </w:r>
          </w:p>
        </w:tc>
        <w:tc>
          <w:tcPr>
            <w:tcW w:w="1014" w:type="dxa"/>
            <w:shd w:val="clear" w:color="auto" w:fill="BDD7EE"/>
            <w:vAlign w:val="center"/>
          </w:tcPr>
          <w:p w:rsidRPr="002F2ABF" w:rsidR="00D87E44" w:rsidRDefault="00D87E44" w14:paraId="15457A3F" w14:textId="77777777">
            <w:pPr>
              <w:spacing w:line="240" w:lineRule="auto"/>
              <w:jc w:val="center"/>
              <w:rPr>
                <w:noProof/>
                <w:sz w:val="18"/>
                <w:szCs w:val="18"/>
                <w:lang w:val="en-IE"/>
              </w:rPr>
            </w:pPr>
            <w:r w:rsidRPr="002F2ABF">
              <w:rPr>
                <w:rFonts w:eastAsia="Times New Roman"/>
                <w:b/>
                <w:noProof/>
                <w:sz w:val="18"/>
                <w:szCs w:val="18"/>
                <w:lang w:val="en-IE"/>
              </w:rPr>
              <w:t>Quarter</w:t>
            </w:r>
          </w:p>
        </w:tc>
        <w:tc>
          <w:tcPr>
            <w:tcW w:w="990" w:type="dxa"/>
            <w:shd w:val="clear" w:color="auto" w:fill="BDD7EE"/>
            <w:vAlign w:val="center"/>
          </w:tcPr>
          <w:p w:rsidRPr="002F2ABF" w:rsidR="00D87E44" w:rsidRDefault="00D87E44" w14:paraId="15457A40" w14:textId="77777777">
            <w:pPr>
              <w:spacing w:line="240" w:lineRule="auto"/>
              <w:jc w:val="center"/>
              <w:rPr>
                <w:noProof/>
                <w:sz w:val="18"/>
                <w:szCs w:val="18"/>
                <w:lang w:val="en-IE"/>
              </w:rPr>
            </w:pPr>
            <w:r w:rsidRPr="002F2ABF">
              <w:rPr>
                <w:rFonts w:eastAsia="Times New Roman"/>
                <w:b/>
                <w:noProof/>
                <w:sz w:val="18"/>
                <w:szCs w:val="18"/>
                <w:lang w:val="en-IE"/>
              </w:rPr>
              <w:t>Year</w:t>
            </w:r>
          </w:p>
        </w:tc>
        <w:tc>
          <w:tcPr>
            <w:tcW w:w="4347" w:type="dxa"/>
            <w:vMerge/>
            <w:vAlign w:val="center"/>
          </w:tcPr>
          <w:p w:rsidRPr="00FE48E2" w:rsidR="00D87E44" w:rsidRDefault="00D87E44" w14:paraId="15457A41" w14:textId="77777777">
            <w:pPr>
              <w:spacing w:line="240" w:lineRule="auto"/>
              <w:jc w:val="center"/>
              <w:rPr>
                <w:noProof/>
                <w:sz w:val="18"/>
                <w:szCs w:val="18"/>
                <w:lang w:val="en-IE"/>
              </w:rPr>
            </w:pPr>
          </w:p>
        </w:tc>
      </w:tr>
      <w:tr w:rsidRPr="00FE48E2" w:rsidR="00E3458A" w14:paraId="15457A4E" w14:textId="77777777">
        <w:trPr>
          <w:trHeight w:val="945"/>
          <w:jc w:val="center"/>
        </w:trPr>
        <w:tc>
          <w:tcPr>
            <w:tcW w:w="851" w:type="dxa"/>
            <w:shd w:val="clear" w:color="auto" w:fill="C6EFCE"/>
          </w:tcPr>
          <w:p w:rsidRPr="00062C72" w:rsidR="00D87E44" w:rsidRDefault="00D87E44" w14:paraId="15457A43"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68</w:t>
            </w:r>
          </w:p>
        </w:tc>
        <w:tc>
          <w:tcPr>
            <w:tcW w:w="1418" w:type="dxa"/>
            <w:shd w:val="clear" w:color="auto" w:fill="C6EFCE"/>
          </w:tcPr>
          <w:p w:rsidRPr="00062C72" w:rsidR="00D87E44" w:rsidRDefault="00D87E44" w14:paraId="15457A44"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Reform 1: </w:t>
            </w:r>
            <w:r w:rsidRPr="00062C72">
              <w:rPr>
                <w:rFonts w:eastAsia="Times New Roman"/>
                <w:noProof/>
                <w:color w:val="004300"/>
                <w:sz w:val="18"/>
                <w:szCs w:val="18"/>
                <w:lang w:val="en-IE" w:eastAsia="en-GB"/>
              </w:rPr>
              <w:t>Creation of Platform for the digitisation of the economy</w:t>
            </w:r>
          </w:p>
        </w:tc>
        <w:tc>
          <w:tcPr>
            <w:tcW w:w="992" w:type="dxa"/>
            <w:shd w:val="clear" w:color="auto" w:fill="C6EFCE"/>
          </w:tcPr>
          <w:p w:rsidRPr="00062C72" w:rsidR="00D87E44" w:rsidRDefault="00D87E44" w14:paraId="15457A45"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Milestone</w:t>
            </w:r>
          </w:p>
        </w:tc>
        <w:tc>
          <w:tcPr>
            <w:tcW w:w="1430" w:type="dxa"/>
            <w:shd w:val="clear" w:color="auto" w:fill="C6EFCE"/>
          </w:tcPr>
          <w:p w:rsidRPr="00062C72" w:rsidR="00D87E44" w:rsidRDefault="00D87E44" w14:paraId="15457A46"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Creation of Platform for the digitisation of the economy</w:t>
            </w:r>
          </w:p>
        </w:tc>
        <w:tc>
          <w:tcPr>
            <w:tcW w:w="1172" w:type="dxa"/>
            <w:shd w:val="clear" w:color="auto" w:fill="C6EFCE"/>
          </w:tcPr>
          <w:p w:rsidRPr="00062C72" w:rsidR="00D87E44" w:rsidRDefault="00D87E44" w14:paraId="15457A47"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Launch of operation of the platform</w:t>
            </w:r>
          </w:p>
        </w:tc>
        <w:tc>
          <w:tcPr>
            <w:tcW w:w="1068" w:type="dxa"/>
            <w:shd w:val="clear" w:color="auto" w:fill="C6EFCE"/>
          </w:tcPr>
          <w:p w:rsidRPr="00062C72" w:rsidR="00D87E44" w:rsidRDefault="00D87E44" w14:paraId="15457A48" w14:textId="77777777">
            <w:pPr>
              <w:spacing w:before="0" w:after="0" w:line="240" w:lineRule="auto"/>
              <w:rPr>
                <w:rFonts w:eastAsia="Times New Roman"/>
                <w:noProof/>
                <w:color w:val="004300"/>
                <w:sz w:val="18"/>
                <w:szCs w:val="18"/>
                <w:lang w:val="en-IE" w:eastAsia="en-GB"/>
              </w:rPr>
            </w:pPr>
          </w:p>
        </w:tc>
        <w:tc>
          <w:tcPr>
            <w:tcW w:w="1015" w:type="dxa"/>
            <w:shd w:val="clear" w:color="auto" w:fill="C6EFCE"/>
          </w:tcPr>
          <w:p w:rsidRPr="00062C72" w:rsidR="00D87E44" w:rsidRDefault="00D87E44" w14:paraId="15457A49" w14:textId="77777777">
            <w:pPr>
              <w:spacing w:before="0" w:after="0" w:line="240" w:lineRule="auto"/>
              <w:rPr>
                <w:rFonts w:eastAsia="Times New Roman"/>
                <w:noProof/>
                <w:color w:val="004300"/>
                <w:sz w:val="18"/>
                <w:szCs w:val="18"/>
                <w:lang w:val="en-IE" w:eastAsia="en-GB"/>
              </w:rPr>
            </w:pPr>
          </w:p>
        </w:tc>
        <w:tc>
          <w:tcPr>
            <w:tcW w:w="1068" w:type="dxa"/>
            <w:shd w:val="clear" w:color="auto" w:fill="C6EFCE"/>
          </w:tcPr>
          <w:p w:rsidRPr="00062C72" w:rsidR="00D87E44" w:rsidRDefault="00D87E44" w14:paraId="15457A4A" w14:textId="77777777">
            <w:pPr>
              <w:spacing w:before="0" w:after="0" w:line="240" w:lineRule="auto"/>
              <w:rPr>
                <w:rFonts w:eastAsia="Times New Roman"/>
                <w:noProof/>
                <w:color w:val="004300"/>
                <w:sz w:val="18"/>
                <w:szCs w:val="18"/>
                <w:lang w:val="en-IE" w:eastAsia="en-GB"/>
              </w:rPr>
            </w:pPr>
          </w:p>
        </w:tc>
        <w:tc>
          <w:tcPr>
            <w:tcW w:w="1014" w:type="dxa"/>
            <w:shd w:val="clear" w:color="auto" w:fill="C6EFCE"/>
          </w:tcPr>
          <w:p w:rsidRPr="00062C72" w:rsidR="00D87E44" w:rsidRDefault="00D87E44" w14:paraId="15457A4B"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Q1</w:t>
            </w:r>
          </w:p>
        </w:tc>
        <w:tc>
          <w:tcPr>
            <w:tcW w:w="990" w:type="dxa"/>
            <w:shd w:val="clear" w:color="auto" w:fill="C6EFCE"/>
          </w:tcPr>
          <w:p w:rsidRPr="00062C72" w:rsidR="00D87E44" w:rsidRDefault="00D87E44" w14:paraId="15457A4C"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2022</w:t>
            </w:r>
          </w:p>
        </w:tc>
        <w:tc>
          <w:tcPr>
            <w:tcW w:w="4347" w:type="dxa"/>
            <w:shd w:val="clear" w:color="auto" w:fill="C6EFCE"/>
          </w:tcPr>
          <w:p w:rsidRPr="00062C72" w:rsidR="00D87E44" w:rsidRDefault="00D87E44" w14:paraId="15457A4D"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A platform for the digitisation of the economy shall be established and its </w:t>
            </w:r>
            <w:r w:rsidRPr="00062C72">
              <w:rPr>
                <w:rFonts w:eastAsia="Times New Roman"/>
                <w:noProof/>
                <w:color w:val="004300"/>
                <w:sz w:val="18"/>
                <w:szCs w:val="18"/>
                <w:lang w:val="en-IE" w:eastAsia="en-GB"/>
              </w:rPr>
              <w:t>operation launched. The platform shall coordinate the interconnection of all actors in the national digital ecosystem such as the European and national Digital Innovation Hubs, the National Competence Centres in High-Performance Computing and Cybersecurity, the European Reference Testing and Experimentation facilities, the innovation centres, and clients of all these centres. The platform shall operate as one of the working groups of the Digital Transformation Committee to be established as reform 1 under c</w:t>
            </w:r>
            <w:r w:rsidRPr="00062C72">
              <w:rPr>
                <w:rFonts w:eastAsia="Times New Roman"/>
                <w:noProof/>
                <w:color w:val="004300"/>
                <w:sz w:val="18"/>
                <w:szCs w:val="18"/>
                <w:lang w:val="en-IE" w:eastAsia="en-GB"/>
              </w:rPr>
              <w:t>omponent 1.4.</w:t>
            </w:r>
          </w:p>
        </w:tc>
      </w:tr>
      <w:tr w:rsidRPr="00FE48E2" w:rsidR="00E3458A" w14:paraId="15457A5B" w14:textId="77777777">
        <w:trPr>
          <w:trHeight w:val="945"/>
          <w:jc w:val="center"/>
        </w:trPr>
        <w:tc>
          <w:tcPr>
            <w:tcW w:w="851" w:type="dxa"/>
            <w:shd w:val="clear" w:color="auto" w:fill="C6EFCE"/>
          </w:tcPr>
          <w:p w:rsidRPr="00062C72" w:rsidR="00D87E44" w:rsidRDefault="00D87E44" w14:paraId="15457A4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69</w:t>
            </w:r>
          </w:p>
        </w:tc>
        <w:tc>
          <w:tcPr>
            <w:tcW w:w="1418" w:type="dxa"/>
            <w:shd w:val="clear" w:color="auto" w:fill="C6EFCE"/>
          </w:tcPr>
          <w:p w:rsidRPr="00062C72" w:rsidR="00D87E44" w:rsidRDefault="00D87E44" w14:paraId="15457A50"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Investment 1: European Digital Innovation Hubs</w:t>
            </w:r>
          </w:p>
        </w:tc>
        <w:tc>
          <w:tcPr>
            <w:tcW w:w="992" w:type="dxa"/>
            <w:shd w:val="clear" w:color="auto" w:fill="C6EFCE"/>
          </w:tcPr>
          <w:p w:rsidRPr="00062C72" w:rsidR="00D87E44" w:rsidRDefault="00D87E44" w14:paraId="15457A51"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Target</w:t>
            </w:r>
          </w:p>
        </w:tc>
        <w:tc>
          <w:tcPr>
            <w:tcW w:w="1430" w:type="dxa"/>
            <w:shd w:val="clear" w:color="auto" w:fill="C6EFCE"/>
          </w:tcPr>
          <w:p w:rsidRPr="00062C72" w:rsidR="00D87E44" w:rsidRDefault="00D87E44" w14:paraId="15457A52"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Disbursement of funds to the European</w:t>
            </w:r>
            <w:r>
              <w:rPr>
                <w:rFonts w:eastAsia="Times New Roman"/>
                <w:noProof/>
                <w:color w:val="004300"/>
                <w:sz w:val="18"/>
                <w:szCs w:val="18"/>
                <w:lang w:val="en-IE" w:eastAsia="en-GB"/>
              </w:rPr>
              <w:t xml:space="preserve"> </w:t>
            </w:r>
            <w:r w:rsidRPr="00062C72">
              <w:rPr>
                <w:rFonts w:eastAsia="Times New Roman"/>
                <w:noProof/>
                <w:color w:val="004300"/>
                <w:sz w:val="18"/>
                <w:szCs w:val="18"/>
                <w:lang w:val="en-IE" w:eastAsia="en-GB"/>
              </w:rPr>
              <w:t>Digital Innovation Hubs</w:t>
            </w:r>
          </w:p>
        </w:tc>
        <w:tc>
          <w:tcPr>
            <w:tcW w:w="1172" w:type="dxa"/>
            <w:shd w:val="clear" w:color="auto" w:fill="C6EFCE"/>
          </w:tcPr>
          <w:p w:rsidRPr="00062C72" w:rsidR="00D87E44" w:rsidRDefault="00D87E44" w14:paraId="15457A53" w14:textId="77777777">
            <w:pPr>
              <w:spacing w:before="0" w:after="0" w:line="240" w:lineRule="auto"/>
              <w:rPr>
                <w:rFonts w:eastAsia="Times New Roman"/>
                <w:noProof/>
                <w:color w:val="004300"/>
                <w:sz w:val="18"/>
                <w:szCs w:val="18"/>
                <w:lang w:val="en-IE" w:eastAsia="en-GB"/>
              </w:rPr>
            </w:pPr>
          </w:p>
        </w:tc>
        <w:tc>
          <w:tcPr>
            <w:tcW w:w="1068" w:type="dxa"/>
            <w:shd w:val="clear" w:color="auto" w:fill="C6EFCE"/>
          </w:tcPr>
          <w:p w:rsidRPr="00062C72" w:rsidR="00D87E44" w:rsidRDefault="00D87E44" w14:paraId="15457A54"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EUR</w:t>
            </w:r>
          </w:p>
        </w:tc>
        <w:tc>
          <w:tcPr>
            <w:tcW w:w="1015" w:type="dxa"/>
            <w:shd w:val="clear" w:color="auto" w:fill="C6EFCE"/>
          </w:tcPr>
          <w:p w:rsidRPr="00062C72" w:rsidR="00D87E44" w:rsidRDefault="00D87E44" w14:paraId="15457A55"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0</w:t>
            </w:r>
          </w:p>
        </w:tc>
        <w:tc>
          <w:tcPr>
            <w:tcW w:w="1068" w:type="dxa"/>
            <w:shd w:val="clear" w:color="auto" w:fill="C6EFCE"/>
          </w:tcPr>
          <w:p w:rsidRPr="00062C72" w:rsidR="00D87E44" w:rsidRDefault="00D87E44" w14:paraId="15457A56"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8.4 million </w:t>
            </w:r>
          </w:p>
        </w:tc>
        <w:tc>
          <w:tcPr>
            <w:tcW w:w="1014" w:type="dxa"/>
            <w:shd w:val="clear" w:color="auto" w:fill="C6EFCE"/>
          </w:tcPr>
          <w:p w:rsidRPr="00062C72" w:rsidR="00D87E44" w:rsidRDefault="00D87E44" w14:paraId="15457A57"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Q</w:t>
            </w:r>
            <w:r>
              <w:rPr>
                <w:rFonts w:eastAsia="Times New Roman"/>
                <w:noProof/>
                <w:color w:val="004300"/>
                <w:sz w:val="18"/>
                <w:szCs w:val="18"/>
                <w:lang w:val="en-IE" w:eastAsia="en-GB"/>
              </w:rPr>
              <w:t>2</w:t>
            </w:r>
          </w:p>
        </w:tc>
        <w:tc>
          <w:tcPr>
            <w:tcW w:w="990" w:type="dxa"/>
            <w:shd w:val="clear" w:color="auto" w:fill="C6EFCE"/>
          </w:tcPr>
          <w:p w:rsidRPr="00062C72" w:rsidR="00D87E44" w:rsidRDefault="00D87E44" w14:paraId="15457A58"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2025</w:t>
            </w:r>
          </w:p>
        </w:tc>
        <w:tc>
          <w:tcPr>
            <w:tcW w:w="4347" w:type="dxa"/>
            <w:shd w:val="clear" w:color="auto" w:fill="C6EFCE"/>
          </w:tcPr>
          <w:p w:rsidRPr="00062C72" w:rsidR="00D87E44" w:rsidRDefault="00D87E44" w14:paraId="15457A59"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At least EUR 8.4 million shall be paid to </w:t>
            </w:r>
            <w:r w:rsidRPr="60C7F75C">
              <w:rPr>
                <w:rFonts w:eastAsia="Times New Roman"/>
                <w:noProof/>
                <w:color w:val="004300"/>
                <w:sz w:val="18"/>
                <w:szCs w:val="18"/>
                <w:lang w:val="en-IE" w:eastAsia="en-GB"/>
              </w:rPr>
              <w:t>European</w:t>
            </w:r>
            <w:r>
              <w:rPr>
                <w:rFonts w:eastAsia="Times New Roman"/>
                <w:noProof/>
                <w:color w:val="004300"/>
                <w:sz w:val="18"/>
                <w:szCs w:val="18"/>
                <w:lang w:val="en-IE" w:eastAsia="en-GB"/>
              </w:rPr>
              <w:t xml:space="preserve"> </w:t>
            </w:r>
            <w:r w:rsidRPr="00062C72">
              <w:rPr>
                <w:rFonts w:eastAsia="Times New Roman"/>
                <w:noProof/>
                <w:color w:val="004300"/>
                <w:sz w:val="18"/>
                <w:szCs w:val="18"/>
                <w:lang w:val="en-IE" w:eastAsia="en-GB"/>
              </w:rPr>
              <w:t xml:space="preserve">Digital Innovation Hubs for the activities provided by the hubs aiming at the digitalisation of businesses or of public entities. </w:t>
            </w:r>
          </w:p>
          <w:p w:rsidRPr="00062C72" w:rsidR="00D87E44" w:rsidRDefault="00D87E44" w14:paraId="15457A5A"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Any amounts provided by other Union programmes or instruments shall not be counted towards this amount.</w:t>
            </w:r>
          </w:p>
        </w:tc>
      </w:tr>
      <w:tr w:rsidRPr="00FE48E2" w:rsidR="00E3458A" w14:paraId="15457A68" w14:textId="77777777">
        <w:trPr>
          <w:trHeight w:val="945"/>
          <w:jc w:val="center"/>
        </w:trPr>
        <w:tc>
          <w:tcPr>
            <w:tcW w:w="851" w:type="dxa"/>
            <w:shd w:val="clear" w:color="auto" w:fill="C6EFCE"/>
          </w:tcPr>
          <w:p w:rsidRPr="00062C72" w:rsidR="00D87E44" w:rsidRDefault="00D87E44" w14:paraId="15457A5C"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70</w:t>
            </w:r>
          </w:p>
        </w:tc>
        <w:tc>
          <w:tcPr>
            <w:tcW w:w="1418" w:type="dxa"/>
            <w:shd w:val="clear" w:color="auto" w:fill="C6EFCE"/>
          </w:tcPr>
          <w:p w:rsidRPr="00062C72" w:rsidR="00D87E44" w:rsidRDefault="00D87E44" w14:paraId="15457A5D"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Investment 2: European Reference Testing and Experimentation facility</w:t>
            </w:r>
          </w:p>
        </w:tc>
        <w:tc>
          <w:tcPr>
            <w:tcW w:w="992" w:type="dxa"/>
            <w:shd w:val="clear" w:color="auto" w:fill="C6EFCE"/>
          </w:tcPr>
          <w:p w:rsidRPr="00062C72" w:rsidR="00D87E44" w:rsidRDefault="00D87E44" w14:paraId="15457A5E"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Target</w:t>
            </w:r>
          </w:p>
        </w:tc>
        <w:tc>
          <w:tcPr>
            <w:tcW w:w="1430" w:type="dxa"/>
            <w:shd w:val="clear" w:color="auto" w:fill="C6EFCE"/>
          </w:tcPr>
          <w:p w:rsidRPr="00062C72" w:rsidR="00D87E44" w:rsidRDefault="00D87E44" w14:paraId="15457A5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Disbursement of funds to the European Reference Testing and Experimentation facility</w:t>
            </w:r>
          </w:p>
        </w:tc>
        <w:tc>
          <w:tcPr>
            <w:tcW w:w="1172" w:type="dxa"/>
            <w:shd w:val="clear" w:color="auto" w:fill="C6EFCE"/>
          </w:tcPr>
          <w:p w:rsidRPr="00062C72" w:rsidR="00D87E44" w:rsidRDefault="00D87E44" w14:paraId="15457A60" w14:textId="77777777">
            <w:pPr>
              <w:spacing w:before="0" w:after="0" w:line="240" w:lineRule="auto"/>
              <w:rPr>
                <w:rFonts w:eastAsia="Times New Roman"/>
                <w:noProof/>
                <w:color w:val="004300"/>
                <w:sz w:val="18"/>
                <w:szCs w:val="18"/>
                <w:lang w:val="en-IE" w:eastAsia="en-GB"/>
              </w:rPr>
            </w:pPr>
          </w:p>
        </w:tc>
        <w:tc>
          <w:tcPr>
            <w:tcW w:w="1068" w:type="dxa"/>
            <w:shd w:val="clear" w:color="auto" w:fill="C6EFCE"/>
          </w:tcPr>
          <w:p w:rsidRPr="00062C72" w:rsidR="00D87E44" w:rsidRDefault="00D87E44" w14:paraId="15457A61"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EUR</w:t>
            </w:r>
          </w:p>
        </w:tc>
        <w:tc>
          <w:tcPr>
            <w:tcW w:w="1015" w:type="dxa"/>
            <w:shd w:val="clear" w:color="auto" w:fill="C6EFCE"/>
          </w:tcPr>
          <w:p w:rsidRPr="00062C72" w:rsidR="00D87E44" w:rsidRDefault="00D87E44" w14:paraId="15457A62"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0</w:t>
            </w:r>
          </w:p>
        </w:tc>
        <w:tc>
          <w:tcPr>
            <w:tcW w:w="1068" w:type="dxa"/>
            <w:shd w:val="clear" w:color="auto" w:fill="C6EFCE"/>
          </w:tcPr>
          <w:p w:rsidRPr="00062C72" w:rsidR="00D87E44" w:rsidRDefault="00D87E44" w14:paraId="15457A63"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2.3 million</w:t>
            </w:r>
          </w:p>
        </w:tc>
        <w:tc>
          <w:tcPr>
            <w:tcW w:w="1014" w:type="dxa"/>
            <w:shd w:val="clear" w:color="auto" w:fill="C6EFCE"/>
          </w:tcPr>
          <w:p w:rsidRPr="00062C72" w:rsidR="00D87E44" w:rsidRDefault="00D87E44" w14:paraId="15457A64"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Q4</w:t>
            </w:r>
          </w:p>
        </w:tc>
        <w:tc>
          <w:tcPr>
            <w:tcW w:w="990" w:type="dxa"/>
            <w:shd w:val="clear" w:color="auto" w:fill="C6EFCE"/>
          </w:tcPr>
          <w:p w:rsidRPr="00062C72" w:rsidR="00D87E44" w:rsidRDefault="00D87E44" w14:paraId="15457A65"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2024</w:t>
            </w:r>
          </w:p>
        </w:tc>
        <w:tc>
          <w:tcPr>
            <w:tcW w:w="4347" w:type="dxa"/>
            <w:shd w:val="clear" w:color="auto" w:fill="C6EFCE"/>
          </w:tcPr>
          <w:p w:rsidRPr="00062C72" w:rsidR="00D87E44" w:rsidRDefault="00D87E44" w14:paraId="15457A66"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At least EUR 2.3 million shall be paid to European </w:t>
            </w:r>
            <w:r w:rsidRPr="00062C72">
              <w:rPr>
                <w:rFonts w:eastAsia="Times New Roman"/>
                <w:noProof/>
                <w:color w:val="004300"/>
                <w:sz w:val="18"/>
                <w:szCs w:val="18"/>
                <w:lang w:val="en-IE" w:eastAsia="en-GB"/>
              </w:rPr>
              <w:t>Reference Testing and Experimentation facility for the services and activitites aiming at allowing companies to test technologies and applications.</w:t>
            </w:r>
          </w:p>
          <w:p w:rsidRPr="00062C72" w:rsidR="00D87E44" w:rsidRDefault="00D87E44" w14:paraId="15457A67" w14:textId="77777777">
            <w:pPr>
              <w:spacing w:before="0" w:after="0" w:line="240" w:lineRule="auto"/>
              <w:rPr>
                <w:rFonts w:eastAsia="Times New Roman"/>
                <w:noProof/>
                <w:color w:val="004300"/>
                <w:sz w:val="18"/>
                <w:szCs w:val="18"/>
                <w:lang w:val="en-IE" w:eastAsia="en-GB"/>
              </w:rPr>
            </w:pPr>
            <w:r w:rsidRPr="00062C72" w:rsidDel="00426560">
              <w:rPr>
                <w:rFonts w:eastAsia="Times New Roman"/>
                <w:noProof/>
                <w:color w:val="004300"/>
                <w:sz w:val="18"/>
                <w:szCs w:val="18"/>
                <w:lang w:val="en-IE" w:eastAsia="en-GB"/>
              </w:rPr>
              <w:t xml:space="preserve">Any amounts provided by other Union programmes or instruments shall not be counted towards this </w:t>
            </w:r>
            <w:r w:rsidRPr="00062C72">
              <w:rPr>
                <w:rFonts w:eastAsia="Times New Roman"/>
                <w:noProof/>
                <w:color w:val="004300"/>
                <w:sz w:val="18"/>
                <w:szCs w:val="18"/>
                <w:lang w:val="en-IE" w:eastAsia="en-GB"/>
              </w:rPr>
              <w:t xml:space="preserve">amount. </w:t>
            </w:r>
          </w:p>
        </w:tc>
      </w:tr>
      <w:tr w:rsidRPr="00FE48E2" w:rsidR="00E3458A" w14:paraId="15457A74" w14:textId="77777777">
        <w:trPr>
          <w:trHeight w:val="945"/>
          <w:jc w:val="center"/>
        </w:trPr>
        <w:tc>
          <w:tcPr>
            <w:tcW w:w="851" w:type="dxa"/>
            <w:shd w:val="clear" w:color="auto" w:fill="C6EFCE"/>
          </w:tcPr>
          <w:p w:rsidRPr="00062C72" w:rsidR="00D87E44" w:rsidRDefault="00D87E44" w14:paraId="15457A69"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71</w:t>
            </w:r>
          </w:p>
        </w:tc>
        <w:tc>
          <w:tcPr>
            <w:tcW w:w="1418" w:type="dxa"/>
            <w:shd w:val="clear" w:color="auto" w:fill="C6EFCE"/>
          </w:tcPr>
          <w:p w:rsidRPr="00062C72" w:rsidR="00D87E44" w:rsidRDefault="00D87E44" w14:paraId="15457A6A"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Investment 3: Digital transformation of </w:t>
            </w:r>
            <w:r>
              <w:rPr>
                <w:rFonts w:eastAsia="Times New Roman"/>
                <w:noProof/>
                <w:color w:val="004300"/>
                <w:sz w:val="18"/>
                <w:szCs w:val="18"/>
                <w:lang w:val="en-IE" w:eastAsia="en-GB"/>
              </w:rPr>
              <w:t>businesses</w:t>
            </w:r>
          </w:p>
        </w:tc>
        <w:tc>
          <w:tcPr>
            <w:tcW w:w="992" w:type="dxa"/>
            <w:shd w:val="clear" w:color="auto" w:fill="C6EFCE"/>
          </w:tcPr>
          <w:p w:rsidRPr="00062C72" w:rsidR="00D87E44" w:rsidRDefault="00D87E44" w14:paraId="15457A6B"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Target</w:t>
            </w:r>
          </w:p>
        </w:tc>
        <w:tc>
          <w:tcPr>
            <w:tcW w:w="1430" w:type="dxa"/>
            <w:shd w:val="clear" w:color="auto" w:fill="C6EFCE"/>
          </w:tcPr>
          <w:p w:rsidRPr="00062C72" w:rsidR="00D87E44" w:rsidRDefault="00D87E44" w14:paraId="15457A6C"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S</w:t>
            </w:r>
            <w:r w:rsidRPr="00062C72">
              <w:rPr>
                <w:rFonts w:eastAsia="Times New Roman"/>
                <w:noProof/>
                <w:color w:val="004300"/>
                <w:sz w:val="18"/>
                <w:szCs w:val="18"/>
                <w:lang w:val="en-IE" w:eastAsia="en-GB"/>
              </w:rPr>
              <w:t xml:space="preserve">upport to </w:t>
            </w:r>
            <w:r>
              <w:rPr>
                <w:rFonts w:eastAsia="Times New Roman"/>
                <w:noProof/>
                <w:color w:val="004300"/>
                <w:sz w:val="18"/>
                <w:szCs w:val="18"/>
                <w:lang w:val="en-IE" w:eastAsia="en-GB"/>
              </w:rPr>
              <w:t>businesses</w:t>
            </w:r>
            <w:r w:rsidRPr="00062C72">
              <w:rPr>
                <w:rFonts w:eastAsia="Times New Roman"/>
                <w:noProof/>
                <w:color w:val="004300"/>
                <w:sz w:val="18"/>
                <w:szCs w:val="18"/>
                <w:lang w:val="en-IE" w:eastAsia="en-GB"/>
              </w:rPr>
              <w:t xml:space="preserve"> for digital transformation </w:t>
            </w:r>
          </w:p>
        </w:tc>
        <w:tc>
          <w:tcPr>
            <w:tcW w:w="1172" w:type="dxa"/>
            <w:shd w:val="clear" w:color="auto" w:fill="C6EFCE"/>
          </w:tcPr>
          <w:p w:rsidRPr="00062C72" w:rsidR="00D87E44" w:rsidRDefault="00D87E44" w14:paraId="15457A6D" w14:textId="77777777">
            <w:pPr>
              <w:spacing w:before="0" w:after="0" w:line="240" w:lineRule="auto"/>
              <w:rPr>
                <w:rFonts w:eastAsia="Times New Roman"/>
                <w:noProof/>
                <w:color w:val="004300"/>
                <w:sz w:val="18"/>
                <w:szCs w:val="18"/>
                <w:lang w:val="en-IE" w:eastAsia="en-GB"/>
              </w:rPr>
            </w:pPr>
          </w:p>
        </w:tc>
        <w:tc>
          <w:tcPr>
            <w:tcW w:w="1068" w:type="dxa"/>
            <w:shd w:val="clear" w:color="auto" w:fill="C6EFCE"/>
          </w:tcPr>
          <w:p w:rsidRPr="00062C72" w:rsidR="00D87E44" w:rsidRDefault="00D87E44" w14:paraId="15457A6E"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Number of </w:t>
            </w:r>
            <w:r>
              <w:rPr>
                <w:rFonts w:eastAsia="Times New Roman"/>
                <w:noProof/>
                <w:color w:val="004300"/>
                <w:sz w:val="18"/>
                <w:szCs w:val="18"/>
                <w:lang w:val="en-IE" w:eastAsia="en-GB"/>
              </w:rPr>
              <w:t>businesses</w:t>
            </w:r>
          </w:p>
        </w:tc>
        <w:tc>
          <w:tcPr>
            <w:tcW w:w="1015" w:type="dxa"/>
            <w:shd w:val="clear" w:color="auto" w:fill="C6EFCE"/>
          </w:tcPr>
          <w:p w:rsidRPr="00062C72" w:rsidR="00D87E44" w:rsidRDefault="00D87E44" w14:paraId="15457A6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0</w:t>
            </w:r>
          </w:p>
        </w:tc>
        <w:tc>
          <w:tcPr>
            <w:tcW w:w="1068" w:type="dxa"/>
            <w:shd w:val="clear" w:color="auto" w:fill="C6EFCE"/>
          </w:tcPr>
          <w:p w:rsidRPr="00062C72" w:rsidR="00D87E44" w:rsidRDefault="00D87E44" w14:paraId="15457A70"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377 </w:t>
            </w:r>
          </w:p>
        </w:tc>
        <w:tc>
          <w:tcPr>
            <w:tcW w:w="1014" w:type="dxa"/>
            <w:shd w:val="clear" w:color="auto" w:fill="C6EFCE"/>
          </w:tcPr>
          <w:p w:rsidRPr="00062C72" w:rsidR="00D87E44" w:rsidRDefault="00D87E44" w14:paraId="15457A71"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Q2</w:t>
            </w:r>
          </w:p>
        </w:tc>
        <w:tc>
          <w:tcPr>
            <w:tcW w:w="990" w:type="dxa"/>
            <w:shd w:val="clear" w:color="auto" w:fill="C6EFCE"/>
          </w:tcPr>
          <w:p w:rsidRPr="00062C72" w:rsidR="00D87E44" w:rsidRDefault="00D87E44" w14:paraId="15457A72"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2025</w:t>
            </w:r>
          </w:p>
        </w:tc>
        <w:tc>
          <w:tcPr>
            <w:tcW w:w="4347" w:type="dxa"/>
            <w:shd w:val="clear" w:color="auto" w:fill="C6EFCE"/>
          </w:tcPr>
          <w:p w:rsidRPr="00062C72" w:rsidR="00D87E44" w:rsidRDefault="00D87E44" w14:paraId="15457A73"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377 </w:t>
            </w:r>
            <w:r>
              <w:rPr>
                <w:rFonts w:eastAsia="Times New Roman"/>
                <w:noProof/>
                <w:color w:val="004300"/>
                <w:sz w:val="18"/>
                <w:szCs w:val="18"/>
                <w:lang w:val="en-IE" w:eastAsia="en-GB"/>
              </w:rPr>
              <w:t>businesses</w:t>
            </w:r>
            <w:r w:rsidRPr="00062C72">
              <w:rPr>
                <w:rFonts w:eastAsia="Times New Roman"/>
                <w:noProof/>
                <w:color w:val="004300"/>
                <w:sz w:val="18"/>
                <w:szCs w:val="18"/>
                <w:lang w:val="en-IE" w:eastAsia="en-GB"/>
              </w:rPr>
              <w:t xml:space="preserve"> shall </w:t>
            </w:r>
            <w:r>
              <w:rPr>
                <w:rFonts w:eastAsia="Times New Roman"/>
                <w:noProof/>
                <w:color w:val="004300"/>
                <w:sz w:val="18"/>
                <w:szCs w:val="18"/>
                <w:lang w:val="en-IE" w:eastAsia="en-GB"/>
              </w:rPr>
              <w:t>receive</w:t>
            </w:r>
            <w:r w:rsidRPr="00062C72">
              <w:rPr>
                <w:rFonts w:eastAsia="Times New Roman"/>
                <w:noProof/>
                <w:color w:val="004300"/>
                <w:sz w:val="18"/>
                <w:szCs w:val="18"/>
                <w:lang w:val="en-IE" w:eastAsia="en-GB"/>
              </w:rPr>
              <w:t xml:space="preserve"> </w:t>
            </w:r>
            <w:r>
              <w:rPr>
                <w:rFonts w:eastAsia="Times New Roman"/>
                <w:noProof/>
                <w:color w:val="004300"/>
                <w:sz w:val="18"/>
                <w:szCs w:val="18"/>
                <w:lang w:val="en-IE" w:eastAsia="en-GB"/>
              </w:rPr>
              <w:t xml:space="preserve">financial </w:t>
            </w:r>
            <w:r w:rsidRPr="20E15C5D">
              <w:rPr>
                <w:rFonts w:eastAsia="Times New Roman"/>
                <w:noProof/>
                <w:color w:val="004300"/>
                <w:sz w:val="18"/>
                <w:szCs w:val="18"/>
                <w:lang w:val="en-IE" w:eastAsia="en-GB"/>
              </w:rPr>
              <w:t>support</w:t>
            </w:r>
            <w:r>
              <w:rPr>
                <w:rFonts w:eastAsia="Times New Roman"/>
                <w:noProof/>
                <w:color w:val="004300"/>
                <w:sz w:val="18"/>
                <w:szCs w:val="18"/>
                <w:lang w:val="en-IE" w:eastAsia="en-GB"/>
              </w:rPr>
              <w:t xml:space="preserve"> for their digital transformation</w:t>
            </w:r>
            <w:r w:rsidRPr="20E15C5D">
              <w:rPr>
                <w:rFonts w:eastAsia="Times New Roman"/>
                <w:noProof/>
                <w:color w:val="004300"/>
                <w:sz w:val="18"/>
                <w:szCs w:val="18"/>
                <w:lang w:val="en-IE" w:eastAsia="en-GB"/>
              </w:rPr>
              <w:t>.</w:t>
            </w:r>
            <w:r w:rsidRPr="00062C72">
              <w:rPr>
                <w:rFonts w:eastAsia="Times New Roman"/>
                <w:noProof/>
                <w:color w:val="004300"/>
                <w:sz w:val="18"/>
                <w:szCs w:val="18"/>
                <w:lang w:val="en-IE" w:eastAsia="en-GB"/>
              </w:rPr>
              <w:t xml:space="preserve"> </w:t>
            </w:r>
          </w:p>
        </w:tc>
      </w:tr>
      <w:tr w:rsidRPr="00FE48E2" w:rsidR="00E3458A" w14:paraId="15457A80" w14:textId="77777777">
        <w:trPr>
          <w:trHeight w:val="945"/>
          <w:jc w:val="center"/>
        </w:trPr>
        <w:tc>
          <w:tcPr>
            <w:tcW w:w="851" w:type="dxa"/>
            <w:shd w:val="clear" w:color="auto" w:fill="C6EFCE"/>
          </w:tcPr>
          <w:p w:rsidRPr="00062C72" w:rsidR="00D87E44" w:rsidRDefault="00D87E44" w14:paraId="15457A75" w14:textId="77777777">
            <w:pPr>
              <w:spacing w:before="0" w:after="0" w:line="240" w:lineRule="auto"/>
              <w:rPr>
                <w:rFonts w:eastAsia="Times New Roman"/>
                <w:noProof/>
                <w:color w:val="004300"/>
                <w:sz w:val="18"/>
                <w:szCs w:val="18"/>
                <w:lang w:val="en-IE" w:eastAsia="en-GB"/>
              </w:rPr>
            </w:pPr>
            <w:r w:rsidRPr="007E3B15">
              <w:rPr>
                <w:rFonts w:eastAsia="Times New Roman"/>
                <w:noProof/>
                <w:color w:val="004300"/>
                <w:sz w:val="18"/>
                <w:szCs w:val="18"/>
                <w:lang w:val="en-IE" w:eastAsia="en-GB"/>
              </w:rPr>
              <w:t>255</w:t>
            </w:r>
          </w:p>
        </w:tc>
        <w:tc>
          <w:tcPr>
            <w:tcW w:w="1418" w:type="dxa"/>
            <w:shd w:val="clear" w:color="auto" w:fill="C6EFCE"/>
          </w:tcPr>
          <w:p w:rsidRPr="00062C72" w:rsidR="00D87E44" w:rsidRDefault="00D87E44" w14:paraId="15457A7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w:t>
            </w:r>
            <w:r w:rsidRPr="6190607B">
              <w:rPr>
                <w:rFonts w:eastAsia="Times New Roman"/>
                <w:noProof/>
                <w:color w:val="004300"/>
                <w:sz w:val="18"/>
                <w:szCs w:val="18"/>
                <w:lang w:val="en-IE" w:eastAsia="en-GB"/>
              </w:rPr>
              <w:t>5</w:t>
            </w:r>
            <w:r w:rsidRPr="00FE48E2">
              <w:rPr>
                <w:rFonts w:eastAsia="Times New Roman"/>
                <w:noProof/>
                <w:color w:val="004300"/>
                <w:sz w:val="18"/>
                <w:szCs w:val="18"/>
                <w:lang w:val="en-IE" w:eastAsia="en-GB"/>
              </w:rPr>
              <w:t xml:space="preserve">: IPCEI Microelectronics and Communication </w:t>
            </w:r>
            <w:r w:rsidRPr="00FE48E2">
              <w:rPr>
                <w:rFonts w:eastAsia="Times New Roman"/>
                <w:noProof/>
                <w:color w:val="004300"/>
                <w:sz w:val="18"/>
                <w:szCs w:val="18"/>
                <w:lang w:val="en-IE" w:eastAsia="en-GB"/>
              </w:rPr>
              <w:lastRenderedPageBreak/>
              <w:t>Technologies</w:t>
            </w:r>
            <w:r w:rsidRPr="6190607B">
              <w:rPr>
                <w:rFonts w:eastAsia="Times New Roman"/>
                <w:noProof/>
                <w:color w:val="004300"/>
                <w:sz w:val="18"/>
                <w:szCs w:val="18"/>
                <w:lang w:val="en-IE" w:eastAsia="en-GB"/>
              </w:rPr>
              <w:t xml:space="preserve"> (grants)</w:t>
            </w:r>
          </w:p>
        </w:tc>
        <w:tc>
          <w:tcPr>
            <w:tcW w:w="992" w:type="dxa"/>
            <w:shd w:val="clear" w:color="auto" w:fill="C6EFCE"/>
          </w:tcPr>
          <w:p w:rsidRPr="00062C72" w:rsidR="00D87E44" w:rsidRDefault="00D87E44" w14:paraId="15457A7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Target</w:t>
            </w:r>
          </w:p>
        </w:tc>
        <w:tc>
          <w:tcPr>
            <w:tcW w:w="1430" w:type="dxa"/>
            <w:shd w:val="clear" w:color="auto" w:fill="C6EFCE"/>
          </w:tcPr>
          <w:p w:rsidRPr="00062C72" w:rsidR="00D87E44" w:rsidRDefault="00D87E44" w14:paraId="15457A78"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P</w:t>
            </w:r>
            <w:r w:rsidRPr="00FE48E2">
              <w:rPr>
                <w:rFonts w:eastAsia="Times New Roman"/>
                <w:noProof/>
                <w:color w:val="004300"/>
                <w:sz w:val="18"/>
                <w:szCs w:val="18"/>
                <w:lang w:val="en-IE" w:eastAsia="en-GB"/>
              </w:rPr>
              <w:t>ilot solutions</w:t>
            </w:r>
          </w:p>
        </w:tc>
        <w:tc>
          <w:tcPr>
            <w:tcW w:w="1172" w:type="dxa"/>
            <w:shd w:val="clear" w:color="auto" w:fill="C6EFCE"/>
          </w:tcPr>
          <w:p w:rsidRPr="00062C72" w:rsidR="00D87E44" w:rsidRDefault="00D87E44" w14:paraId="15457A79" w14:textId="77777777">
            <w:pPr>
              <w:spacing w:before="0" w:after="0" w:line="240" w:lineRule="auto"/>
              <w:rPr>
                <w:rFonts w:eastAsia="Times New Roman"/>
                <w:noProof/>
                <w:color w:val="004300"/>
                <w:sz w:val="18"/>
                <w:szCs w:val="18"/>
                <w:lang w:val="en-IE" w:eastAsia="en-GB"/>
              </w:rPr>
            </w:pPr>
          </w:p>
        </w:tc>
        <w:tc>
          <w:tcPr>
            <w:tcW w:w="1068" w:type="dxa"/>
            <w:shd w:val="clear" w:color="auto" w:fill="C6EFCE"/>
          </w:tcPr>
          <w:p w:rsidRPr="00062C72" w:rsidR="00D87E44" w:rsidRDefault="00D87E44" w14:paraId="15457A7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w:t>
            </w:r>
          </w:p>
        </w:tc>
        <w:tc>
          <w:tcPr>
            <w:tcW w:w="1015" w:type="dxa"/>
            <w:shd w:val="clear" w:color="auto" w:fill="C6EFCE"/>
          </w:tcPr>
          <w:p w:rsidRPr="00062C72" w:rsidR="00D87E44" w:rsidRDefault="00D87E44" w14:paraId="15457A7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68" w:type="dxa"/>
            <w:shd w:val="clear" w:color="auto" w:fill="C6EFCE"/>
          </w:tcPr>
          <w:p w:rsidRPr="00062C72" w:rsidR="00D87E44" w:rsidRDefault="00D87E44" w14:paraId="15457A7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4</w:t>
            </w:r>
          </w:p>
        </w:tc>
        <w:tc>
          <w:tcPr>
            <w:tcW w:w="1014" w:type="dxa"/>
            <w:shd w:val="clear" w:color="auto" w:fill="C6EFCE"/>
          </w:tcPr>
          <w:p w:rsidRPr="00062C72" w:rsidR="00D87E44" w:rsidRDefault="00D87E44" w14:paraId="15457A7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w:t>
            </w:r>
            <w:r>
              <w:rPr>
                <w:rFonts w:eastAsia="Times New Roman"/>
                <w:noProof/>
                <w:color w:val="004300"/>
                <w:sz w:val="18"/>
                <w:szCs w:val="18"/>
                <w:lang w:val="en-IE" w:eastAsia="en-GB"/>
              </w:rPr>
              <w:t>2</w:t>
            </w:r>
          </w:p>
        </w:tc>
        <w:tc>
          <w:tcPr>
            <w:tcW w:w="990" w:type="dxa"/>
            <w:shd w:val="clear" w:color="auto" w:fill="C6EFCE"/>
          </w:tcPr>
          <w:p w:rsidRPr="00062C72" w:rsidR="00D87E44" w:rsidRDefault="00D87E44" w14:paraId="15457A7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2026</w:t>
            </w:r>
          </w:p>
        </w:tc>
        <w:tc>
          <w:tcPr>
            <w:tcW w:w="4347" w:type="dxa"/>
            <w:shd w:val="clear" w:color="auto" w:fill="C6EFCE"/>
          </w:tcPr>
          <w:p w:rsidRPr="00062C72" w:rsidR="00D87E44" w:rsidRDefault="00D87E44" w14:paraId="15457A7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One pilot solution per project shall be </w:t>
            </w:r>
            <w:r>
              <w:rPr>
                <w:rFonts w:eastAsia="Times New Roman"/>
                <w:noProof/>
                <w:color w:val="004300"/>
                <w:sz w:val="18"/>
                <w:szCs w:val="18"/>
                <w:lang w:val="en-IE" w:eastAsia="en-GB"/>
              </w:rPr>
              <w:t>created</w:t>
            </w:r>
            <w:r w:rsidRPr="00062C72">
              <w:rPr>
                <w:rFonts w:eastAsia="Times New Roman"/>
                <w:noProof/>
                <w:color w:val="004300"/>
                <w:sz w:val="18"/>
                <w:szCs w:val="18"/>
                <w:lang w:val="en-IE" w:eastAsia="en-GB"/>
              </w:rPr>
              <w:t xml:space="preserve"> and 90% of the funding disbursed.</w:t>
            </w:r>
          </w:p>
        </w:tc>
      </w:tr>
    </w:tbl>
    <w:p w:rsidRPr="00FE48E2" w:rsidR="00D87E44" w:rsidP="00D226F4" w:rsidRDefault="00D87E44" w14:paraId="15457A81" w14:textId="77777777">
      <w:pPr>
        <w:tabs>
          <w:tab w:val="left" w:pos="993"/>
        </w:tabs>
        <w:spacing w:line="240" w:lineRule="auto"/>
        <w:jc w:val="both"/>
        <w:rPr>
          <w:b/>
          <w:noProof/>
          <w:u w:val="single"/>
          <w:lang w:val="en-IE"/>
        </w:rPr>
        <w:sectPr w:rsidRPr="00FE48E2" w:rsidR="00C16C1F" w:rsidSect="00D226F4">
          <w:headerReference w:type="even" r:id="R05237445d7e84acf"/>
          <w:headerReference w:type="default" r:id="Rf0f36df2cc644d61"/>
          <w:footerReference w:type="even" r:id="R1de71064e6c54491"/>
          <w:footerReference w:type="default" r:id="R299a9ffa85904c1e"/>
          <w:headerReference w:type="first" r:id="R1fb8909d648c48ab"/>
          <w:footerReference w:type="first" r:id="R4f1d8cb39d2f4bfa"/>
          <w:pgSz w:w="16839" w:h="11907" w:orient="landscape"/>
          <w:pgMar w:top="1134" w:right="1134" w:bottom="1134" w:left="1134" w:header="567" w:footer="567" w:gutter="0"/>
          <w:cols w:space="720"/>
          <w:docGrid w:linePitch="326"/>
        </w:sectPr>
      </w:pPr>
    </w:p>
    <w:p w:rsidRPr="00E6515D" w:rsidR="00D87E44" w:rsidP="00D226F4" w:rsidRDefault="00D87E44" w14:paraId="15457A82" w14:textId="77777777">
      <w:pPr>
        <w:spacing w:line="240" w:lineRule="auto"/>
        <w:jc w:val="both"/>
        <w:rPr>
          <w:b/>
          <w:bCs/>
          <w:noProof/>
          <w:u w:val="single"/>
          <w:lang w:val="en-IE"/>
        </w:rPr>
      </w:pPr>
      <w:r w:rsidRPr="10F35EE1">
        <w:rPr>
          <w:b/>
          <w:bCs/>
          <w:noProof/>
          <w:u w:val="single"/>
          <w:lang w:val="en-IE"/>
        </w:rPr>
        <w:lastRenderedPageBreak/>
        <w:t>E.3. Description of the reforms and investments for the loan</w:t>
      </w:r>
    </w:p>
    <w:p w:rsidRPr="00FE48E2" w:rsidR="00D87E44" w:rsidP="00D226F4" w:rsidRDefault="00D87E44" w14:paraId="15457A83" w14:textId="77777777">
      <w:pPr>
        <w:rPr>
          <w:rFonts w:eastAsia="Times New Roman"/>
          <w:b/>
          <w:noProof/>
          <w:szCs w:val="24"/>
          <w:lang w:val="en-IE"/>
        </w:rPr>
      </w:pPr>
      <w:r w:rsidRPr="008C7FAF">
        <w:rPr>
          <w:rFonts w:eastAsia="Times New Roman"/>
          <w:b/>
          <w:noProof/>
          <w:szCs w:val="24"/>
          <w:lang w:val="en-IE"/>
        </w:rPr>
        <w:t>Investment 4 - IPCEI Microelectronics and Communication Technologies (loans)</w:t>
      </w:r>
    </w:p>
    <w:p w:rsidRPr="00FE48E2" w:rsidR="00D87E44" w:rsidP="00D226F4" w:rsidRDefault="00D87E44" w14:paraId="15457A84" w14:textId="77777777">
      <w:pPr>
        <w:autoSpaceDE w:val="0"/>
        <w:autoSpaceDN w:val="0"/>
        <w:adjustRightInd w:val="0"/>
        <w:spacing w:line="240" w:lineRule="auto"/>
        <w:jc w:val="both"/>
        <w:rPr>
          <w:rFonts w:eastAsia="Times New Roman"/>
          <w:noProof/>
          <w:szCs w:val="24"/>
          <w:lang w:val="en-IE"/>
        </w:rPr>
      </w:pPr>
      <w:r>
        <w:rPr>
          <w:rFonts w:eastAsia="Times New Roman"/>
          <w:noProof/>
          <w:szCs w:val="24"/>
          <w:lang w:val="en-IE"/>
        </w:rPr>
        <w:t xml:space="preserve">Loan top-up to the grant part of the investment. </w:t>
      </w:r>
      <w:r w:rsidRPr="00FE48E2">
        <w:rPr>
          <w:rFonts w:eastAsia="Times New Roman"/>
          <w:noProof/>
          <w:szCs w:val="24"/>
          <w:lang w:val="en-IE"/>
        </w:rPr>
        <w:t>The investment aims to provide support in the form of direct grant financing to selected companies participating in four projects, which are part of IPCEI Microelectronics and Communication Technologies.</w:t>
      </w:r>
      <w:r>
        <w:rPr>
          <w:rFonts w:eastAsia="Times New Roman"/>
          <w:noProof/>
          <w:szCs w:val="24"/>
          <w:lang w:val="en-IE"/>
        </w:rPr>
        <w:t xml:space="preserve"> G</w:t>
      </w:r>
      <w:r w:rsidRPr="00CC163B">
        <w:rPr>
          <w:rFonts w:eastAsia="Times New Roman"/>
          <w:noProof/>
          <w:szCs w:val="24"/>
          <w:lang w:val="en-IE"/>
        </w:rPr>
        <w:t>rant agreement</w:t>
      </w:r>
      <w:r>
        <w:rPr>
          <w:rFonts w:eastAsia="Times New Roman"/>
          <w:noProof/>
          <w:szCs w:val="24"/>
          <w:lang w:val="en-IE"/>
        </w:rPr>
        <w:t>s</w:t>
      </w:r>
      <w:r w:rsidRPr="00CC163B">
        <w:rPr>
          <w:rFonts w:eastAsia="Times New Roman"/>
          <w:noProof/>
          <w:szCs w:val="24"/>
          <w:lang w:val="en-IE"/>
        </w:rPr>
        <w:t xml:space="preserve"> shall be signed with selected companies participating in IPCEI ME/CT projects</w:t>
      </w:r>
      <w:r>
        <w:rPr>
          <w:rFonts w:eastAsia="Times New Roman"/>
          <w:noProof/>
          <w:szCs w:val="24"/>
          <w:lang w:val="en-IE"/>
        </w:rPr>
        <w:t>.</w:t>
      </w:r>
    </w:p>
    <w:p w:rsidRPr="00FE48E2" w:rsidR="00D87E44" w:rsidP="00FF1320" w:rsidRDefault="00D87E44" w14:paraId="15457A85" w14:textId="77777777">
      <w:pPr>
        <w:autoSpaceDE w:val="0"/>
        <w:autoSpaceDN w:val="0"/>
        <w:adjustRightInd w:val="0"/>
        <w:spacing w:line="240" w:lineRule="auto"/>
        <w:rPr>
          <w:rFonts w:eastAsia="Times New Roman"/>
          <w:noProof/>
          <w:szCs w:val="24"/>
          <w:lang w:val="en-IE"/>
        </w:rPr>
        <w:sectPr w:rsidRPr="00FE48E2" w:rsidR="00C16C1F" w:rsidSect="00D226F4">
          <w:headerReference w:type="even" r:id="R0a651d0998e041b9"/>
          <w:headerReference w:type="default" r:id="R7c5e7bfb9ee44846"/>
          <w:footerReference w:type="even" r:id="R023243bd7fbb48c6"/>
          <w:footerReference w:type="default" r:id="Rbadda925d21c4b73"/>
          <w:headerReference w:type="first" r:id="Rf8247822bf7543a2"/>
          <w:footerReference w:type="first" r:id="Rc2910c22899d4eea"/>
          <w:pgSz w:w="11907" w:h="16839"/>
          <w:pgMar w:top="1134" w:right="1134" w:bottom="1134" w:left="1134" w:header="567" w:footer="567" w:gutter="0"/>
          <w:cols w:space="720"/>
          <w:docGrid w:linePitch="326"/>
        </w:sectPr>
      </w:pPr>
      <w:r w:rsidRPr="00FE48E2">
        <w:rPr>
          <w:rFonts w:eastAsia="Times New Roman"/>
          <w:noProof/>
          <w:szCs w:val="24"/>
          <w:lang w:val="en-IE"/>
        </w:rPr>
        <w:t>The investment shall be implemented by 30 June 202</w:t>
      </w:r>
      <w:r>
        <w:rPr>
          <w:rFonts w:eastAsia="Times New Roman"/>
          <w:noProof/>
          <w:szCs w:val="24"/>
          <w:lang w:val="en-IE"/>
        </w:rPr>
        <w:t>4</w:t>
      </w:r>
    </w:p>
    <w:p w:rsidRPr="00E6515D" w:rsidR="00D87E44" w:rsidP="00D226F4" w:rsidRDefault="00D87E44" w14:paraId="15457A86" w14:textId="77777777">
      <w:pPr>
        <w:spacing w:line="240" w:lineRule="auto"/>
        <w:jc w:val="both"/>
        <w:rPr>
          <w:b/>
          <w:bCs/>
          <w:noProof/>
          <w:u w:val="single"/>
          <w:lang w:val="en-IE"/>
        </w:rPr>
      </w:pPr>
    </w:p>
    <w:p w:rsidRPr="00FE48E2" w:rsidR="00D87E44" w:rsidP="00D226F4" w:rsidRDefault="00D87E44" w14:paraId="15457A87" w14:textId="77777777">
      <w:pPr>
        <w:tabs>
          <w:tab w:val="left" w:pos="993"/>
        </w:tabs>
        <w:spacing w:line="240" w:lineRule="auto"/>
        <w:jc w:val="both"/>
        <w:rPr>
          <w:b/>
          <w:bCs/>
          <w:noProof/>
          <w:u w:val="single"/>
          <w:lang w:val="en-IE"/>
        </w:rPr>
      </w:pPr>
      <w:r w:rsidRPr="10F35EE1">
        <w:rPr>
          <w:b/>
          <w:bCs/>
          <w:noProof/>
          <w:u w:val="single"/>
          <w:lang w:val="en-IE"/>
        </w:rPr>
        <w:t xml:space="preserve">E.4. Milestones, targets, indicators, and timetable for </w:t>
      </w:r>
      <w:r w:rsidRPr="10F35EE1">
        <w:rPr>
          <w:b/>
          <w:bCs/>
          <w:noProof/>
          <w:u w:val="single"/>
          <w:lang w:val="en-IE"/>
        </w:rPr>
        <w:t>monitoring and implementation for the loan</w:t>
      </w:r>
    </w:p>
    <w:tbl>
      <w:tblPr>
        <w:tblW w:w="154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1060"/>
        <w:gridCol w:w="1542"/>
        <w:gridCol w:w="1093"/>
        <w:gridCol w:w="1467"/>
        <w:gridCol w:w="1704"/>
        <w:gridCol w:w="990"/>
        <w:gridCol w:w="990"/>
        <w:gridCol w:w="990"/>
        <w:gridCol w:w="1093"/>
        <w:gridCol w:w="632"/>
        <w:gridCol w:w="3891"/>
      </w:tblGrid>
      <w:tr w:rsidRPr="00FE48E2" w:rsidR="00E3458A" w14:paraId="15457A90" w14:textId="77777777">
        <w:trPr>
          <w:trHeight w:val="672"/>
          <w:tblHeader/>
          <w:jc w:val="center"/>
        </w:trPr>
        <w:tc>
          <w:tcPr>
            <w:tcW w:w="1060" w:type="dxa"/>
            <w:vMerge w:val="restart"/>
            <w:shd w:val="clear" w:color="auto" w:fill="BDD7EE"/>
            <w:vAlign w:val="center"/>
            <w:hideMark/>
          </w:tcPr>
          <w:p w:rsidRPr="00FE48E2" w:rsidR="00D87E44" w:rsidRDefault="00D87E44" w14:paraId="15457A88"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542" w:type="dxa"/>
            <w:vMerge w:val="restart"/>
            <w:shd w:val="clear" w:color="auto" w:fill="BDD7EE"/>
            <w:vAlign w:val="center"/>
            <w:hideMark/>
          </w:tcPr>
          <w:p w:rsidRPr="00FE48E2" w:rsidR="00D87E44" w:rsidRDefault="00D87E44" w14:paraId="15457A89"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093" w:type="dxa"/>
            <w:vMerge w:val="restart"/>
            <w:shd w:val="clear" w:color="auto" w:fill="BDD7EE"/>
            <w:vAlign w:val="center"/>
            <w:hideMark/>
          </w:tcPr>
          <w:p w:rsidRPr="00FE48E2" w:rsidR="00D87E44" w:rsidRDefault="00D87E44" w14:paraId="15457A8A"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67" w:type="dxa"/>
            <w:vMerge w:val="restart"/>
            <w:shd w:val="clear" w:color="auto" w:fill="BDD7EE"/>
            <w:vAlign w:val="center"/>
            <w:hideMark/>
          </w:tcPr>
          <w:p w:rsidRPr="00FE48E2" w:rsidR="00D87E44" w:rsidRDefault="00D87E44" w14:paraId="15457A8B"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04" w:type="dxa"/>
            <w:vMerge w:val="restart"/>
            <w:shd w:val="clear" w:color="auto" w:fill="BDD7EE"/>
            <w:vAlign w:val="center"/>
            <w:hideMark/>
          </w:tcPr>
          <w:p w:rsidRPr="00FE48E2" w:rsidR="00D87E44" w:rsidRDefault="00D87E44" w14:paraId="15457A8C"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970" w:type="dxa"/>
            <w:gridSpan w:val="3"/>
            <w:shd w:val="clear" w:color="auto" w:fill="BDD7EE"/>
            <w:vAlign w:val="center"/>
            <w:hideMark/>
          </w:tcPr>
          <w:p w:rsidRPr="00FE48E2" w:rsidR="00D87E44" w:rsidRDefault="00D87E44" w14:paraId="15457A8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725" w:type="dxa"/>
            <w:gridSpan w:val="2"/>
            <w:shd w:val="clear" w:color="auto" w:fill="BDD7EE"/>
            <w:vAlign w:val="center"/>
            <w:hideMark/>
          </w:tcPr>
          <w:p w:rsidRPr="00FE48E2" w:rsidR="00D87E44" w:rsidRDefault="00D87E44" w14:paraId="15457A8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891" w:type="dxa"/>
            <w:vMerge w:val="restart"/>
            <w:shd w:val="clear" w:color="auto" w:fill="BDD7EE"/>
            <w:vAlign w:val="center"/>
            <w:hideMark/>
          </w:tcPr>
          <w:p w:rsidRPr="00FE48E2" w:rsidR="00D87E44" w:rsidRDefault="00D87E44" w14:paraId="15457A8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7A9C" w14:textId="77777777">
        <w:trPr>
          <w:trHeight w:val="458"/>
          <w:tblHeader/>
          <w:jc w:val="center"/>
        </w:trPr>
        <w:tc>
          <w:tcPr>
            <w:tcW w:w="1060" w:type="dxa"/>
            <w:vMerge/>
            <w:vAlign w:val="center"/>
            <w:hideMark/>
          </w:tcPr>
          <w:p w:rsidRPr="00FE48E2" w:rsidR="00D87E44" w:rsidRDefault="00D87E44" w14:paraId="15457A91" w14:textId="77777777">
            <w:pPr>
              <w:spacing w:before="0" w:after="0" w:line="240" w:lineRule="auto"/>
              <w:rPr>
                <w:rFonts w:eastAsia="Times New Roman"/>
                <w:b/>
                <w:noProof/>
                <w:sz w:val="18"/>
                <w:szCs w:val="18"/>
                <w:lang w:val="en-IE"/>
              </w:rPr>
            </w:pPr>
          </w:p>
        </w:tc>
        <w:tc>
          <w:tcPr>
            <w:tcW w:w="1542" w:type="dxa"/>
            <w:vMerge/>
            <w:vAlign w:val="center"/>
            <w:hideMark/>
          </w:tcPr>
          <w:p w:rsidRPr="00FE48E2" w:rsidR="00D87E44" w:rsidRDefault="00D87E44" w14:paraId="15457A92" w14:textId="77777777">
            <w:pPr>
              <w:spacing w:before="0" w:after="0" w:line="240" w:lineRule="auto"/>
              <w:rPr>
                <w:rFonts w:eastAsia="Times New Roman"/>
                <w:b/>
                <w:noProof/>
                <w:sz w:val="18"/>
                <w:szCs w:val="18"/>
                <w:lang w:val="en-IE"/>
              </w:rPr>
            </w:pPr>
          </w:p>
        </w:tc>
        <w:tc>
          <w:tcPr>
            <w:tcW w:w="1093" w:type="dxa"/>
            <w:vMerge/>
            <w:vAlign w:val="center"/>
            <w:hideMark/>
          </w:tcPr>
          <w:p w:rsidRPr="00FE48E2" w:rsidR="00D87E44" w:rsidRDefault="00D87E44" w14:paraId="15457A93" w14:textId="77777777">
            <w:pPr>
              <w:spacing w:before="0" w:after="0" w:line="240" w:lineRule="auto"/>
              <w:rPr>
                <w:rFonts w:eastAsia="Times New Roman"/>
                <w:b/>
                <w:noProof/>
                <w:sz w:val="18"/>
                <w:szCs w:val="18"/>
                <w:lang w:val="en-IE"/>
              </w:rPr>
            </w:pPr>
          </w:p>
        </w:tc>
        <w:tc>
          <w:tcPr>
            <w:tcW w:w="1467" w:type="dxa"/>
            <w:vMerge/>
            <w:vAlign w:val="center"/>
            <w:hideMark/>
          </w:tcPr>
          <w:p w:rsidRPr="00FE48E2" w:rsidR="00D87E44" w:rsidRDefault="00D87E44" w14:paraId="15457A94" w14:textId="77777777">
            <w:pPr>
              <w:spacing w:before="0" w:after="0" w:line="240" w:lineRule="auto"/>
              <w:rPr>
                <w:rFonts w:eastAsia="Times New Roman"/>
                <w:b/>
                <w:noProof/>
                <w:sz w:val="18"/>
                <w:szCs w:val="18"/>
                <w:lang w:val="en-IE"/>
              </w:rPr>
            </w:pPr>
          </w:p>
        </w:tc>
        <w:tc>
          <w:tcPr>
            <w:tcW w:w="1704" w:type="dxa"/>
            <w:vMerge/>
            <w:vAlign w:val="center"/>
            <w:hideMark/>
          </w:tcPr>
          <w:p w:rsidRPr="00FE48E2" w:rsidR="00D87E44" w:rsidRDefault="00D87E44" w14:paraId="15457A95" w14:textId="77777777">
            <w:pPr>
              <w:spacing w:before="0" w:after="0" w:line="240" w:lineRule="auto"/>
              <w:rPr>
                <w:rFonts w:eastAsia="Times New Roman"/>
                <w:b/>
                <w:noProof/>
                <w:sz w:val="18"/>
                <w:szCs w:val="18"/>
                <w:lang w:val="en-IE"/>
              </w:rPr>
            </w:pPr>
          </w:p>
        </w:tc>
        <w:tc>
          <w:tcPr>
            <w:tcW w:w="990" w:type="dxa"/>
            <w:shd w:val="clear" w:color="auto" w:fill="BDD7EE"/>
            <w:vAlign w:val="center"/>
            <w:hideMark/>
          </w:tcPr>
          <w:p w:rsidRPr="002F2ABF" w:rsidR="00D87E44" w:rsidRDefault="00D87E44" w14:paraId="15457A96" w14:textId="77777777">
            <w:pPr>
              <w:spacing w:before="0" w:after="0" w:line="240" w:lineRule="auto"/>
              <w:jc w:val="center"/>
              <w:rPr>
                <w:rFonts w:eastAsia="Times New Roman"/>
                <w:b/>
                <w:noProof/>
                <w:sz w:val="18"/>
                <w:szCs w:val="18"/>
                <w:lang w:val="en-IE"/>
              </w:rPr>
            </w:pPr>
            <w:r w:rsidRPr="002F2ABF">
              <w:rPr>
                <w:rFonts w:eastAsia="Times New Roman"/>
                <w:b/>
                <w:noProof/>
                <w:sz w:val="18"/>
                <w:szCs w:val="18"/>
                <w:lang w:val="en-IE"/>
              </w:rPr>
              <w:t>Unit of measure</w:t>
            </w:r>
          </w:p>
        </w:tc>
        <w:tc>
          <w:tcPr>
            <w:tcW w:w="990" w:type="dxa"/>
            <w:shd w:val="clear" w:color="auto" w:fill="BDD7EE"/>
            <w:vAlign w:val="center"/>
            <w:hideMark/>
          </w:tcPr>
          <w:p w:rsidRPr="002F2ABF" w:rsidR="00D87E44" w:rsidRDefault="00D87E44" w14:paraId="15457A97" w14:textId="77777777">
            <w:pPr>
              <w:spacing w:before="0" w:after="0" w:line="240" w:lineRule="auto"/>
              <w:jc w:val="center"/>
              <w:rPr>
                <w:rFonts w:eastAsia="Times New Roman"/>
                <w:b/>
                <w:noProof/>
                <w:sz w:val="18"/>
                <w:szCs w:val="18"/>
                <w:lang w:val="en-IE"/>
              </w:rPr>
            </w:pPr>
            <w:r w:rsidRPr="002F2ABF">
              <w:rPr>
                <w:rFonts w:eastAsia="Times New Roman"/>
                <w:b/>
                <w:noProof/>
                <w:sz w:val="18"/>
                <w:szCs w:val="18"/>
                <w:lang w:val="en-IE"/>
              </w:rPr>
              <w:t xml:space="preserve">Baseline </w:t>
            </w:r>
          </w:p>
        </w:tc>
        <w:tc>
          <w:tcPr>
            <w:tcW w:w="990" w:type="dxa"/>
            <w:shd w:val="clear" w:color="auto" w:fill="BDD7EE"/>
            <w:vAlign w:val="center"/>
            <w:hideMark/>
          </w:tcPr>
          <w:p w:rsidRPr="002F2ABF" w:rsidR="00D87E44" w:rsidRDefault="00D87E44" w14:paraId="15457A98" w14:textId="77777777">
            <w:pPr>
              <w:spacing w:before="0" w:after="0" w:line="240" w:lineRule="auto"/>
              <w:jc w:val="center"/>
              <w:rPr>
                <w:rFonts w:eastAsia="Times New Roman"/>
                <w:b/>
                <w:noProof/>
                <w:sz w:val="18"/>
                <w:szCs w:val="18"/>
                <w:lang w:val="en-IE"/>
              </w:rPr>
            </w:pPr>
            <w:r w:rsidRPr="002F2ABF">
              <w:rPr>
                <w:rFonts w:eastAsia="Times New Roman"/>
                <w:b/>
                <w:noProof/>
                <w:sz w:val="18"/>
                <w:szCs w:val="18"/>
                <w:lang w:val="en-IE"/>
              </w:rPr>
              <w:t xml:space="preserve">Goal </w:t>
            </w:r>
          </w:p>
        </w:tc>
        <w:tc>
          <w:tcPr>
            <w:tcW w:w="1093" w:type="dxa"/>
            <w:shd w:val="clear" w:color="auto" w:fill="BDD7EE"/>
            <w:vAlign w:val="center"/>
            <w:hideMark/>
          </w:tcPr>
          <w:p w:rsidRPr="002F2ABF" w:rsidR="00D87E44" w:rsidRDefault="00D87E44" w14:paraId="15457A99" w14:textId="77777777">
            <w:pPr>
              <w:spacing w:before="0" w:after="0" w:line="240" w:lineRule="auto"/>
              <w:jc w:val="center"/>
              <w:rPr>
                <w:rFonts w:eastAsia="Times New Roman"/>
                <w:b/>
                <w:noProof/>
                <w:sz w:val="18"/>
                <w:szCs w:val="18"/>
                <w:lang w:val="en-IE"/>
              </w:rPr>
            </w:pPr>
            <w:r w:rsidRPr="002F2ABF">
              <w:rPr>
                <w:rFonts w:eastAsia="Times New Roman"/>
                <w:b/>
                <w:noProof/>
                <w:sz w:val="18"/>
                <w:szCs w:val="18"/>
                <w:lang w:val="en-IE"/>
              </w:rPr>
              <w:t>Quarter</w:t>
            </w:r>
          </w:p>
        </w:tc>
        <w:tc>
          <w:tcPr>
            <w:tcW w:w="632" w:type="dxa"/>
            <w:shd w:val="clear" w:color="auto" w:fill="BDD7EE"/>
            <w:vAlign w:val="center"/>
            <w:hideMark/>
          </w:tcPr>
          <w:p w:rsidRPr="002F2ABF" w:rsidR="00D87E44" w:rsidRDefault="00D87E44" w14:paraId="15457A9A" w14:textId="77777777">
            <w:pPr>
              <w:spacing w:before="0" w:after="0" w:line="240" w:lineRule="auto"/>
              <w:jc w:val="center"/>
              <w:rPr>
                <w:rFonts w:eastAsia="Times New Roman"/>
                <w:b/>
                <w:noProof/>
                <w:sz w:val="18"/>
                <w:szCs w:val="18"/>
                <w:lang w:val="en-IE"/>
              </w:rPr>
            </w:pPr>
            <w:r w:rsidRPr="002F2ABF">
              <w:rPr>
                <w:rFonts w:eastAsia="Times New Roman"/>
                <w:b/>
                <w:noProof/>
                <w:sz w:val="18"/>
                <w:szCs w:val="18"/>
                <w:lang w:val="en-IE"/>
              </w:rPr>
              <w:t>Year</w:t>
            </w:r>
          </w:p>
        </w:tc>
        <w:tc>
          <w:tcPr>
            <w:tcW w:w="3891" w:type="dxa"/>
            <w:vMerge/>
            <w:vAlign w:val="center"/>
            <w:hideMark/>
          </w:tcPr>
          <w:p w:rsidRPr="00FE48E2" w:rsidR="00D87E44" w:rsidRDefault="00D87E44" w14:paraId="15457A9B" w14:textId="77777777">
            <w:pPr>
              <w:spacing w:before="0" w:after="0" w:line="240" w:lineRule="auto"/>
              <w:rPr>
                <w:rFonts w:eastAsia="Times New Roman"/>
                <w:b/>
                <w:noProof/>
                <w:sz w:val="18"/>
                <w:szCs w:val="18"/>
                <w:lang w:val="en-IE"/>
              </w:rPr>
            </w:pPr>
          </w:p>
        </w:tc>
      </w:tr>
      <w:tr w:rsidRPr="00FE48E2" w:rsidR="00E3458A" w14:paraId="15457AA8" w14:textId="77777777">
        <w:trPr>
          <w:trHeight w:val="309"/>
          <w:jc w:val="center"/>
        </w:trPr>
        <w:tc>
          <w:tcPr>
            <w:tcW w:w="1060" w:type="dxa"/>
            <w:shd w:val="clear" w:color="auto" w:fill="C6EFCE"/>
            <w:hideMark/>
          </w:tcPr>
          <w:p w:rsidRPr="00FE48E2" w:rsidR="00D87E44" w:rsidRDefault="00D87E44" w14:paraId="15457A9D" w14:textId="77777777">
            <w:pPr>
              <w:spacing w:before="0" w:after="0" w:line="240" w:lineRule="auto"/>
              <w:rPr>
                <w:noProof/>
              </w:rPr>
            </w:pPr>
            <w:r w:rsidRPr="58CA5D7D">
              <w:rPr>
                <w:rFonts w:eastAsia="Times New Roman"/>
                <w:noProof/>
                <w:color w:val="004300"/>
                <w:sz w:val="18"/>
                <w:szCs w:val="18"/>
                <w:lang w:val="en-IE"/>
              </w:rPr>
              <w:t>254</w:t>
            </w:r>
          </w:p>
        </w:tc>
        <w:tc>
          <w:tcPr>
            <w:tcW w:w="1542" w:type="dxa"/>
            <w:shd w:val="clear" w:color="auto" w:fill="C6EFCE"/>
            <w:hideMark/>
          </w:tcPr>
          <w:p w:rsidRPr="00FE48E2" w:rsidR="00D87E44" w:rsidRDefault="00D87E44" w14:paraId="15457A9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Investment 4: IPCEI Microelectronics and Communication Technologies</w:t>
            </w:r>
          </w:p>
        </w:tc>
        <w:tc>
          <w:tcPr>
            <w:tcW w:w="1093" w:type="dxa"/>
            <w:shd w:val="clear" w:color="auto" w:fill="C6EFCE"/>
            <w:hideMark/>
          </w:tcPr>
          <w:p w:rsidRPr="00FE48E2" w:rsidR="00D87E44" w:rsidRDefault="00D87E44" w14:paraId="15457A9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Milestone</w:t>
            </w:r>
          </w:p>
        </w:tc>
        <w:tc>
          <w:tcPr>
            <w:tcW w:w="1467" w:type="dxa"/>
            <w:shd w:val="clear" w:color="auto" w:fill="C6EFCE"/>
            <w:hideMark/>
          </w:tcPr>
          <w:p w:rsidRPr="00FE48E2" w:rsidR="00D87E44" w:rsidRDefault="00D87E44" w14:paraId="15457AA0" w14:textId="77777777">
            <w:pPr>
              <w:spacing w:before="0" w:after="0" w:line="240" w:lineRule="auto"/>
              <w:rPr>
                <w:rFonts w:eastAsia="Times New Roman"/>
                <w:noProof/>
                <w:sz w:val="18"/>
                <w:szCs w:val="18"/>
                <w:lang w:val="en-IE"/>
              </w:rPr>
            </w:pPr>
            <w:r w:rsidRPr="00FE48E2">
              <w:rPr>
                <w:rFonts w:eastAsia="Times New Roman"/>
                <w:noProof/>
                <w:color w:val="004300"/>
                <w:sz w:val="18"/>
                <w:szCs w:val="18"/>
                <w:lang w:val="en-IE" w:eastAsia="en-GB"/>
              </w:rPr>
              <w:t>Signature of grant agreements</w:t>
            </w:r>
          </w:p>
        </w:tc>
        <w:tc>
          <w:tcPr>
            <w:tcW w:w="1704" w:type="dxa"/>
            <w:shd w:val="clear" w:color="auto" w:fill="C6EFCE"/>
            <w:hideMark/>
          </w:tcPr>
          <w:p w:rsidRPr="00FE48E2" w:rsidR="00D87E44" w:rsidRDefault="00D87E44" w14:paraId="15457AA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eastAsia="en-GB"/>
              </w:rPr>
              <w:t xml:space="preserve">Grant </w:t>
            </w:r>
            <w:r w:rsidRPr="00FE48E2">
              <w:rPr>
                <w:rFonts w:eastAsia="Times New Roman"/>
                <w:noProof/>
                <w:color w:val="004300"/>
                <w:sz w:val="18"/>
                <w:szCs w:val="18"/>
                <w:lang w:val="en-IE" w:eastAsia="en-GB"/>
              </w:rPr>
              <w:t>agreements signed</w:t>
            </w:r>
          </w:p>
        </w:tc>
        <w:tc>
          <w:tcPr>
            <w:tcW w:w="990" w:type="dxa"/>
            <w:shd w:val="clear" w:color="auto" w:fill="C6EFCE"/>
          </w:tcPr>
          <w:p w:rsidRPr="00FE48E2" w:rsidR="00D87E44" w:rsidRDefault="00D87E44" w14:paraId="15457AA2" w14:textId="77777777">
            <w:pPr>
              <w:spacing w:before="0" w:after="0" w:line="240" w:lineRule="auto"/>
              <w:rPr>
                <w:rFonts w:eastAsia="Times New Roman"/>
                <w:noProof/>
                <w:color w:val="004300"/>
                <w:sz w:val="18"/>
                <w:szCs w:val="18"/>
                <w:lang w:val="en-IE"/>
              </w:rPr>
            </w:pPr>
          </w:p>
        </w:tc>
        <w:tc>
          <w:tcPr>
            <w:tcW w:w="990" w:type="dxa"/>
            <w:shd w:val="clear" w:color="auto" w:fill="C6EFCE"/>
          </w:tcPr>
          <w:p w:rsidRPr="00FE48E2" w:rsidR="00D87E44" w:rsidRDefault="00D87E44" w14:paraId="15457AA3" w14:textId="77777777">
            <w:pPr>
              <w:spacing w:before="0" w:after="0" w:line="240" w:lineRule="auto"/>
              <w:rPr>
                <w:rFonts w:eastAsia="Times New Roman"/>
                <w:noProof/>
                <w:color w:val="004300"/>
                <w:sz w:val="18"/>
                <w:szCs w:val="18"/>
                <w:lang w:val="en-IE"/>
              </w:rPr>
            </w:pPr>
          </w:p>
        </w:tc>
        <w:tc>
          <w:tcPr>
            <w:tcW w:w="990" w:type="dxa"/>
            <w:shd w:val="clear" w:color="auto" w:fill="C6EFCE"/>
          </w:tcPr>
          <w:p w:rsidRPr="00FE48E2" w:rsidR="00D87E44" w:rsidRDefault="00D87E44" w14:paraId="15457AA4" w14:textId="77777777">
            <w:pPr>
              <w:spacing w:before="0" w:after="0" w:line="240" w:lineRule="auto"/>
              <w:rPr>
                <w:rFonts w:eastAsia="Times New Roman"/>
                <w:noProof/>
                <w:color w:val="004300"/>
                <w:sz w:val="18"/>
                <w:szCs w:val="18"/>
                <w:lang w:val="en-IE"/>
              </w:rPr>
            </w:pPr>
          </w:p>
        </w:tc>
        <w:tc>
          <w:tcPr>
            <w:tcW w:w="1093" w:type="dxa"/>
            <w:shd w:val="clear" w:color="auto" w:fill="C6EFCE"/>
            <w:hideMark/>
          </w:tcPr>
          <w:p w:rsidRPr="00FE48E2" w:rsidR="00D87E44" w:rsidRDefault="00D87E44" w14:paraId="15457AA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632" w:type="dxa"/>
            <w:shd w:val="clear" w:color="auto" w:fill="C6EFCE"/>
            <w:hideMark/>
          </w:tcPr>
          <w:p w:rsidRPr="00FE48E2" w:rsidR="00D87E44" w:rsidRDefault="00D87E44" w14:paraId="15457AA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891" w:type="dxa"/>
            <w:shd w:val="clear" w:color="auto" w:fill="C6EFCE"/>
            <w:hideMark/>
          </w:tcPr>
          <w:p w:rsidRPr="00FE48E2" w:rsidR="00D87E44" w:rsidRDefault="00D87E44" w14:paraId="15457AA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Grant agreement shall be signed with selected companies participating in IPCEI ME/CT projects.</w:t>
            </w:r>
          </w:p>
        </w:tc>
      </w:tr>
    </w:tbl>
    <w:p w:rsidR="00D87E44" w:rsidP="00D226F4" w:rsidRDefault="00D87E44" w14:paraId="15457AA9" w14:textId="77777777">
      <w:pPr>
        <w:autoSpaceDE w:val="0"/>
        <w:autoSpaceDN w:val="0"/>
        <w:adjustRightInd w:val="0"/>
        <w:spacing w:line="240" w:lineRule="auto"/>
        <w:jc w:val="both"/>
        <w:rPr>
          <w:rFonts w:eastAsia="Times New Roman"/>
          <w:noProof/>
          <w:szCs w:val="24"/>
          <w:lang w:val="en-IE"/>
        </w:rPr>
      </w:pPr>
    </w:p>
    <w:p w:rsidRPr="00A5394E" w:rsidR="00D87E44" w:rsidP="00D226F4" w:rsidRDefault="00D87E44" w14:paraId="15457AAA" w14:textId="77777777">
      <w:pPr>
        <w:rPr>
          <w:rFonts w:eastAsia="Times New Roman"/>
          <w:noProof/>
          <w:szCs w:val="24"/>
          <w:lang w:val="en-IE"/>
        </w:rPr>
      </w:pPr>
    </w:p>
    <w:p w:rsidRPr="00A5394E" w:rsidR="00D87E44" w:rsidP="00D226F4" w:rsidRDefault="00D87E44" w14:paraId="15457AAB" w14:textId="77777777">
      <w:pPr>
        <w:rPr>
          <w:rFonts w:eastAsia="Times New Roman"/>
          <w:noProof/>
          <w:szCs w:val="24"/>
          <w:lang w:val="en-IE"/>
        </w:rPr>
      </w:pPr>
    </w:p>
    <w:p w:rsidRPr="00A5394E" w:rsidR="00D87E44" w:rsidP="00D226F4" w:rsidRDefault="00D87E44" w14:paraId="15457AAC" w14:textId="77777777">
      <w:pPr>
        <w:rPr>
          <w:rFonts w:eastAsia="Times New Roman"/>
          <w:noProof/>
          <w:szCs w:val="24"/>
          <w:lang w:val="en-IE"/>
        </w:rPr>
      </w:pPr>
    </w:p>
    <w:p w:rsidRPr="00A5394E" w:rsidR="00D87E44" w:rsidP="00D226F4" w:rsidRDefault="00D87E44" w14:paraId="15457AAD" w14:textId="77777777">
      <w:pPr>
        <w:rPr>
          <w:rFonts w:eastAsia="Times New Roman"/>
          <w:noProof/>
          <w:szCs w:val="24"/>
          <w:lang w:val="en-IE"/>
        </w:rPr>
      </w:pPr>
    </w:p>
    <w:p w:rsidR="00D87E44" w:rsidP="00D226F4" w:rsidRDefault="00D87E44" w14:paraId="15457AAE" w14:textId="77777777">
      <w:pPr>
        <w:rPr>
          <w:rFonts w:eastAsia="Times New Roman"/>
          <w:noProof/>
          <w:szCs w:val="24"/>
          <w:lang w:val="en-IE"/>
        </w:rPr>
      </w:pPr>
    </w:p>
    <w:p w:rsidRPr="00A5394E" w:rsidR="00D87E44" w:rsidP="00D226F4" w:rsidRDefault="00D87E44" w14:paraId="15457AAF" w14:textId="77777777">
      <w:pPr>
        <w:tabs>
          <w:tab w:val="left" w:pos="2790"/>
        </w:tabs>
        <w:rPr>
          <w:rFonts w:eastAsia="Times New Roman"/>
          <w:noProof/>
          <w:szCs w:val="24"/>
          <w:lang w:val="en-IE"/>
        </w:rPr>
      </w:pPr>
    </w:p>
    <w:p w:rsidR="00D87E44" w:rsidP="00D226F4" w:rsidRDefault="00D87E44" w14:paraId="15457AB0" w14:textId="77777777">
      <w:pPr>
        <w:rPr>
          <w:rFonts w:eastAsia="Times New Roman"/>
          <w:noProof/>
          <w:szCs w:val="24"/>
          <w:lang w:val="en-IE"/>
        </w:rPr>
      </w:pPr>
    </w:p>
    <w:p w:rsidRPr="00A5394E" w:rsidR="00D87E44" w:rsidP="00D226F4" w:rsidRDefault="00D87E44" w14:paraId="15457AB1" w14:textId="77777777">
      <w:pPr>
        <w:rPr>
          <w:rFonts w:eastAsia="Times New Roman"/>
          <w:noProof/>
          <w:szCs w:val="24"/>
          <w:lang w:val="en-IE"/>
        </w:rPr>
        <w:sectPr w:rsidRPr="00A5394E" w:rsidR="00C16C1F" w:rsidSect="00D226F4">
          <w:headerReference w:type="even" r:id="Re2737a4159514ee3"/>
          <w:headerReference w:type="default" r:id="Ra254c88ca36b40ba"/>
          <w:footerReference w:type="even" r:id="R7a624f1855d14cd5"/>
          <w:footerReference w:type="default" r:id="R6f32680f4e594114"/>
          <w:headerReference w:type="first" r:id="R8c1de7217a8942c7"/>
          <w:footerReference w:type="first" r:id="R60112b3dc22b4f04"/>
          <w:pgSz w:w="16839" w:h="11907" w:orient="landscape"/>
          <w:pgMar w:top="1134" w:right="1134" w:bottom="1134" w:left="1134" w:header="567" w:footer="567" w:gutter="0"/>
          <w:cols w:space="720"/>
          <w:docGrid w:linePitch="326"/>
        </w:sectPr>
      </w:pPr>
    </w:p>
    <w:p w:rsidRPr="00FE48E2" w:rsidR="00D87E44" w:rsidP="00D226F4" w:rsidRDefault="00D87E44" w14:paraId="15457AB2" w14:textId="77777777">
      <w:pPr>
        <w:keepNext/>
        <w:tabs>
          <w:tab w:val="left" w:pos="850"/>
        </w:tabs>
        <w:spacing w:line="240" w:lineRule="auto"/>
        <w:jc w:val="both"/>
        <w:outlineLvl w:val="0"/>
        <w:rPr>
          <w:b/>
          <w:smallCaps/>
          <w:noProof/>
          <w:szCs w:val="24"/>
          <w:lang w:val="en-IE"/>
        </w:rPr>
      </w:pPr>
      <w:r w:rsidRPr="00FE48E2">
        <w:rPr>
          <w:b/>
          <w:smallCaps/>
          <w:noProof/>
          <w:szCs w:val="24"/>
          <w:lang w:val="en-IE"/>
        </w:rPr>
        <w:lastRenderedPageBreak/>
        <w:t xml:space="preserve">F. COMPONENT 1.6: </w:t>
      </w:r>
      <w:r w:rsidRPr="00FE48E2">
        <w:rPr>
          <w:b/>
          <w:smallCaps/>
          <w:noProof/>
          <w:szCs w:val="24"/>
          <w:lang w:val="en-IE"/>
        </w:rPr>
        <w:t>Acceleration and Digitalisation of the Building Process</w:t>
      </w:r>
    </w:p>
    <w:p w:rsidRPr="00FE48E2" w:rsidR="00D87E44" w:rsidP="00D226F4" w:rsidRDefault="00D87E44" w14:paraId="15457AB3" w14:textId="77777777">
      <w:pPr>
        <w:spacing w:line="240" w:lineRule="auto"/>
        <w:jc w:val="both"/>
        <w:rPr>
          <w:noProof/>
          <w:szCs w:val="24"/>
          <w:lang w:val="en-IE"/>
        </w:rPr>
      </w:pPr>
      <w:r w:rsidRPr="00FE48E2">
        <w:rPr>
          <w:noProof/>
          <w:szCs w:val="24"/>
          <w:lang w:val="en-IE"/>
        </w:rPr>
        <w:t xml:space="preserve">This component </w:t>
      </w:r>
      <w:r w:rsidRPr="00FE48E2">
        <w:rPr>
          <w:rFonts w:eastAsia="Times New Roman"/>
          <w:noProof/>
          <w:szCs w:val="24"/>
          <w:lang w:val="en-IE"/>
        </w:rPr>
        <w:t xml:space="preserve">of the Czech recovery and resilience plan contributes to </w:t>
      </w:r>
      <w:r w:rsidRPr="00FE48E2">
        <w:rPr>
          <w:noProof/>
          <w:szCs w:val="24"/>
          <w:lang w:val="en-IE"/>
        </w:rPr>
        <w:t>addressing the challenge of the currently lengthy and administratively heavy procedures for obtaining construction permits.</w:t>
      </w:r>
    </w:p>
    <w:p w:rsidRPr="00FE48E2" w:rsidR="00D87E44" w:rsidP="00D226F4" w:rsidRDefault="00D87E44" w14:paraId="15457AB4" w14:textId="77777777">
      <w:pPr>
        <w:spacing w:line="240" w:lineRule="auto"/>
        <w:jc w:val="both"/>
        <w:rPr>
          <w:noProof/>
          <w:lang w:val="en-IE"/>
        </w:rPr>
      </w:pPr>
      <w:r w:rsidRPr="781FE9D9">
        <w:rPr>
          <w:noProof/>
          <w:lang w:val="en-IE"/>
        </w:rPr>
        <w:t xml:space="preserve">The aim of the component is to simplify and streamline the process of granting construction permits. The significant acceleration of the construction permissions process is expected to considerably improve the business and investment environment in Czechia. The conditions for proper implementation of the digitalisation of building management and spatial planning shall also be addressed. Full streamlining of parallel processes into a single procedure, as well as the institutional reform, as foreseen in </w:t>
      </w:r>
      <w:r w:rsidRPr="000C45F2">
        <w:rPr>
          <w:noProof/>
          <w:lang w:val="en-IE"/>
        </w:rPr>
        <w:t xml:space="preserve">the </w:t>
      </w:r>
      <w:r w:rsidRPr="000C45F2" w:rsidDel="00516D21">
        <w:rPr>
          <w:noProof/>
          <w:lang w:val="en-IE"/>
        </w:rPr>
        <w:t xml:space="preserve">draft </w:t>
      </w:r>
      <w:r w:rsidRPr="000C45F2">
        <w:rPr>
          <w:noProof/>
          <w:lang w:val="en-IE"/>
        </w:rPr>
        <w:t xml:space="preserve">Construction </w:t>
      </w:r>
      <w:r w:rsidRPr="000C45F2" w:rsidDel="00516D21">
        <w:rPr>
          <w:noProof/>
          <w:lang w:val="en-IE"/>
        </w:rPr>
        <w:t>Code</w:t>
      </w:r>
      <w:r w:rsidRPr="000C45F2">
        <w:rPr>
          <w:noProof/>
          <w:lang w:val="en-IE"/>
        </w:rPr>
        <w:t xml:space="preserve">, </w:t>
      </w:r>
      <w:r w:rsidRPr="000C45F2" w:rsidDel="00516D21">
        <w:rPr>
          <w:noProof/>
          <w:lang w:val="en-IE"/>
        </w:rPr>
        <w:t>may shorten the average issuance time of a permit from the current 5,4 years to an average of 1,25 years. The digitalisation of the process alone is expected to reduce the average time for the obtention of a construction licence by at least 2 years</w:t>
      </w:r>
      <w:r w:rsidRPr="000C45F2">
        <w:rPr>
          <w:noProof/>
          <w:lang w:val="en-IE"/>
        </w:rPr>
        <w:t>.</w:t>
      </w:r>
      <w:r w:rsidRPr="781FE9D9">
        <w:rPr>
          <w:noProof/>
          <w:lang w:val="en-IE"/>
        </w:rPr>
        <w:t xml:space="preserve"> </w:t>
      </w:r>
    </w:p>
    <w:p w:rsidR="00D87E44" w:rsidP="00D226F4" w:rsidRDefault="00D87E44" w14:paraId="15457AB5" w14:textId="77777777">
      <w:pPr>
        <w:spacing w:line="240" w:lineRule="auto"/>
        <w:jc w:val="both"/>
        <w:rPr>
          <w:noProof/>
          <w:szCs w:val="24"/>
          <w:lang w:val="en-IE"/>
        </w:rPr>
      </w:pPr>
      <w:r w:rsidRPr="00FE48E2">
        <w:rPr>
          <w:noProof/>
          <w:szCs w:val="24"/>
          <w:lang w:val="en-IE"/>
        </w:rPr>
        <w:t xml:space="preserve">The component supports addressing country-specific recommendation 3 2019, according to which Czechia shall reduce the administrative burden on investment and support more quality-based competition in public procurement, and </w:t>
      </w:r>
      <w:r w:rsidRPr="00FE48E2">
        <w:rPr>
          <w:noProof/>
          <w:szCs w:val="24"/>
          <w:lang w:val="en-IE"/>
        </w:rPr>
        <w:t>country-specific recommendation 3 2020, according to which Czechia shall support small and medium-sized enterprises by making greater use of financial instruments to ensure liquidity support, reducing the administrative burden and improving eGovernment.</w:t>
      </w:r>
    </w:p>
    <w:p w:rsidRPr="007747A1" w:rsidR="00D87E44" w:rsidP="00D226F4" w:rsidRDefault="00D87E44" w14:paraId="15457AB6"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7AB7" w14:textId="77777777">
      <w:pPr>
        <w:spacing w:line="240" w:lineRule="auto"/>
        <w:jc w:val="both"/>
        <w:rPr>
          <w:noProof/>
          <w:szCs w:val="24"/>
          <w:lang w:val="en-IE"/>
        </w:rPr>
      </w:pPr>
    </w:p>
    <w:p w:rsidRPr="00FE48E2" w:rsidR="00D87E44" w:rsidP="00D226F4" w:rsidRDefault="00D87E44" w14:paraId="15457AB8" w14:textId="77777777">
      <w:pPr>
        <w:spacing w:line="240" w:lineRule="auto"/>
        <w:rPr>
          <w:noProof/>
          <w:szCs w:val="24"/>
          <w:lang w:val="en-IE"/>
        </w:rPr>
      </w:pPr>
      <w:r w:rsidRPr="00FE48E2">
        <w:rPr>
          <w:b/>
          <w:noProof/>
          <w:szCs w:val="24"/>
          <w:u w:val="single"/>
          <w:lang w:val="en-IE"/>
        </w:rPr>
        <w:t>F.1. Description of the reforms and investments for non-repayable financial support</w:t>
      </w:r>
    </w:p>
    <w:p w:rsidRPr="00FE48E2" w:rsidR="00D87E44" w:rsidP="00D226F4" w:rsidRDefault="00D87E44" w14:paraId="15457AB9" w14:textId="77777777">
      <w:pPr>
        <w:spacing w:line="240" w:lineRule="auto"/>
        <w:rPr>
          <w:b/>
          <w:noProof/>
          <w:szCs w:val="24"/>
          <w:lang w:val="en-IE"/>
        </w:rPr>
      </w:pPr>
      <w:r w:rsidRPr="00FE48E2">
        <w:rPr>
          <w:b/>
          <w:noProof/>
          <w:szCs w:val="24"/>
          <w:lang w:val="en-IE"/>
        </w:rPr>
        <w:t xml:space="preserve">Reform 1: Implementation of the new construction law and zoning law into practice </w:t>
      </w:r>
    </w:p>
    <w:p w:rsidRPr="00FF1320" w:rsidR="00D87E44" w:rsidP="00D226F4" w:rsidRDefault="00D87E44" w14:paraId="15457ABA" w14:textId="77777777">
      <w:pPr>
        <w:spacing w:line="240" w:lineRule="auto"/>
        <w:jc w:val="both"/>
        <w:rPr>
          <w:b/>
          <w:lang w:val="en-IE"/>
        </w:rPr>
      </w:pPr>
      <w:r w:rsidRPr="00771FD0">
        <w:rPr>
          <w:noProof/>
          <w:lang w:val="en-IE"/>
        </w:rPr>
        <w:t xml:space="preserve">The </w:t>
      </w:r>
      <w:r w:rsidRPr="00771FD0">
        <w:rPr>
          <w:rFonts w:eastAsia="Times New Roman"/>
          <w:noProof/>
          <w:lang w:val="en-IE"/>
        </w:rPr>
        <w:t xml:space="preserve">objective of the reform is to simplify, accelerate and digitalise the construction permitting process. </w:t>
      </w:r>
      <w:r w:rsidRPr="008C7FAF">
        <w:rPr>
          <w:rFonts w:eastAsia="Times New Roman"/>
          <w:noProof/>
          <w:lang w:val="en-IE"/>
        </w:rPr>
        <w:t>The reform consi</w:t>
      </w:r>
      <w:r w:rsidRPr="00771FD0">
        <w:rPr>
          <w:rFonts w:eastAsia="Times New Roman"/>
          <w:noProof/>
          <w:lang w:val="en-IE"/>
        </w:rPr>
        <w:t>sts of legislative changes to modernise the permitting framework (entry into force of the new construction law</w:t>
      </w:r>
      <w:r w:rsidRPr="13356557">
        <w:rPr>
          <w:rFonts w:eastAsia="Times New Roman"/>
          <w:noProof/>
          <w:lang w:val="en-IE"/>
        </w:rPr>
        <w:t>)</w:t>
      </w:r>
      <w:r>
        <w:rPr>
          <w:rFonts w:eastAsia="Times New Roman"/>
          <w:noProof/>
          <w:lang w:val="en-IE"/>
        </w:rPr>
        <w:t xml:space="preserve"> </w:t>
      </w:r>
      <w:r w:rsidRPr="00771FD0">
        <w:rPr>
          <w:rFonts w:eastAsia="Times New Roman"/>
          <w:noProof/>
          <w:lang w:val="en-IE"/>
        </w:rPr>
        <w:t xml:space="preserve">and </w:t>
      </w:r>
      <w:r w:rsidRPr="008C7FAF">
        <w:rPr>
          <w:rFonts w:eastAsia="Times New Roman"/>
          <w:noProof/>
          <w:lang w:val="en-IE"/>
        </w:rPr>
        <w:t xml:space="preserve">the </w:t>
      </w:r>
      <w:r w:rsidRPr="00771FD0">
        <w:rPr>
          <w:rFonts w:eastAsia="Times New Roman"/>
          <w:noProof/>
          <w:lang w:val="en-IE"/>
        </w:rPr>
        <w:t>provision of IT equipment to building offices</w:t>
      </w:r>
      <w:r w:rsidRPr="133439F4">
        <w:rPr>
          <w:rFonts w:eastAsia="Times New Roman"/>
          <w:noProof/>
          <w:lang w:val="en-IE"/>
        </w:rPr>
        <w:t>.</w:t>
      </w:r>
    </w:p>
    <w:p w:rsidR="00D87E44" w:rsidP="00D226F4" w:rsidRDefault="00D87E44" w14:paraId="15457ABB" w14:textId="77777777">
      <w:pPr>
        <w:spacing w:line="240" w:lineRule="auto"/>
        <w:jc w:val="both"/>
        <w:rPr>
          <w:noProof/>
          <w:lang w:val="en-IE"/>
        </w:rPr>
      </w:pPr>
      <w:r w:rsidRPr="007255B7">
        <w:rPr>
          <w:b/>
          <w:bCs/>
          <w:noProof/>
          <w:lang w:val="en-IE"/>
        </w:rPr>
        <w:t xml:space="preserve">Investment 1: Reaping the benefits of digitising </w:t>
      </w:r>
      <w:r>
        <w:rPr>
          <w:b/>
          <w:bCs/>
          <w:noProof/>
          <w:lang w:val="en-IE"/>
        </w:rPr>
        <w:t>in the area of spatial planning and construction policy</w:t>
      </w:r>
    </w:p>
    <w:p w:rsidRPr="000C6B46" w:rsidR="00D87E44" w:rsidP="00D226F4" w:rsidRDefault="00D87E44" w14:paraId="15457ABC" w14:textId="77777777">
      <w:pPr>
        <w:spacing w:line="240" w:lineRule="auto"/>
        <w:jc w:val="both"/>
        <w:rPr>
          <w:rFonts w:eastAsia="Times New Roman"/>
          <w:noProof/>
          <w:highlight w:val="cyan"/>
          <w:lang w:val="en-IE"/>
        </w:rPr>
      </w:pPr>
      <w:r w:rsidRPr="73597F8F">
        <w:rPr>
          <w:rFonts w:eastAsia="Times New Roman"/>
          <w:noProof/>
          <w:lang w:val="en-IE"/>
        </w:rPr>
        <w:t>The objective of the investment is to advance digitalisation in the area of the construction permitting process and spatial planning. It consists of putting in operation six information systems, including a Builder’s Portal and National Spatial Planning Geoportal.</w:t>
      </w:r>
    </w:p>
    <w:p w:rsidRPr="00FE48E2" w:rsidR="00D87E44" w:rsidP="00D226F4" w:rsidRDefault="00D87E44" w14:paraId="15457ABD" w14:textId="77777777">
      <w:pPr>
        <w:spacing w:line="240" w:lineRule="auto"/>
        <w:rPr>
          <w:noProof/>
          <w:szCs w:val="24"/>
          <w:lang w:val="en-IE"/>
        </w:rPr>
        <w:sectPr w:rsidRPr="00FE48E2" w:rsidR="00C16C1F" w:rsidSect="00D226F4">
          <w:headerReference w:type="even" r:id="R1a3ca8db809d4575"/>
          <w:headerReference w:type="default" r:id="R49bee777175a4d85"/>
          <w:footerReference w:type="even" r:id="R0e522054e76f4d20"/>
          <w:footerReference w:type="default" r:id="R8116b2b19c2843a0"/>
          <w:headerReference w:type="first" r:id="R93657633135a464c"/>
          <w:footerReference w:type="first" r:id="R00eba077fe2c43ad"/>
          <w:pgSz w:w="11907" w:h="16839"/>
          <w:pgMar w:top="1134" w:right="1134" w:bottom="1134" w:left="1134" w:header="567" w:footer="567" w:gutter="0"/>
          <w:cols w:space="720"/>
          <w:docGrid w:linePitch="326"/>
        </w:sectPr>
      </w:pPr>
    </w:p>
    <w:p w:rsidRPr="00FE48E2" w:rsidR="00D87E44" w:rsidP="00D226F4" w:rsidRDefault="00D87E44" w14:paraId="15457ABE" w14:textId="77777777">
      <w:pPr>
        <w:pBdr>
          <w:top w:val="nil"/>
          <w:left w:val="nil"/>
          <w:bottom w:val="nil"/>
          <w:right w:val="nil"/>
          <w:between w:val="nil"/>
        </w:pBdr>
        <w:tabs>
          <w:tab w:val="left" w:pos="993"/>
        </w:tabs>
        <w:spacing w:line="240" w:lineRule="auto"/>
        <w:rPr>
          <w:rFonts w:ascii="Calibri" w:hAnsi="Calibri"/>
          <w:noProof/>
          <w:color w:val="000000"/>
          <w:sz w:val="22"/>
          <w:lang w:val="en-IE"/>
        </w:rPr>
      </w:pPr>
      <w:r w:rsidRPr="00FE48E2">
        <w:rPr>
          <w:b/>
          <w:noProof/>
          <w:color w:val="000000"/>
          <w:szCs w:val="24"/>
          <w:u w:val="single"/>
          <w:lang w:val="en-IE"/>
        </w:rPr>
        <w:lastRenderedPageBreak/>
        <w:t xml:space="preserve">F.2. Milestones, targets, indicators, and timetable for monitoring and implementation for non-repayable financial support </w:t>
      </w:r>
    </w:p>
    <w:tbl>
      <w:tblPr>
        <w:tblW w:w="1500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400" w:firstRow="0" w:lastRow="0" w:firstColumn="0" w:lastColumn="0" w:noHBand="0" w:noVBand="1"/>
      </w:tblPr>
      <w:tblGrid>
        <w:gridCol w:w="841"/>
        <w:gridCol w:w="1684"/>
        <w:gridCol w:w="1075"/>
        <w:gridCol w:w="1377"/>
        <w:gridCol w:w="1392"/>
        <w:gridCol w:w="1276"/>
        <w:gridCol w:w="918"/>
        <w:gridCol w:w="678"/>
        <w:gridCol w:w="964"/>
        <w:gridCol w:w="772"/>
        <w:gridCol w:w="4025"/>
      </w:tblGrid>
      <w:tr w:rsidRPr="00FE48E2" w:rsidR="00E3458A" w14:paraId="15457AC7" w14:textId="77777777">
        <w:trPr>
          <w:trHeight w:val="246"/>
          <w:tblHeader/>
          <w:jc w:val="center"/>
        </w:trPr>
        <w:tc>
          <w:tcPr>
            <w:tcW w:w="841"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7ABF"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684"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7AC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1075"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7AC1"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377"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7AC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Name </w:t>
            </w:r>
          </w:p>
        </w:tc>
        <w:tc>
          <w:tcPr>
            <w:tcW w:w="1392"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7AC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w:t>
            </w:r>
          </w:p>
        </w:tc>
        <w:tc>
          <w:tcPr>
            <w:tcW w:w="2872"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FE48E2" w:rsidR="00D87E44" w:rsidRDefault="00D87E44" w14:paraId="15457AC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1736" w:type="dxa"/>
            <w:gridSpan w:val="2"/>
            <w:tcBorders>
              <w:top w:val="single" w:color="000000" w:themeColor="text1" w:sz="8" w:space="0"/>
              <w:left w:val="nil"/>
              <w:bottom w:val="single" w:color="000000" w:themeColor="text1" w:sz="8" w:space="0"/>
              <w:right w:val="single" w:color="000000" w:themeColor="text1" w:sz="8" w:space="0"/>
            </w:tcBorders>
            <w:shd w:val="clear" w:color="auto" w:fill="BDD7EE"/>
            <w:vAlign w:val="center"/>
          </w:tcPr>
          <w:p w:rsidRPr="00FE48E2" w:rsidR="00D87E44" w:rsidRDefault="00D87E44" w14:paraId="15457AC5"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025" w:type="dxa"/>
            <w:vMerge w:val="restart"/>
            <w:tcBorders>
              <w:top w:val="single" w:color="000000" w:themeColor="text1" w:sz="8" w:space="0"/>
              <w:left w:val="nil"/>
              <w:right w:val="single" w:color="000000" w:themeColor="text1" w:sz="8" w:space="0"/>
            </w:tcBorders>
            <w:shd w:val="clear" w:color="auto" w:fill="BDD7EE"/>
            <w:vAlign w:val="center"/>
          </w:tcPr>
          <w:p w:rsidRPr="00FE48E2" w:rsidR="00D87E44" w:rsidRDefault="00D87E44" w14:paraId="15457AC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14:paraId="15457AD3" w14:textId="77777777">
        <w:trPr>
          <w:trHeight w:val="326"/>
          <w:tblHeader/>
          <w:jc w:val="center"/>
        </w:trPr>
        <w:tc>
          <w:tcPr>
            <w:tcW w:w="841" w:type="dxa"/>
            <w:vMerge/>
            <w:vAlign w:val="center"/>
          </w:tcPr>
          <w:p w:rsidRPr="00FE48E2" w:rsidR="00D87E44" w:rsidRDefault="00D87E44" w14:paraId="15457AC8"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684" w:type="dxa"/>
            <w:vMerge/>
            <w:vAlign w:val="center"/>
          </w:tcPr>
          <w:p w:rsidRPr="00FE48E2" w:rsidR="00D87E44" w:rsidRDefault="00D87E44" w14:paraId="15457AC9"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75" w:type="dxa"/>
            <w:vMerge/>
            <w:vAlign w:val="center"/>
          </w:tcPr>
          <w:p w:rsidRPr="00FE48E2" w:rsidR="00D87E44" w:rsidRDefault="00D87E44" w14:paraId="15457ACA"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77" w:type="dxa"/>
            <w:vMerge/>
            <w:vAlign w:val="center"/>
          </w:tcPr>
          <w:p w:rsidRPr="00FE48E2" w:rsidR="00D87E44" w:rsidRDefault="00D87E44" w14:paraId="15457ACB"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92" w:type="dxa"/>
            <w:vMerge/>
            <w:vAlign w:val="center"/>
          </w:tcPr>
          <w:p w:rsidRPr="00FE48E2" w:rsidR="00D87E44" w:rsidRDefault="00D87E44" w14:paraId="15457AC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2F2ABF" w:rsidR="00D87E44" w:rsidRDefault="00D87E44" w14:paraId="15457ACD"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Unit of measure</w:t>
            </w:r>
          </w:p>
        </w:tc>
        <w:tc>
          <w:tcPr>
            <w:tcW w:w="918"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F2ABF" w:rsidR="00D87E44" w:rsidRDefault="00D87E44" w14:paraId="15457ACE"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Baseline</w:t>
            </w:r>
          </w:p>
        </w:tc>
        <w:tc>
          <w:tcPr>
            <w:tcW w:w="678"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F2ABF" w:rsidR="00D87E44" w:rsidRDefault="00D87E44" w14:paraId="15457ACF"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Goal</w:t>
            </w:r>
          </w:p>
        </w:tc>
        <w:tc>
          <w:tcPr>
            <w:tcW w:w="9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2F2ABF" w:rsidR="00D87E44" w:rsidRDefault="00D87E44" w14:paraId="15457AD0"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Quarter</w:t>
            </w:r>
          </w:p>
        </w:tc>
        <w:tc>
          <w:tcPr>
            <w:tcW w:w="772"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F2ABF" w:rsidR="00D87E44" w:rsidRDefault="00D87E44" w14:paraId="15457AD1"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Year</w:t>
            </w:r>
          </w:p>
        </w:tc>
        <w:tc>
          <w:tcPr>
            <w:tcW w:w="4025" w:type="dxa"/>
            <w:vMerge/>
            <w:vAlign w:val="center"/>
          </w:tcPr>
          <w:p w:rsidRPr="00FE48E2" w:rsidR="00D87E44" w:rsidRDefault="00D87E44" w14:paraId="15457AD2"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14:paraId="15457ADF"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4"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72</w:t>
            </w:r>
          </w:p>
        </w:tc>
        <w:tc>
          <w:tcPr>
            <w:tcW w:w="16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5"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Reform 1: Implementation of the new construction law and zoning law into practice</w:t>
            </w:r>
          </w:p>
        </w:tc>
        <w:tc>
          <w:tcPr>
            <w:tcW w:w="10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6"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Milestone</w:t>
            </w:r>
          </w:p>
        </w:tc>
        <w:tc>
          <w:tcPr>
            <w:tcW w:w="13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7"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Entry into force of the new construction law</w:t>
            </w:r>
            <w:r w:rsidRPr="00062C72">
              <w:rPr>
                <w:rFonts w:eastAsia="Times New Roman"/>
                <w:noProof/>
                <w:color w:val="004300"/>
                <w:sz w:val="18"/>
                <w:szCs w:val="18"/>
                <w:lang w:val="en-IE" w:eastAsia="en-GB"/>
              </w:rPr>
              <w:t xml:space="preserve"> </w:t>
            </w:r>
          </w:p>
        </w:tc>
        <w:tc>
          <w:tcPr>
            <w:tcW w:w="13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8"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Provision in the law indicating the entry into force of the new construction law</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9" w14:textId="77777777">
            <w:pPr>
              <w:spacing w:before="0" w:after="0" w:line="240" w:lineRule="auto"/>
              <w:rPr>
                <w:rFonts w:eastAsia="Times New Roman"/>
                <w:noProof/>
                <w:color w:val="004300"/>
                <w:sz w:val="18"/>
                <w:szCs w:val="18"/>
                <w:lang w:val="en-IE" w:eastAsia="en-GB"/>
              </w:rPr>
            </w:pPr>
          </w:p>
        </w:tc>
        <w:tc>
          <w:tcPr>
            <w:tcW w:w="91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A" w14:textId="77777777">
            <w:pPr>
              <w:spacing w:before="0" w:after="0" w:line="240" w:lineRule="auto"/>
              <w:rPr>
                <w:rFonts w:eastAsia="Times New Roman"/>
                <w:noProof/>
                <w:color w:val="004300"/>
                <w:sz w:val="18"/>
                <w:szCs w:val="18"/>
                <w:lang w:val="en-IE" w:eastAsia="en-GB"/>
              </w:rPr>
            </w:pPr>
          </w:p>
        </w:tc>
        <w:tc>
          <w:tcPr>
            <w:tcW w:w="6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B" w14:textId="77777777">
            <w:pPr>
              <w:spacing w:before="0" w:after="0" w:line="240" w:lineRule="auto"/>
              <w:rPr>
                <w:rFonts w:eastAsia="Times New Roman"/>
                <w:noProof/>
                <w:color w:val="004300"/>
                <w:sz w:val="18"/>
                <w:szCs w:val="18"/>
                <w:lang w:val="en-IE" w:eastAsia="en-GB"/>
              </w:rPr>
            </w:pPr>
          </w:p>
        </w:tc>
        <w:tc>
          <w:tcPr>
            <w:tcW w:w="9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C"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Q3</w:t>
            </w:r>
          </w:p>
        </w:tc>
        <w:tc>
          <w:tcPr>
            <w:tcW w:w="7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D"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2021</w:t>
            </w:r>
          </w:p>
        </w:tc>
        <w:tc>
          <w:tcPr>
            <w:tcW w:w="40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DE"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 xml:space="preserve">The new </w:t>
            </w:r>
            <w:r w:rsidRPr="00D86E9A">
              <w:rPr>
                <w:rFonts w:eastAsia="Times New Roman"/>
                <w:noProof/>
                <w:color w:val="004300"/>
                <w:sz w:val="18"/>
                <w:szCs w:val="18"/>
                <w:lang w:val="en-IE" w:eastAsia="en-GB"/>
              </w:rPr>
              <w:t>construction law that brings acceleration of the building permit process, digitalisation of the process, and a decrease in the number of regulatory authorities shall enter into force.</w:t>
            </w:r>
          </w:p>
        </w:tc>
      </w:tr>
      <w:tr w:rsidRPr="00FE48E2" w:rsidR="00E3458A" w14:paraId="15457AED"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0"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73</w:t>
            </w:r>
          </w:p>
        </w:tc>
        <w:tc>
          <w:tcPr>
            <w:tcW w:w="16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1"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Reform 1: Implementation of the new construction law and zoning law into practice</w:t>
            </w:r>
          </w:p>
        </w:tc>
        <w:tc>
          <w:tcPr>
            <w:tcW w:w="10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2"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Target</w:t>
            </w:r>
          </w:p>
        </w:tc>
        <w:tc>
          <w:tcPr>
            <w:tcW w:w="13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3"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Purchase of equipment for building authorities</w:t>
            </w:r>
          </w:p>
        </w:tc>
        <w:tc>
          <w:tcPr>
            <w:tcW w:w="13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4" w14:textId="77777777">
            <w:pPr>
              <w:spacing w:before="0" w:after="0" w:line="240" w:lineRule="auto"/>
              <w:rPr>
                <w:rFonts w:eastAsia="Times New Roman"/>
                <w:noProof/>
                <w:color w:val="004300"/>
                <w:sz w:val="18"/>
                <w:szCs w:val="18"/>
                <w:lang w:val="en-IE" w:eastAsia="en-GB"/>
              </w:rPr>
            </w:pP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5"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Building offices or municipalities</w:t>
            </w:r>
          </w:p>
        </w:tc>
        <w:tc>
          <w:tcPr>
            <w:tcW w:w="91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6"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0</w:t>
            </w:r>
          </w:p>
        </w:tc>
        <w:tc>
          <w:tcPr>
            <w:tcW w:w="6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7"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620</w:t>
            </w:r>
          </w:p>
        </w:tc>
        <w:tc>
          <w:tcPr>
            <w:tcW w:w="9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8"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Q3</w:t>
            </w:r>
          </w:p>
        </w:tc>
        <w:tc>
          <w:tcPr>
            <w:tcW w:w="7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9" w14:textId="77777777">
            <w:pPr>
              <w:spacing w:before="0" w:after="0" w:line="240" w:lineRule="auto"/>
              <w:rPr>
                <w:rFonts w:eastAsia="Times New Roman"/>
                <w:noProof/>
                <w:color w:val="004300"/>
                <w:sz w:val="18"/>
                <w:szCs w:val="18"/>
                <w:lang w:val="en-IE" w:eastAsia="en-GB"/>
              </w:rPr>
            </w:pPr>
            <w:r w:rsidRPr="00D86E9A">
              <w:rPr>
                <w:rFonts w:eastAsia="Times New Roman"/>
                <w:noProof/>
                <w:color w:val="004300"/>
                <w:sz w:val="18"/>
                <w:szCs w:val="18"/>
                <w:lang w:val="en-IE" w:eastAsia="en-GB"/>
              </w:rPr>
              <w:t>2024</w:t>
            </w:r>
          </w:p>
        </w:tc>
        <w:tc>
          <w:tcPr>
            <w:tcW w:w="40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D86E9A" w:rsidR="00D87E44" w:rsidRDefault="00D87E44" w14:paraId="15457AEA" w14:textId="77777777">
            <w:pPr>
              <w:spacing w:before="0" w:after="0" w:line="240" w:lineRule="auto"/>
              <w:rPr>
                <w:rFonts w:eastAsia="Times New Roman"/>
                <w:noProof/>
                <w:color w:val="004300"/>
                <w:sz w:val="18"/>
                <w:szCs w:val="18"/>
                <w:lang w:val="en-IE" w:eastAsia="en-GB"/>
              </w:rPr>
            </w:pPr>
          </w:p>
          <w:p w:rsidRPr="00D86E9A" w:rsidR="00D87E44" w:rsidRDefault="00D87E44" w14:paraId="15457AEB" w14:textId="77777777">
            <w:pPr>
              <w:spacing w:before="0" w:after="0" w:line="240" w:lineRule="auto"/>
              <w:rPr>
                <w:rFonts w:eastAsia="Times New Roman"/>
                <w:noProof/>
                <w:color w:val="004300"/>
                <w:sz w:val="18"/>
                <w:szCs w:val="18"/>
                <w:lang w:val="en-IE" w:eastAsia="en-GB"/>
              </w:rPr>
            </w:pPr>
            <w:bookmarkStart w:name="_Hlk197939765" w:id="7"/>
            <w:r w:rsidRPr="00D86E9A">
              <w:rPr>
                <w:rFonts w:eastAsia="Times New Roman"/>
                <w:noProof/>
                <w:color w:val="004300"/>
                <w:sz w:val="18"/>
                <w:szCs w:val="18"/>
                <w:lang w:val="en-IE" w:eastAsia="en-GB"/>
              </w:rPr>
              <w:t xml:space="preserve">At least 620 building offices or municipalities shall receive IT </w:t>
            </w:r>
            <w:r w:rsidRPr="00D86E9A">
              <w:rPr>
                <w:rFonts w:eastAsia="Times New Roman"/>
                <w:noProof/>
                <w:color w:val="004300"/>
                <w:sz w:val="18"/>
                <w:szCs w:val="18"/>
                <w:lang w:val="en-IE" w:eastAsia="en-GB"/>
              </w:rPr>
              <w:t>equipment.</w:t>
            </w:r>
          </w:p>
          <w:bookmarkEnd w:id="7"/>
          <w:p w:rsidRPr="00D86E9A" w:rsidR="00D87E44" w:rsidRDefault="00D87E44" w14:paraId="15457AEC" w14:textId="77777777">
            <w:pPr>
              <w:spacing w:before="0" w:after="0" w:line="240" w:lineRule="auto"/>
              <w:rPr>
                <w:rFonts w:eastAsia="Times New Roman"/>
                <w:noProof/>
                <w:color w:val="004300"/>
                <w:sz w:val="18"/>
                <w:szCs w:val="18"/>
                <w:lang w:val="en-IE" w:eastAsia="en-GB"/>
              </w:rPr>
            </w:pPr>
          </w:p>
        </w:tc>
      </w:tr>
      <w:tr w:rsidRPr="00FE48E2" w:rsidR="00E3458A" w14:paraId="15457AF9"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EE"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74</w:t>
            </w:r>
          </w:p>
        </w:tc>
        <w:tc>
          <w:tcPr>
            <w:tcW w:w="16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E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Reform 1: Implementation of the new construction law and zoning law into practice</w:t>
            </w:r>
          </w:p>
        </w:tc>
        <w:tc>
          <w:tcPr>
            <w:tcW w:w="10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0"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Target</w:t>
            </w:r>
          </w:p>
        </w:tc>
        <w:tc>
          <w:tcPr>
            <w:tcW w:w="13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1"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Percentage of permitting procedures </w:t>
            </w:r>
            <w:r>
              <w:rPr>
                <w:rFonts w:eastAsia="Times New Roman"/>
                <w:noProof/>
                <w:color w:val="004300"/>
                <w:sz w:val="18"/>
                <w:szCs w:val="18"/>
                <w:lang w:val="en-IE" w:eastAsia="en-GB"/>
              </w:rPr>
              <w:t>closed</w:t>
            </w:r>
          </w:p>
        </w:tc>
        <w:tc>
          <w:tcPr>
            <w:tcW w:w="13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2" w14:textId="77777777">
            <w:pPr>
              <w:spacing w:before="0" w:after="0" w:line="240" w:lineRule="auto"/>
              <w:rPr>
                <w:rFonts w:eastAsia="Times New Roman"/>
                <w:noProof/>
                <w:color w:val="004300"/>
                <w:sz w:val="18"/>
                <w:szCs w:val="18"/>
                <w:lang w:val="en-IE" w:eastAsia="en-GB"/>
              </w:rPr>
            </w:pP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3"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P</w:t>
            </w:r>
            <w:r w:rsidRPr="00062C72">
              <w:rPr>
                <w:rFonts w:eastAsia="Times New Roman"/>
                <w:noProof/>
                <w:color w:val="004300"/>
                <w:sz w:val="18"/>
                <w:szCs w:val="18"/>
                <w:lang w:val="en-IE" w:eastAsia="en-GB"/>
              </w:rPr>
              <w:t>ercentage</w:t>
            </w:r>
          </w:p>
        </w:tc>
        <w:tc>
          <w:tcPr>
            <w:tcW w:w="91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4"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0</w:t>
            </w:r>
          </w:p>
        </w:tc>
        <w:tc>
          <w:tcPr>
            <w:tcW w:w="6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5"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25</w:t>
            </w:r>
          </w:p>
        </w:tc>
        <w:tc>
          <w:tcPr>
            <w:tcW w:w="9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6"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 </w:t>
            </w:r>
            <w:r w:rsidRPr="476E5A7C">
              <w:rPr>
                <w:rFonts w:eastAsia="Times New Roman"/>
                <w:noProof/>
                <w:color w:val="004300"/>
                <w:sz w:val="18"/>
                <w:szCs w:val="18"/>
                <w:lang w:val="en-IE" w:eastAsia="en-GB"/>
              </w:rPr>
              <w:t>Q4</w:t>
            </w:r>
          </w:p>
        </w:tc>
        <w:tc>
          <w:tcPr>
            <w:tcW w:w="7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7" w14:textId="77777777">
            <w:pPr>
              <w:spacing w:before="0" w:after="0" w:line="240" w:lineRule="auto"/>
              <w:rPr>
                <w:rFonts w:eastAsia="Times New Roman"/>
                <w:noProof/>
                <w:color w:val="004300"/>
                <w:sz w:val="18"/>
                <w:szCs w:val="18"/>
                <w:lang w:val="en-IE" w:eastAsia="en-GB"/>
              </w:rPr>
            </w:pPr>
            <w:r w:rsidRPr="476E5A7C">
              <w:rPr>
                <w:rFonts w:eastAsia="Times New Roman"/>
                <w:noProof/>
                <w:color w:val="004300"/>
                <w:sz w:val="18"/>
                <w:szCs w:val="18"/>
                <w:lang w:val="en-IE" w:eastAsia="en-GB"/>
              </w:rPr>
              <w:t>2025</w:t>
            </w:r>
          </w:p>
        </w:tc>
        <w:tc>
          <w:tcPr>
            <w:tcW w:w="40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8"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At least 25% of permitting procedures launched between 1.7.2024 and 1.7.2025 shall be </w:t>
            </w:r>
            <w:r>
              <w:rPr>
                <w:rFonts w:eastAsia="Times New Roman"/>
                <w:noProof/>
                <w:color w:val="004300"/>
                <w:sz w:val="18"/>
                <w:szCs w:val="18"/>
                <w:lang w:val="en-IE" w:eastAsia="en-GB"/>
              </w:rPr>
              <w:t>closed</w:t>
            </w:r>
            <w:r w:rsidRPr="00062C72">
              <w:rPr>
                <w:rFonts w:eastAsia="Times New Roman"/>
                <w:noProof/>
                <w:color w:val="004300"/>
                <w:sz w:val="18"/>
                <w:szCs w:val="18"/>
                <w:lang w:val="en-IE" w:eastAsia="en-GB"/>
              </w:rPr>
              <w:t xml:space="preserve"> by </w:t>
            </w:r>
            <w:r w:rsidRPr="6DAD5139">
              <w:rPr>
                <w:rFonts w:eastAsia="Times New Roman"/>
                <w:noProof/>
                <w:color w:val="004300"/>
                <w:sz w:val="18"/>
                <w:szCs w:val="18"/>
                <w:lang w:val="en-IE" w:eastAsia="en-GB"/>
              </w:rPr>
              <w:t>31.12.2025</w:t>
            </w:r>
            <w:r w:rsidRPr="00062C72">
              <w:rPr>
                <w:rFonts w:eastAsia="Times New Roman"/>
                <w:noProof/>
                <w:color w:val="004300"/>
                <w:sz w:val="18"/>
                <w:szCs w:val="18"/>
                <w:lang w:val="en-IE" w:eastAsia="en-GB"/>
              </w:rPr>
              <w:t>.</w:t>
            </w:r>
          </w:p>
        </w:tc>
      </w:tr>
      <w:tr w:rsidRPr="00FE48E2" w:rsidR="00E3458A" w14:paraId="15457B08"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A"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77</w:t>
            </w:r>
          </w:p>
        </w:tc>
        <w:tc>
          <w:tcPr>
            <w:tcW w:w="16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B"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Investment 1: Reaping the benefits of digitising in the area of spatial planning and construction policy</w:t>
            </w:r>
          </w:p>
        </w:tc>
        <w:tc>
          <w:tcPr>
            <w:tcW w:w="10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C"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Target</w:t>
            </w:r>
          </w:p>
        </w:tc>
        <w:tc>
          <w:tcPr>
            <w:tcW w:w="13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D"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New or upgraded IT systems in the</w:t>
            </w:r>
            <w:r>
              <w:rPr>
                <w:rFonts w:eastAsia="Times New Roman"/>
                <w:noProof/>
                <w:color w:val="004300"/>
                <w:sz w:val="18"/>
                <w:szCs w:val="18"/>
                <w:lang w:val="en-IE" w:eastAsia="en-GB"/>
              </w:rPr>
              <w:t xml:space="preserve"> area</w:t>
            </w:r>
            <w:r w:rsidRPr="00062C72">
              <w:rPr>
                <w:rFonts w:eastAsia="Times New Roman"/>
                <w:noProof/>
                <w:color w:val="004300"/>
                <w:sz w:val="18"/>
                <w:szCs w:val="18"/>
                <w:lang w:val="en-IE" w:eastAsia="en-GB"/>
              </w:rPr>
              <w:t xml:space="preserve"> of spatial planning or building permitting process</w:t>
            </w:r>
          </w:p>
        </w:tc>
        <w:tc>
          <w:tcPr>
            <w:tcW w:w="13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E" w14:textId="77777777">
            <w:pPr>
              <w:spacing w:before="0" w:after="0" w:line="240" w:lineRule="auto"/>
              <w:rPr>
                <w:rFonts w:eastAsia="Times New Roman"/>
                <w:noProof/>
                <w:color w:val="004300"/>
                <w:sz w:val="18"/>
                <w:szCs w:val="18"/>
                <w:lang w:val="en-IE" w:eastAsia="en-GB"/>
              </w:rPr>
            </w:pP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AFF"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Number</w:t>
            </w:r>
          </w:p>
        </w:tc>
        <w:tc>
          <w:tcPr>
            <w:tcW w:w="91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B00"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0</w:t>
            </w:r>
          </w:p>
        </w:tc>
        <w:tc>
          <w:tcPr>
            <w:tcW w:w="6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B01"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6</w:t>
            </w:r>
          </w:p>
        </w:tc>
        <w:tc>
          <w:tcPr>
            <w:tcW w:w="9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B02"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Q4</w:t>
            </w:r>
          </w:p>
        </w:tc>
        <w:tc>
          <w:tcPr>
            <w:tcW w:w="7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B03" w14:textId="77777777">
            <w:pPr>
              <w:spacing w:before="0" w:after="0" w:line="240"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2025</w:t>
            </w:r>
          </w:p>
        </w:tc>
        <w:tc>
          <w:tcPr>
            <w:tcW w:w="40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062C72" w:rsidR="00D87E44" w:rsidRDefault="00D87E44" w14:paraId="15457B04" w14:textId="77777777">
            <w:pPr>
              <w:spacing w:before="0" w:after="0" w:line="259" w:lineRule="auto"/>
              <w:rPr>
                <w:rFonts w:eastAsia="Times New Roman"/>
                <w:noProof/>
                <w:color w:val="004300"/>
                <w:sz w:val="18"/>
                <w:szCs w:val="18"/>
                <w:lang w:val="en-IE" w:eastAsia="en-GB"/>
              </w:rPr>
            </w:pPr>
            <w:r w:rsidRPr="00062C72">
              <w:rPr>
                <w:rFonts w:eastAsia="Times New Roman"/>
                <w:noProof/>
                <w:color w:val="004300"/>
                <w:sz w:val="18"/>
                <w:szCs w:val="18"/>
                <w:lang w:val="en-IE" w:eastAsia="en-GB"/>
              </w:rPr>
              <w:t xml:space="preserve">Six or more IT systems shall be put in operation in the areas of spatial planning and building permitting: </w:t>
            </w:r>
          </w:p>
          <w:p w:rsidRPr="00062C72" w:rsidR="00D87E44" w:rsidRDefault="00D87E44" w14:paraId="15457B05" w14:textId="77777777">
            <w:pPr>
              <w:spacing w:before="0" w:after="0"/>
              <w:rPr>
                <w:rFonts w:eastAsia="Times New Roman"/>
                <w:noProof/>
                <w:color w:val="004300"/>
                <w:sz w:val="18"/>
                <w:szCs w:val="18"/>
                <w:lang w:val="en-IE" w:eastAsia="en-GB"/>
              </w:rPr>
            </w:pPr>
            <w:r w:rsidRPr="00062C72">
              <w:rPr>
                <w:rFonts w:eastAsia="Times New Roman"/>
                <w:noProof/>
                <w:color w:val="004300"/>
                <w:sz w:val="18"/>
                <w:szCs w:val="18"/>
                <w:lang w:val="en-IE" w:eastAsia="en-GB"/>
              </w:rPr>
              <w:t>These shall include at least:</w:t>
            </w:r>
          </w:p>
          <w:p w:rsidRPr="00E3458A" w:rsidR="00D87E44" w:rsidP="00FF1320" w:rsidRDefault="00D87E44" w14:paraId="15457B06" w14:textId="77777777">
            <w:pPr>
              <w:pStyle w:val="ListParagraph"/>
              <w:numPr>
                <w:ilvl w:val="0"/>
                <w:numId w:val="42"/>
              </w:numPr>
              <w:spacing w:before="0" w:after="0" w:line="259" w:lineRule="auto"/>
              <w:rPr>
                <w:color w:val="004300"/>
                <w:sz w:val="18"/>
                <w:lang w:val="en-IE"/>
              </w:rPr>
            </w:pPr>
            <w:r w:rsidRPr="00E3458A">
              <w:rPr>
                <w:color w:val="004300"/>
                <w:sz w:val="18"/>
                <w:lang w:val="en-IE"/>
              </w:rPr>
              <w:t>Builder’s portal</w:t>
            </w:r>
          </w:p>
          <w:p w:rsidRPr="00E3458A" w:rsidR="00D87E44" w:rsidP="00E3458A" w:rsidRDefault="00D87E44" w14:paraId="15457B07" w14:textId="77777777">
            <w:pPr>
              <w:pStyle w:val="ListParagraph"/>
              <w:numPr>
                <w:ilvl w:val="0"/>
                <w:numId w:val="42"/>
              </w:numPr>
              <w:pBdr>
                <w:top w:val="nil"/>
                <w:left w:val="nil"/>
                <w:bottom w:val="nil"/>
                <w:right w:val="nil"/>
                <w:between w:val="nil"/>
              </w:pBdr>
              <w:spacing w:before="0" w:after="0"/>
              <w:rPr>
                <w:color w:val="004300"/>
                <w:sz w:val="18"/>
                <w:lang w:val="en-IE"/>
              </w:rPr>
            </w:pPr>
            <w:r w:rsidRPr="00E3458A">
              <w:rPr>
                <w:color w:val="004300"/>
                <w:sz w:val="18"/>
                <w:lang w:val="en-IE"/>
              </w:rPr>
              <w:t>National Spatial Planning Geoportal</w:t>
            </w:r>
          </w:p>
        </w:tc>
      </w:tr>
    </w:tbl>
    <w:p w:rsidRPr="00FE48E2" w:rsidR="00D87E44" w:rsidP="00D226F4" w:rsidRDefault="00D87E44" w14:paraId="15457B09" w14:textId="77777777">
      <w:pPr>
        <w:pBdr>
          <w:top w:val="nil"/>
          <w:left w:val="nil"/>
          <w:bottom w:val="nil"/>
          <w:right w:val="nil"/>
          <w:between w:val="nil"/>
        </w:pBdr>
        <w:spacing w:line="240" w:lineRule="auto"/>
        <w:rPr>
          <w:rFonts w:ascii="Calibri" w:hAnsi="Calibri"/>
          <w:noProof/>
          <w:color w:val="000000"/>
          <w:sz w:val="22"/>
          <w:lang w:val="en-IE"/>
        </w:rPr>
        <w:sectPr w:rsidRPr="00FE48E2" w:rsidR="00C16C1F" w:rsidSect="00D226F4">
          <w:headerReference w:type="even" r:id="Rf0be4bc0a57f40f2"/>
          <w:headerReference w:type="default" r:id="R8c6a2aed9b9246e8"/>
          <w:footerReference w:type="even" r:id="Rb8b76ca5db1f46b2"/>
          <w:footerReference w:type="default" r:id="R48626994ac704cf8"/>
          <w:headerReference w:type="first" r:id="Rc9b4365f77504a7a"/>
          <w:footerReference w:type="first" r:id="R174103b3fea04b99"/>
          <w:pgSz w:w="16839" w:h="11907" w:orient="landscape"/>
          <w:pgMar w:top="1134" w:right="1134" w:bottom="1134" w:left="1134" w:header="567" w:footer="567" w:gutter="0"/>
          <w:cols w:space="720"/>
          <w:docGrid w:linePitch="326"/>
        </w:sectPr>
      </w:pPr>
    </w:p>
    <w:p w:rsidRPr="00FF1320" w:rsidR="00D87E44" w:rsidP="00FF1320" w:rsidRDefault="00D87E44" w14:paraId="15457B0A" w14:textId="77777777">
      <w:pPr>
        <w:keepNext/>
        <w:tabs>
          <w:tab w:val="left" w:pos="850"/>
        </w:tabs>
        <w:spacing w:line="240" w:lineRule="auto"/>
        <w:jc w:val="both"/>
        <w:outlineLvl w:val="0"/>
        <w:rPr>
          <w:b/>
          <w:smallCaps/>
          <w:lang w:val="en-IE"/>
        </w:rPr>
      </w:pPr>
      <w:r w:rsidRPr="00FF1320">
        <w:rPr>
          <w:b/>
          <w:smallCaps/>
          <w:lang w:val="en-IE"/>
        </w:rPr>
        <w:lastRenderedPageBreak/>
        <w:t>G. COMPONENT 1.7: Digital Transformation of Public Administration</w:t>
      </w:r>
    </w:p>
    <w:p w:rsidRPr="00FE48E2" w:rsidR="00D87E44" w:rsidP="00D226F4" w:rsidRDefault="00D87E44" w14:paraId="15457B0B" w14:textId="77777777">
      <w:pPr>
        <w:spacing w:line="240" w:lineRule="auto"/>
        <w:jc w:val="both"/>
        <w:rPr>
          <w:noProof/>
          <w:lang w:val="en-IE"/>
        </w:rPr>
      </w:pPr>
      <w:r w:rsidRPr="00FE48E2">
        <w:rPr>
          <w:noProof/>
          <w:lang w:val="en-IE"/>
        </w:rPr>
        <w:t>This</w:t>
      </w:r>
      <w:r w:rsidRPr="00FE48E2" w:rsidDel="000938AD">
        <w:rPr>
          <w:noProof/>
          <w:lang w:val="en-IE"/>
        </w:rPr>
        <w:t xml:space="preserve"> </w:t>
      </w:r>
      <w:r w:rsidRPr="00FE48E2">
        <w:rPr>
          <w:noProof/>
          <w:lang w:val="en-IE"/>
        </w:rPr>
        <w:t xml:space="preserve">component </w:t>
      </w:r>
      <w:r w:rsidRPr="00FE48E2">
        <w:rPr>
          <w:rFonts w:eastAsia="Times New Roman"/>
          <w:noProof/>
          <w:lang w:val="en-IE"/>
        </w:rPr>
        <w:t xml:space="preserve">of the Czech recovery and resilience plan </w:t>
      </w:r>
      <w:r w:rsidRPr="00FE48E2">
        <w:rPr>
          <w:noProof/>
          <w:lang w:val="en-IE"/>
        </w:rPr>
        <w:t>addresses the challenges of digitalising the public administration system. It aims to achieve an increase in the number and level of automation of digital services, an increase in competences and inter-ministerial coordination as well as cooperation in the preparation and creation of new public systems and services. Finally, it</w:t>
      </w:r>
      <w:r w:rsidRPr="00FE48E2" w:rsidDel="001F17AE">
        <w:rPr>
          <w:noProof/>
          <w:lang w:val="en-IE"/>
        </w:rPr>
        <w:t xml:space="preserve"> </w:t>
      </w:r>
      <w:r w:rsidRPr="00FE48E2">
        <w:rPr>
          <w:noProof/>
          <w:lang w:val="en-IE"/>
        </w:rPr>
        <w:t>aims to improve citizens’ trust and their usage of public services via online applications.</w:t>
      </w:r>
      <w:r w:rsidRPr="00FE48E2" w:rsidDel="00F03182">
        <w:rPr>
          <w:noProof/>
          <w:lang w:val="en-IE"/>
        </w:rPr>
        <w:t xml:space="preserve"> </w:t>
      </w:r>
      <w:r w:rsidRPr="00FE48E2">
        <w:rPr>
          <w:noProof/>
          <w:lang w:val="en-IE"/>
        </w:rPr>
        <w:t>The component benefits from synergies with compo</w:t>
      </w:r>
      <w:r w:rsidRPr="00FE48E2">
        <w:rPr>
          <w:noProof/>
          <w:lang w:val="en-IE"/>
        </w:rPr>
        <w:t>nent 1.1 and 1.2 which also address the issue of improved digitalisation of the public sphere.</w:t>
      </w:r>
    </w:p>
    <w:p w:rsidRPr="00FE48E2" w:rsidR="00D87E44" w:rsidP="00D226F4" w:rsidRDefault="00D87E44" w14:paraId="15457B0C" w14:textId="77777777">
      <w:pPr>
        <w:spacing w:line="240" w:lineRule="auto"/>
        <w:jc w:val="both"/>
        <w:rPr>
          <w:noProof/>
          <w:lang w:val="en-IE"/>
        </w:rPr>
      </w:pPr>
      <w:r w:rsidRPr="00FE48E2">
        <w:rPr>
          <w:rFonts w:eastAsia="Times New Roman"/>
          <w:noProof/>
          <w:color w:val="000000" w:themeColor="text1"/>
          <w:lang w:val="en-IE" w:eastAsia="en-IE"/>
        </w:rPr>
        <w:t xml:space="preserve">The component </w:t>
      </w:r>
      <w:r w:rsidRPr="00FE48E2">
        <w:rPr>
          <w:rFonts w:eastAsia="Times New Roman"/>
          <w:noProof/>
          <w:lang w:val="en-IE" w:eastAsia="en-GB"/>
        </w:rPr>
        <w:t xml:space="preserve">supports addressing </w:t>
      </w:r>
      <w:r w:rsidRPr="00FE48E2">
        <w:rPr>
          <w:noProof/>
          <w:lang w:val="en-IE"/>
        </w:rPr>
        <w:t xml:space="preserve">Country Specific Recommendation </w:t>
      </w:r>
      <w:r w:rsidRPr="1D9C87BC">
        <w:rPr>
          <w:noProof/>
          <w:lang w:val="en-IE"/>
        </w:rPr>
        <w:t>1 2023</w:t>
      </w:r>
      <w:r w:rsidRPr="1D9C87BC">
        <w:rPr>
          <w:rFonts w:eastAsia="Times New Roman"/>
          <w:noProof/>
          <w:lang w:val="en-IE" w:eastAsia="en-GB"/>
        </w:rPr>
        <w:t>,</w:t>
      </w:r>
      <w:r w:rsidRPr="00FE48E2">
        <w:rPr>
          <w:rFonts w:eastAsia="Times New Roman"/>
          <w:noProof/>
          <w:lang w:val="en-IE" w:eastAsia="en-GB"/>
        </w:rPr>
        <w:t xml:space="preserve"> according to which Czechia shall</w:t>
      </w:r>
      <w:r w:rsidRPr="00FE48E2">
        <w:rPr>
          <w:noProof/>
          <w:lang w:val="en-IE"/>
        </w:rPr>
        <w:t xml:space="preserve"> </w:t>
      </w:r>
      <w:r w:rsidRPr="3F9EFC31">
        <w:rPr>
          <w:noProof/>
          <w:lang w:val="en-IE"/>
        </w:rPr>
        <w:t>expand public investment in the</w:t>
      </w:r>
      <w:r w:rsidRPr="00FE48E2">
        <w:rPr>
          <w:noProof/>
          <w:lang w:val="en-IE"/>
        </w:rPr>
        <w:t xml:space="preserve"> digital </w:t>
      </w:r>
      <w:r w:rsidRPr="3F9EFC31">
        <w:rPr>
          <w:noProof/>
          <w:lang w:val="en-IE"/>
        </w:rPr>
        <w:t>transition</w:t>
      </w:r>
      <w:r w:rsidRPr="00FE48E2">
        <w:rPr>
          <w:noProof/>
          <w:lang w:val="en-IE"/>
        </w:rPr>
        <w:t>.</w:t>
      </w:r>
    </w:p>
    <w:p w:rsidR="00D87E44" w:rsidP="00D226F4" w:rsidRDefault="00D87E44" w14:paraId="15457B0D" w14:textId="77777777">
      <w:pPr>
        <w:spacing w:line="276" w:lineRule="auto"/>
        <w:jc w:val="both"/>
        <w:rPr>
          <w:noProof/>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EF0F90" w:rsidR="00D87E44" w:rsidP="00D226F4" w:rsidRDefault="00D87E44" w14:paraId="15457B0E" w14:textId="77777777">
      <w:pPr>
        <w:spacing w:line="276" w:lineRule="auto"/>
        <w:jc w:val="both"/>
        <w:rPr>
          <w:noProof/>
          <w:sz w:val="22"/>
          <w:lang w:val="en-IE"/>
        </w:rPr>
      </w:pPr>
    </w:p>
    <w:p w:rsidRPr="00FE48E2" w:rsidR="00D87E44" w:rsidP="00D226F4" w:rsidRDefault="00D87E44" w14:paraId="15457B0F" w14:textId="77777777">
      <w:pPr>
        <w:spacing w:line="240" w:lineRule="auto"/>
        <w:jc w:val="both"/>
        <w:rPr>
          <w:noProof/>
          <w:lang w:val="en-IE"/>
        </w:rPr>
      </w:pPr>
      <w:r w:rsidRPr="781FE9D9">
        <w:rPr>
          <w:b/>
          <w:bCs/>
          <w:noProof/>
          <w:u w:val="single"/>
          <w:lang w:val="en-IE"/>
        </w:rPr>
        <w:t>G.1. Description of the reforms and investments for non-repayable financial support</w:t>
      </w:r>
    </w:p>
    <w:p w:rsidRPr="00602376" w:rsidR="00D87E44" w:rsidP="4A45BCA2" w:rsidRDefault="00D87E44" w14:paraId="15457B10" w14:textId="77777777">
      <w:pPr>
        <w:spacing w:line="240" w:lineRule="auto"/>
        <w:jc w:val="both"/>
        <w:rPr>
          <w:rFonts w:eastAsia="Times New Roman"/>
          <w:b/>
          <w:bCs/>
          <w:noProof/>
          <w:lang w:val="en-IE"/>
        </w:rPr>
      </w:pPr>
      <w:bookmarkStart w:name="_Hlk200450814" w:id="8"/>
      <w:r w:rsidRPr="4A45BCA2">
        <w:rPr>
          <w:rFonts w:eastAsia="Times New Roman"/>
          <w:b/>
          <w:bCs/>
          <w:noProof/>
          <w:lang w:val="en-IE"/>
        </w:rPr>
        <w:t>Reform 1: Legislative act on data management and controlled access to data</w:t>
      </w:r>
    </w:p>
    <w:bookmarkEnd w:id="8"/>
    <w:p w:rsidRPr="00B32572" w:rsidR="00D87E44" w:rsidP="00D226F4" w:rsidRDefault="00D87E44" w14:paraId="15457B11" w14:textId="77777777">
      <w:pPr>
        <w:spacing w:line="240" w:lineRule="auto"/>
        <w:jc w:val="both"/>
        <w:rPr>
          <w:rFonts w:eastAsia="Times New Roman"/>
          <w:noProof/>
          <w:lang w:val="en-IE"/>
        </w:rPr>
      </w:pPr>
      <w:r>
        <w:rPr>
          <w:rFonts w:eastAsia="Times New Roman"/>
          <w:noProof/>
          <w:lang w:val="en-IE"/>
        </w:rPr>
        <w:t>The objective of this measure is to</w:t>
      </w:r>
      <w:r w:rsidRPr="004E393E">
        <w:rPr>
          <w:rFonts w:eastAsia="Times New Roman"/>
          <w:noProof/>
          <w:lang w:val="en-IE"/>
        </w:rPr>
        <w:t xml:space="preserve"> </w:t>
      </w:r>
      <w:r>
        <w:rPr>
          <w:rFonts w:eastAsia="Times New Roman"/>
          <w:noProof/>
          <w:lang w:val="en-IE"/>
        </w:rPr>
        <w:t>reform</w:t>
      </w:r>
      <w:r w:rsidRPr="6DAD5139">
        <w:rPr>
          <w:rFonts w:eastAsia="Times New Roman"/>
          <w:noProof/>
          <w:lang w:val="en-IE"/>
        </w:rPr>
        <w:t xml:space="preserve"> the management of </w:t>
      </w:r>
      <w:r w:rsidRPr="00B32572">
        <w:rPr>
          <w:rFonts w:eastAsia="Times New Roman"/>
          <w:noProof/>
          <w:lang w:val="en-IE"/>
        </w:rPr>
        <w:t xml:space="preserve">data in public </w:t>
      </w:r>
      <w:r w:rsidRPr="6DAD5139">
        <w:rPr>
          <w:rFonts w:eastAsia="Times New Roman"/>
          <w:noProof/>
          <w:lang w:val="en-IE"/>
        </w:rPr>
        <w:t>administration</w:t>
      </w:r>
      <w:r w:rsidRPr="00B32572">
        <w:rPr>
          <w:rFonts w:eastAsia="Times New Roman"/>
          <w:noProof/>
          <w:lang w:val="en-IE"/>
        </w:rPr>
        <w:t xml:space="preserve">. </w:t>
      </w:r>
      <w:r>
        <w:rPr>
          <w:rFonts w:eastAsia="Times New Roman"/>
          <w:noProof/>
          <w:lang w:val="en-IE"/>
        </w:rPr>
        <w:t xml:space="preserve">The measure consists </w:t>
      </w:r>
      <w:r w:rsidRPr="788593BB">
        <w:rPr>
          <w:rFonts w:eastAsia="Times New Roman"/>
          <w:noProof/>
          <w:lang w:val="en-IE"/>
        </w:rPr>
        <w:t>in</w:t>
      </w:r>
      <w:r>
        <w:rPr>
          <w:rFonts w:eastAsia="Times New Roman"/>
          <w:noProof/>
          <w:lang w:val="en-IE"/>
        </w:rPr>
        <w:t xml:space="preserve"> the adoption of a new legislation on data management and controlled access to data.</w:t>
      </w:r>
      <w:r w:rsidRPr="002722C6">
        <w:rPr>
          <w:rFonts w:eastAsia="Times New Roman"/>
          <w:noProof/>
          <w:lang w:val="en-IE"/>
        </w:rPr>
        <w:t xml:space="preserve"> </w:t>
      </w:r>
    </w:p>
    <w:p w:rsidRPr="00FE48E2" w:rsidR="00D87E44" w:rsidP="00D226F4" w:rsidRDefault="00D87E44" w14:paraId="15457B12" w14:textId="77777777">
      <w:pPr>
        <w:spacing w:line="240" w:lineRule="auto"/>
        <w:rPr>
          <w:rFonts w:eastAsia="Times New Roman"/>
          <w:b/>
          <w:noProof/>
          <w:lang w:val="en-IE" w:eastAsia="en-IE"/>
        </w:rPr>
      </w:pPr>
      <w:r w:rsidRPr="00FE48E2">
        <w:rPr>
          <w:b/>
          <w:noProof/>
          <w:lang w:val="en-IE"/>
        </w:rPr>
        <w:t xml:space="preserve">Investment </w:t>
      </w:r>
      <w:r w:rsidRPr="00FE48E2" w:rsidDel="004D39EF">
        <w:rPr>
          <w:b/>
          <w:noProof/>
          <w:lang w:val="en-IE"/>
        </w:rPr>
        <w:t>2</w:t>
      </w:r>
      <w:r w:rsidRPr="00FE48E2">
        <w:rPr>
          <w:b/>
          <w:noProof/>
          <w:lang w:val="en-IE"/>
        </w:rPr>
        <w:t>:</w:t>
      </w:r>
      <w:r w:rsidRPr="00FE48E2">
        <w:rPr>
          <w:rFonts w:eastAsia="Times New Roman"/>
          <w:b/>
          <w:noProof/>
          <w:color w:val="006100"/>
          <w:sz w:val="18"/>
          <w:szCs w:val="18"/>
          <w:lang w:val="en-IE"/>
        </w:rPr>
        <w:t xml:space="preserve"> </w:t>
      </w:r>
      <w:r w:rsidRPr="55C98589">
        <w:rPr>
          <w:rFonts w:eastAsia="Times New Roman"/>
          <w:b/>
          <w:bCs/>
          <w:noProof/>
          <w:lang w:val="en-IE" w:eastAsia="en-IE"/>
        </w:rPr>
        <w:t>Improvement</w:t>
      </w:r>
      <w:r w:rsidRPr="00FE48E2">
        <w:rPr>
          <w:rFonts w:eastAsia="Times New Roman"/>
          <w:b/>
          <w:noProof/>
          <w:lang w:val="en-IE" w:eastAsia="en-IE"/>
        </w:rPr>
        <w:t xml:space="preserve"> of the management system for digitalised services</w:t>
      </w:r>
    </w:p>
    <w:p w:rsidRPr="00FE48E2" w:rsidR="00D87E44" w:rsidP="00D226F4" w:rsidRDefault="00D87E44" w14:paraId="15457B13" w14:textId="77777777">
      <w:pPr>
        <w:spacing w:line="240" w:lineRule="auto"/>
        <w:jc w:val="both"/>
        <w:rPr>
          <w:rFonts w:eastAsia="Times New Roman"/>
          <w:noProof/>
          <w:lang w:val="en-IE" w:eastAsia="en-IE"/>
        </w:rPr>
      </w:pPr>
      <w:r w:rsidRPr="00FE48E2">
        <w:rPr>
          <w:rFonts w:eastAsia="Times New Roman"/>
          <w:noProof/>
          <w:lang w:val="en-IE" w:eastAsia="en-IE"/>
        </w:rPr>
        <w:t xml:space="preserve">The objective of the investment is to optimise digitalised </w:t>
      </w:r>
      <w:r>
        <w:rPr>
          <w:rFonts w:eastAsia="Times New Roman"/>
          <w:noProof/>
          <w:lang w:val="en-IE" w:eastAsia="en-IE"/>
        </w:rPr>
        <w:t>public administration s</w:t>
      </w:r>
      <w:r w:rsidRPr="00FE48E2">
        <w:rPr>
          <w:rFonts w:eastAsia="Times New Roman"/>
          <w:noProof/>
          <w:lang w:val="en-IE" w:eastAsia="en-IE"/>
        </w:rPr>
        <w:t>ervices</w:t>
      </w:r>
      <w:r>
        <w:rPr>
          <w:rFonts w:eastAsia="Times New Roman"/>
          <w:noProof/>
          <w:lang w:val="en-IE" w:eastAsia="en-IE"/>
        </w:rPr>
        <w:t xml:space="preserve">. The measure consists </w:t>
      </w:r>
      <w:r w:rsidRPr="2C996A1A">
        <w:rPr>
          <w:rFonts w:eastAsia="Times New Roman"/>
          <w:noProof/>
          <w:lang w:val="en-IE" w:eastAsia="en-IE"/>
        </w:rPr>
        <w:t>in</w:t>
      </w:r>
      <w:r>
        <w:rPr>
          <w:rFonts w:eastAsia="Times New Roman"/>
          <w:noProof/>
          <w:lang w:val="en-IE" w:eastAsia="en-IE"/>
        </w:rPr>
        <w:t xml:space="preserve"> establishment of </w:t>
      </w:r>
      <w:r w:rsidRPr="00E3458A">
        <w:rPr>
          <w:lang w:val="en-IE"/>
        </w:rPr>
        <w:t>working groups</w:t>
      </w:r>
      <w:r>
        <w:rPr>
          <w:rFonts w:eastAsia="Times New Roman"/>
          <w:noProof/>
          <w:lang w:val="en-IE" w:eastAsia="en-IE"/>
        </w:rPr>
        <w:t xml:space="preserve">, creation of </w:t>
      </w:r>
      <w:r w:rsidRPr="00E3458A">
        <w:rPr>
          <w:lang w:val="en-IE"/>
        </w:rPr>
        <w:t>information systems</w:t>
      </w:r>
      <w:r>
        <w:rPr>
          <w:rFonts w:eastAsia="Times New Roman"/>
          <w:noProof/>
          <w:lang w:val="en-IE" w:eastAsia="en-IE"/>
        </w:rPr>
        <w:t>, joining of central government authorities’ websites under a shared domain (*gov.cz), making available</w:t>
      </w:r>
      <w:r w:rsidRPr="00FF1320">
        <w:rPr>
          <w:lang w:val="en-IE"/>
        </w:rPr>
        <w:t xml:space="preserve"> a public administration contact centre</w:t>
      </w:r>
      <w:r>
        <w:rPr>
          <w:rFonts w:eastAsia="Times New Roman"/>
          <w:noProof/>
          <w:lang w:val="en-IE" w:eastAsia="en-IE"/>
        </w:rPr>
        <w:t xml:space="preserve">, and a central data warehouse. </w:t>
      </w:r>
    </w:p>
    <w:p w:rsidRPr="00FE48E2" w:rsidR="00D87E44" w:rsidP="00D226F4" w:rsidRDefault="00D87E44" w14:paraId="15457B14" w14:textId="77777777">
      <w:pPr>
        <w:spacing w:line="240" w:lineRule="auto"/>
        <w:jc w:val="both"/>
        <w:rPr>
          <w:noProof/>
          <w:lang w:val="en-IE"/>
        </w:rPr>
        <w:sectPr w:rsidRPr="00FE48E2" w:rsidR="00C16C1F" w:rsidSect="00D226F4">
          <w:headerReference w:type="even" r:id="R4da87399ce7d4505"/>
          <w:headerReference w:type="default" r:id="Rf2e04ee353e94535"/>
          <w:footerReference w:type="even" r:id="R5db9c9a6446b4b9b"/>
          <w:footerReference w:type="default" r:id="Re7b362520da64b10"/>
          <w:headerReference w:type="first" r:id="R2ff3a2e5739c4831"/>
          <w:footerReference w:type="first" r:id="Rfbd9b67342504d67"/>
          <w:pgSz w:w="11907" w:h="16839"/>
          <w:pgMar w:top="1134" w:right="1134" w:bottom="1134" w:left="1134" w:header="567" w:footer="567" w:gutter="0"/>
          <w:cols w:space="720"/>
          <w:docGrid w:linePitch="326"/>
        </w:sectPr>
      </w:pPr>
    </w:p>
    <w:p w:rsidRPr="00FE48E2" w:rsidR="00D87E44" w:rsidP="00D226F4" w:rsidRDefault="00D87E44" w14:paraId="15457B15" w14:textId="77777777">
      <w:pPr>
        <w:keepNext/>
        <w:spacing w:before="360" w:line="240" w:lineRule="auto"/>
        <w:jc w:val="both"/>
        <w:rPr>
          <w:b/>
          <w:bCs/>
          <w:noProof/>
          <w:color w:val="000000"/>
          <w:u w:val="single"/>
          <w:lang w:val="en-IE"/>
        </w:rPr>
      </w:pPr>
      <w:r w:rsidRPr="2CAEDAF1">
        <w:rPr>
          <w:b/>
          <w:bCs/>
          <w:noProof/>
          <w:color w:val="000000" w:themeColor="text1"/>
          <w:u w:val="single"/>
          <w:lang w:val="en-IE"/>
        </w:rPr>
        <w:lastRenderedPageBreak/>
        <w:t>G.2. Milestones, targets, indicators, and timetable for monitoring and implementation for non-repayable financial support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gridCol w:w="1372"/>
        <w:gridCol w:w="1030"/>
        <w:gridCol w:w="1792"/>
        <w:gridCol w:w="1511"/>
        <w:gridCol w:w="860"/>
        <w:gridCol w:w="851"/>
        <w:gridCol w:w="914"/>
        <w:gridCol w:w="1080"/>
        <w:gridCol w:w="658"/>
        <w:gridCol w:w="3845"/>
      </w:tblGrid>
      <w:tr w:rsidRPr="00FE48E2" w:rsidR="00E3458A" w:rsidTr="009F3A8B" w14:paraId="15457B1E" w14:textId="77777777">
        <w:trPr>
          <w:trHeight w:val="105"/>
          <w:tblHeader/>
        </w:trPr>
        <w:tc>
          <w:tcPr>
            <w:tcW w:w="647" w:type="dxa"/>
            <w:vMerge w:val="restart"/>
            <w:shd w:val="clear" w:color="auto" w:fill="BDD7EE"/>
            <w:tcMar>
              <w:left w:w="105" w:type="dxa"/>
              <w:right w:w="105" w:type="dxa"/>
            </w:tcMar>
            <w:vAlign w:val="center"/>
          </w:tcPr>
          <w:p w:rsidRPr="00FE48E2" w:rsidR="00D87E44" w:rsidRDefault="00D87E44" w14:paraId="15457B16"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Seq. Num.</w:t>
            </w:r>
          </w:p>
        </w:tc>
        <w:tc>
          <w:tcPr>
            <w:tcW w:w="1371" w:type="dxa"/>
            <w:vMerge w:val="restart"/>
            <w:shd w:val="clear" w:color="auto" w:fill="BDD7EE"/>
            <w:tcMar>
              <w:left w:w="105" w:type="dxa"/>
              <w:right w:w="105" w:type="dxa"/>
            </w:tcMar>
            <w:vAlign w:val="center"/>
          </w:tcPr>
          <w:p w:rsidRPr="00FE48E2" w:rsidR="00D87E44" w:rsidRDefault="00D87E44" w14:paraId="15457B17"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Related measure (Reform or Investment)</w:t>
            </w:r>
          </w:p>
        </w:tc>
        <w:tc>
          <w:tcPr>
            <w:tcW w:w="1030" w:type="dxa"/>
            <w:vMerge w:val="restart"/>
            <w:shd w:val="clear" w:color="auto" w:fill="BDD7EE"/>
            <w:tcMar>
              <w:left w:w="105" w:type="dxa"/>
              <w:right w:w="105" w:type="dxa"/>
            </w:tcMar>
            <w:vAlign w:val="center"/>
          </w:tcPr>
          <w:p w:rsidRPr="00FE48E2" w:rsidR="00D87E44" w:rsidRDefault="00D87E44" w14:paraId="15457B18"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Milestone / Target</w:t>
            </w:r>
          </w:p>
        </w:tc>
        <w:tc>
          <w:tcPr>
            <w:tcW w:w="1792" w:type="dxa"/>
            <w:vMerge w:val="restart"/>
            <w:shd w:val="clear" w:color="auto" w:fill="BDD7EE"/>
            <w:tcMar>
              <w:left w:w="105" w:type="dxa"/>
              <w:right w:w="105" w:type="dxa"/>
            </w:tcMar>
            <w:vAlign w:val="center"/>
          </w:tcPr>
          <w:p w:rsidRPr="00FE48E2" w:rsidR="00D87E44" w:rsidRDefault="00D87E44" w14:paraId="15457B19"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Name</w:t>
            </w:r>
          </w:p>
        </w:tc>
        <w:tc>
          <w:tcPr>
            <w:tcW w:w="1511" w:type="dxa"/>
            <w:vMerge w:val="restart"/>
            <w:shd w:val="clear" w:color="auto" w:fill="BDD7EE"/>
            <w:tcMar>
              <w:left w:w="105" w:type="dxa"/>
              <w:right w:w="105" w:type="dxa"/>
            </w:tcMar>
            <w:vAlign w:val="center"/>
          </w:tcPr>
          <w:p w:rsidRPr="00FE48E2" w:rsidR="00D87E44" w:rsidRDefault="00D87E44" w14:paraId="15457B1A"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Qualitative indicators</w:t>
            </w:r>
            <w:r w:rsidRPr="00FE48E2">
              <w:rPr>
                <w:noProof/>
                <w:lang w:val="en-IE"/>
              </w:rPr>
              <w:br/>
            </w:r>
            <w:r w:rsidRPr="00FE48E2">
              <w:rPr>
                <w:rFonts w:eastAsia="Times New Roman"/>
                <w:b/>
                <w:noProof/>
                <w:color w:val="000000" w:themeColor="text1"/>
                <w:sz w:val="18"/>
                <w:szCs w:val="18"/>
                <w:lang w:val="en-IE"/>
              </w:rPr>
              <w:t xml:space="preserve"> (for milestones)</w:t>
            </w:r>
          </w:p>
        </w:tc>
        <w:tc>
          <w:tcPr>
            <w:tcW w:w="2625" w:type="dxa"/>
            <w:gridSpan w:val="3"/>
            <w:shd w:val="clear" w:color="auto" w:fill="BDD7EE"/>
            <w:tcMar>
              <w:left w:w="105" w:type="dxa"/>
              <w:right w:w="105" w:type="dxa"/>
            </w:tcMar>
            <w:vAlign w:val="center"/>
          </w:tcPr>
          <w:p w:rsidRPr="00FE48E2" w:rsidR="00D87E44" w:rsidRDefault="00D87E44" w14:paraId="15457B1B"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Quantitative indicators</w:t>
            </w:r>
            <w:r w:rsidRPr="00FE48E2">
              <w:rPr>
                <w:noProof/>
                <w:lang w:val="en-IE"/>
              </w:rPr>
              <w:br/>
            </w:r>
            <w:r w:rsidRPr="00FE48E2">
              <w:rPr>
                <w:rFonts w:eastAsia="Times New Roman"/>
                <w:b/>
                <w:noProof/>
                <w:color w:val="000000" w:themeColor="text1"/>
                <w:sz w:val="18"/>
                <w:szCs w:val="18"/>
                <w:lang w:val="en-IE"/>
              </w:rPr>
              <w:t xml:space="preserve"> (for targets)</w:t>
            </w:r>
          </w:p>
        </w:tc>
        <w:tc>
          <w:tcPr>
            <w:tcW w:w="1738" w:type="dxa"/>
            <w:gridSpan w:val="2"/>
            <w:shd w:val="clear" w:color="auto" w:fill="BDD7EE"/>
            <w:tcMar>
              <w:left w:w="105" w:type="dxa"/>
              <w:right w:w="105" w:type="dxa"/>
            </w:tcMar>
            <w:vAlign w:val="center"/>
          </w:tcPr>
          <w:p w:rsidRPr="00FE48E2" w:rsidR="00D87E44" w:rsidRDefault="00D87E44" w14:paraId="15457B1C"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Indicative timeline for completion</w:t>
            </w:r>
          </w:p>
        </w:tc>
        <w:tc>
          <w:tcPr>
            <w:tcW w:w="3844" w:type="dxa"/>
            <w:vMerge w:val="restart"/>
            <w:shd w:val="clear" w:color="auto" w:fill="BDD7EE"/>
            <w:tcMar>
              <w:left w:w="105" w:type="dxa"/>
              <w:right w:w="105" w:type="dxa"/>
            </w:tcMar>
            <w:vAlign w:val="center"/>
          </w:tcPr>
          <w:p w:rsidRPr="00FE48E2" w:rsidR="00D87E44" w:rsidRDefault="00D87E44" w14:paraId="15457B1D"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Description and clear definition of each milestone and target</w:t>
            </w:r>
          </w:p>
        </w:tc>
      </w:tr>
      <w:tr w:rsidRPr="00FE48E2" w:rsidR="00E3458A" w:rsidTr="009F3A8B" w14:paraId="15457B2A" w14:textId="77777777">
        <w:trPr>
          <w:trHeight w:val="165"/>
          <w:tblHeader/>
        </w:trPr>
        <w:tc>
          <w:tcPr>
            <w:tcW w:w="647" w:type="dxa"/>
            <w:vMerge/>
            <w:vAlign w:val="center"/>
          </w:tcPr>
          <w:p w:rsidRPr="00FE48E2" w:rsidR="00D87E44" w:rsidRDefault="00D87E44" w14:paraId="15457B1F" w14:textId="77777777">
            <w:pPr>
              <w:rPr>
                <w:noProof/>
                <w:lang w:val="en-IE"/>
              </w:rPr>
            </w:pPr>
          </w:p>
        </w:tc>
        <w:tc>
          <w:tcPr>
            <w:tcW w:w="1371" w:type="dxa"/>
            <w:vMerge/>
            <w:vAlign w:val="center"/>
          </w:tcPr>
          <w:p w:rsidRPr="00FE48E2" w:rsidR="00D87E44" w:rsidRDefault="00D87E44" w14:paraId="15457B20" w14:textId="77777777">
            <w:pPr>
              <w:rPr>
                <w:noProof/>
                <w:lang w:val="en-IE"/>
              </w:rPr>
            </w:pPr>
          </w:p>
        </w:tc>
        <w:tc>
          <w:tcPr>
            <w:tcW w:w="1030" w:type="dxa"/>
            <w:vMerge/>
            <w:vAlign w:val="center"/>
          </w:tcPr>
          <w:p w:rsidRPr="00FE48E2" w:rsidR="00D87E44" w:rsidRDefault="00D87E44" w14:paraId="15457B21" w14:textId="77777777">
            <w:pPr>
              <w:rPr>
                <w:noProof/>
                <w:lang w:val="en-IE"/>
              </w:rPr>
            </w:pPr>
          </w:p>
        </w:tc>
        <w:tc>
          <w:tcPr>
            <w:tcW w:w="1792" w:type="dxa"/>
            <w:vMerge/>
            <w:vAlign w:val="center"/>
          </w:tcPr>
          <w:p w:rsidRPr="00FE48E2" w:rsidR="00D87E44" w:rsidRDefault="00D87E44" w14:paraId="15457B22" w14:textId="77777777">
            <w:pPr>
              <w:rPr>
                <w:noProof/>
                <w:lang w:val="en-IE"/>
              </w:rPr>
            </w:pPr>
          </w:p>
        </w:tc>
        <w:tc>
          <w:tcPr>
            <w:tcW w:w="1511" w:type="dxa"/>
            <w:vMerge/>
            <w:vAlign w:val="center"/>
          </w:tcPr>
          <w:p w:rsidRPr="00FE48E2" w:rsidR="00D87E44" w:rsidRDefault="00D87E44" w14:paraId="15457B23" w14:textId="77777777">
            <w:pPr>
              <w:rPr>
                <w:noProof/>
                <w:lang w:val="en-IE"/>
              </w:rPr>
            </w:pPr>
          </w:p>
        </w:tc>
        <w:tc>
          <w:tcPr>
            <w:tcW w:w="860" w:type="dxa"/>
            <w:shd w:val="clear" w:color="auto" w:fill="BDD7EE"/>
            <w:tcMar>
              <w:left w:w="105" w:type="dxa"/>
              <w:right w:w="105" w:type="dxa"/>
            </w:tcMar>
            <w:vAlign w:val="center"/>
          </w:tcPr>
          <w:p w:rsidRPr="00FE48E2" w:rsidR="00D87E44" w:rsidRDefault="00D87E44" w14:paraId="15457B24"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Unit of measure</w:t>
            </w:r>
          </w:p>
        </w:tc>
        <w:tc>
          <w:tcPr>
            <w:tcW w:w="851" w:type="dxa"/>
            <w:shd w:val="clear" w:color="auto" w:fill="BDD7EE"/>
            <w:tcMar>
              <w:left w:w="105" w:type="dxa"/>
              <w:right w:w="105" w:type="dxa"/>
            </w:tcMar>
            <w:vAlign w:val="center"/>
          </w:tcPr>
          <w:p w:rsidRPr="00FE48E2" w:rsidR="00D87E44" w:rsidRDefault="00D87E44" w14:paraId="15457B25"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Baseline</w:t>
            </w:r>
          </w:p>
        </w:tc>
        <w:tc>
          <w:tcPr>
            <w:tcW w:w="914" w:type="dxa"/>
            <w:shd w:val="clear" w:color="auto" w:fill="BDD7EE"/>
            <w:tcMar>
              <w:left w:w="105" w:type="dxa"/>
              <w:right w:w="105" w:type="dxa"/>
            </w:tcMar>
            <w:vAlign w:val="center"/>
          </w:tcPr>
          <w:p w:rsidRPr="00FE48E2" w:rsidR="00D87E44" w:rsidRDefault="00D87E44" w14:paraId="15457B26"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Goal</w:t>
            </w:r>
          </w:p>
        </w:tc>
        <w:tc>
          <w:tcPr>
            <w:tcW w:w="1080" w:type="dxa"/>
            <w:shd w:val="clear" w:color="auto" w:fill="BDD7EE"/>
            <w:tcMar>
              <w:left w:w="105" w:type="dxa"/>
              <w:right w:w="105" w:type="dxa"/>
            </w:tcMar>
            <w:vAlign w:val="center"/>
          </w:tcPr>
          <w:p w:rsidRPr="00FE48E2" w:rsidR="00D87E44" w:rsidRDefault="00D87E44" w14:paraId="15457B27"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Quarter</w:t>
            </w:r>
          </w:p>
        </w:tc>
        <w:tc>
          <w:tcPr>
            <w:tcW w:w="658" w:type="dxa"/>
            <w:shd w:val="clear" w:color="auto" w:fill="BDD7EE"/>
            <w:tcMar>
              <w:left w:w="105" w:type="dxa"/>
              <w:right w:w="105" w:type="dxa"/>
            </w:tcMar>
            <w:vAlign w:val="center"/>
          </w:tcPr>
          <w:p w:rsidRPr="00FE48E2" w:rsidR="00D87E44" w:rsidRDefault="00D87E44" w14:paraId="15457B28"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Year</w:t>
            </w:r>
          </w:p>
        </w:tc>
        <w:tc>
          <w:tcPr>
            <w:tcW w:w="3844" w:type="dxa"/>
            <w:vMerge/>
            <w:vAlign w:val="center"/>
          </w:tcPr>
          <w:p w:rsidRPr="00FE48E2" w:rsidR="00D87E44" w:rsidRDefault="00D87E44" w14:paraId="15457B29" w14:textId="77777777">
            <w:pPr>
              <w:rPr>
                <w:noProof/>
                <w:lang w:val="en-IE"/>
              </w:rPr>
            </w:pPr>
          </w:p>
        </w:tc>
      </w:tr>
      <w:tr w:rsidRPr="00B41A05" w:rsidR="00E3458A" w:rsidTr="009F3A8B" w14:paraId="15457B3D" w14:textId="77777777">
        <w:trPr>
          <w:trHeight w:val="1845"/>
        </w:trPr>
        <w:tc>
          <w:tcPr>
            <w:tcW w:w="647" w:type="dxa"/>
            <w:shd w:val="clear" w:color="auto" w:fill="C6EFCE"/>
            <w:tcMar>
              <w:left w:w="105" w:type="dxa"/>
              <w:right w:w="105" w:type="dxa"/>
            </w:tcMar>
          </w:tcPr>
          <w:p w:rsidRPr="008C7FAF" w:rsidR="00D87E44" w:rsidRDefault="00D87E44" w14:paraId="15457B2B" w14:textId="77777777">
            <w:pPr>
              <w:spacing w:before="0" w:after="0" w:line="240" w:lineRule="auto"/>
              <w:rPr>
                <w:noProof/>
                <w:color w:val="004300"/>
                <w:sz w:val="18"/>
                <w:lang w:val="en-IE"/>
              </w:rPr>
            </w:pPr>
            <w:r w:rsidRPr="008C7FAF">
              <w:rPr>
                <w:noProof/>
                <w:color w:val="004300"/>
                <w:sz w:val="18"/>
                <w:lang w:val="en-IE"/>
              </w:rPr>
              <w:t>347</w:t>
            </w:r>
          </w:p>
        </w:tc>
        <w:tc>
          <w:tcPr>
            <w:tcW w:w="1371" w:type="dxa"/>
            <w:shd w:val="clear" w:color="auto" w:fill="C6EFCE"/>
            <w:tcMar>
              <w:left w:w="105" w:type="dxa"/>
              <w:right w:w="105" w:type="dxa"/>
            </w:tcMar>
          </w:tcPr>
          <w:p w:rsidRPr="008C7FAF" w:rsidR="00D87E44" w:rsidRDefault="00D87E44" w14:paraId="15457B2C" w14:textId="77777777">
            <w:pPr>
              <w:spacing w:before="0" w:after="0" w:line="240" w:lineRule="auto"/>
              <w:rPr>
                <w:noProof/>
                <w:color w:val="004300"/>
                <w:sz w:val="18"/>
                <w:lang w:val="en-IE"/>
              </w:rPr>
            </w:pPr>
            <w:r w:rsidRPr="008C7FAF">
              <w:rPr>
                <w:noProof/>
                <w:color w:val="004300"/>
                <w:sz w:val="18"/>
                <w:lang w:val="en-IE"/>
              </w:rPr>
              <w:t xml:space="preserve">Reform 1: </w:t>
            </w:r>
            <w:r>
              <w:rPr>
                <w:rFonts w:eastAsia="Times New Roman"/>
                <w:noProof/>
                <w:color w:val="004300"/>
                <w:sz w:val="18"/>
                <w:szCs w:val="18"/>
                <w:lang w:val="en-IE" w:eastAsia="en-GB"/>
              </w:rPr>
              <w:t>Legislative act</w:t>
            </w:r>
            <w:r w:rsidRPr="008C7FAF">
              <w:rPr>
                <w:noProof/>
                <w:color w:val="004300"/>
                <w:sz w:val="18"/>
                <w:lang w:val="en-IE"/>
              </w:rPr>
              <w:t xml:space="preserve"> on </w:t>
            </w:r>
            <w:r>
              <w:rPr>
                <w:rFonts w:eastAsia="Times New Roman"/>
                <w:noProof/>
                <w:color w:val="004300"/>
                <w:sz w:val="18"/>
                <w:szCs w:val="18"/>
                <w:lang w:val="en-IE" w:eastAsia="en-GB"/>
              </w:rPr>
              <w:t>data management</w:t>
            </w:r>
            <w:r w:rsidRPr="008C7FAF">
              <w:rPr>
                <w:noProof/>
                <w:color w:val="004300"/>
                <w:sz w:val="18"/>
                <w:lang w:val="en-IE"/>
              </w:rPr>
              <w:t xml:space="preserve"> and </w:t>
            </w:r>
            <w:r>
              <w:rPr>
                <w:rFonts w:eastAsia="Times New Roman"/>
                <w:noProof/>
                <w:color w:val="004300"/>
                <w:sz w:val="18"/>
                <w:szCs w:val="18"/>
                <w:lang w:val="en-IE" w:eastAsia="en-GB"/>
              </w:rPr>
              <w:t>controlled access</w:t>
            </w:r>
            <w:r w:rsidRPr="008C7FAF">
              <w:rPr>
                <w:noProof/>
                <w:color w:val="004300"/>
                <w:sz w:val="18"/>
                <w:lang w:val="en-IE"/>
              </w:rPr>
              <w:t xml:space="preserve"> to </w:t>
            </w:r>
            <w:r>
              <w:rPr>
                <w:rFonts w:eastAsia="Times New Roman"/>
                <w:noProof/>
                <w:color w:val="004300"/>
                <w:sz w:val="18"/>
                <w:szCs w:val="18"/>
                <w:lang w:val="en-IE" w:eastAsia="en-GB"/>
              </w:rPr>
              <w:t>data</w:t>
            </w:r>
          </w:p>
        </w:tc>
        <w:tc>
          <w:tcPr>
            <w:tcW w:w="1030" w:type="dxa"/>
            <w:shd w:val="clear" w:color="auto" w:fill="C6EFCE"/>
            <w:tcMar>
              <w:left w:w="105" w:type="dxa"/>
              <w:right w:w="105" w:type="dxa"/>
            </w:tcMar>
          </w:tcPr>
          <w:p w:rsidRPr="008C7FAF" w:rsidR="00D87E44" w:rsidRDefault="00D87E44" w14:paraId="15457B2D" w14:textId="77777777">
            <w:pPr>
              <w:spacing w:before="0" w:after="0" w:line="240" w:lineRule="auto"/>
              <w:rPr>
                <w:noProof/>
                <w:color w:val="004300"/>
                <w:sz w:val="18"/>
                <w:lang w:val="en-IE"/>
              </w:rPr>
            </w:pPr>
            <w:r w:rsidRPr="008C7FAF">
              <w:rPr>
                <w:noProof/>
                <w:color w:val="004300"/>
                <w:sz w:val="18"/>
                <w:lang w:val="en-IE"/>
              </w:rPr>
              <w:t>Milestone</w:t>
            </w:r>
          </w:p>
        </w:tc>
        <w:tc>
          <w:tcPr>
            <w:tcW w:w="1792" w:type="dxa"/>
            <w:shd w:val="clear" w:color="auto" w:fill="C6EFCE"/>
            <w:tcMar>
              <w:left w:w="105" w:type="dxa"/>
              <w:right w:w="105" w:type="dxa"/>
            </w:tcMar>
          </w:tcPr>
          <w:p w:rsidRPr="008C7FAF" w:rsidR="00D87E44" w:rsidRDefault="00D87E44" w14:paraId="15457B2E" w14:textId="77777777">
            <w:pPr>
              <w:spacing w:before="0" w:after="0" w:line="240" w:lineRule="auto"/>
              <w:rPr>
                <w:noProof/>
                <w:color w:val="004300"/>
                <w:sz w:val="18"/>
                <w:lang w:val="en-IE"/>
              </w:rPr>
            </w:pPr>
            <w:r w:rsidRPr="008C7FAF">
              <w:rPr>
                <w:noProof/>
                <w:color w:val="004300"/>
                <w:sz w:val="18"/>
                <w:lang w:val="en-IE"/>
              </w:rPr>
              <w:t xml:space="preserve">Entry into force of </w:t>
            </w:r>
            <w:r>
              <w:rPr>
                <w:rFonts w:eastAsia="Times New Roman"/>
                <w:noProof/>
                <w:color w:val="004300"/>
                <w:sz w:val="18"/>
                <w:szCs w:val="18"/>
                <w:lang w:val="en-IE" w:eastAsia="en-GB"/>
              </w:rPr>
              <w:t>a legislative act</w:t>
            </w:r>
            <w:r w:rsidRPr="008C7FAF">
              <w:rPr>
                <w:noProof/>
                <w:color w:val="004300"/>
                <w:sz w:val="18"/>
                <w:lang w:val="en-IE"/>
              </w:rPr>
              <w:t xml:space="preserve"> on </w:t>
            </w:r>
            <w:r>
              <w:rPr>
                <w:rFonts w:eastAsia="Times New Roman"/>
                <w:noProof/>
                <w:color w:val="004300"/>
                <w:sz w:val="18"/>
                <w:szCs w:val="18"/>
                <w:lang w:val="en-IE" w:eastAsia="en-GB"/>
              </w:rPr>
              <w:t>data management</w:t>
            </w:r>
            <w:r w:rsidRPr="008C7FAF">
              <w:rPr>
                <w:noProof/>
                <w:color w:val="004300"/>
                <w:sz w:val="18"/>
                <w:lang w:val="en-IE"/>
              </w:rPr>
              <w:t xml:space="preserve"> and </w:t>
            </w:r>
            <w:r>
              <w:rPr>
                <w:rFonts w:eastAsia="Times New Roman"/>
                <w:noProof/>
                <w:color w:val="004300"/>
                <w:sz w:val="18"/>
                <w:szCs w:val="18"/>
                <w:lang w:val="en-IE" w:eastAsia="en-GB"/>
              </w:rPr>
              <w:t>controlled access</w:t>
            </w:r>
            <w:r w:rsidRPr="008C7FAF">
              <w:rPr>
                <w:noProof/>
                <w:color w:val="004300"/>
                <w:sz w:val="18"/>
                <w:lang w:val="en-IE"/>
              </w:rPr>
              <w:t xml:space="preserve"> to </w:t>
            </w:r>
            <w:r>
              <w:rPr>
                <w:rFonts w:eastAsia="Times New Roman"/>
                <w:noProof/>
                <w:color w:val="004300"/>
                <w:sz w:val="18"/>
                <w:szCs w:val="18"/>
                <w:lang w:val="en-IE" w:eastAsia="en-GB"/>
              </w:rPr>
              <w:t>data</w:t>
            </w:r>
            <w:r w:rsidRPr="00B41A05" w:rsidDel="003D44C1">
              <w:rPr>
                <w:rFonts w:eastAsia="Times New Roman"/>
                <w:noProof/>
                <w:color w:val="004300"/>
                <w:sz w:val="18"/>
                <w:szCs w:val="18"/>
                <w:lang w:val="en-IE" w:eastAsia="en-GB"/>
              </w:rPr>
              <w:t xml:space="preserve"> </w:t>
            </w:r>
          </w:p>
        </w:tc>
        <w:tc>
          <w:tcPr>
            <w:tcW w:w="1511" w:type="dxa"/>
            <w:shd w:val="clear" w:color="auto" w:fill="C6EFCE"/>
            <w:tcMar>
              <w:left w:w="105" w:type="dxa"/>
              <w:right w:w="105" w:type="dxa"/>
            </w:tcMar>
          </w:tcPr>
          <w:p w:rsidRPr="008C7FAF" w:rsidR="00D87E44" w:rsidRDefault="00D87E44" w14:paraId="15457B2F" w14:textId="77777777">
            <w:pPr>
              <w:spacing w:before="0" w:after="0" w:line="240" w:lineRule="auto"/>
              <w:rPr>
                <w:noProof/>
                <w:color w:val="004300"/>
                <w:sz w:val="18"/>
                <w:lang w:val="en-IE"/>
              </w:rPr>
            </w:pPr>
            <w:r w:rsidRPr="008C7FAF">
              <w:rPr>
                <w:noProof/>
                <w:color w:val="004300"/>
                <w:sz w:val="18"/>
                <w:lang w:val="en-IE"/>
              </w:rPr>
              <w:t xml:space="preserve">Provisions in the act </w:t>
            </w:r>
          </w:p>
        </w:tc>
        <w:tc>
          <w:tcPr>
            <w:tcW w:w="860" w:type="dxa"/>
            <w:shd w:val="clear" w:color="auto" w:fill="C6EFCE"/>
            <w:tcMar>
              <w:left w:w="105" w:type="dxa"/>
              <w:right w:w="105" w:type="dxa"/>
            </w:tcMar>
          </w:tcPr>
          <w:p w:rsidRPr="008C7FAF" w:rsidR="00D87E44" w:rsidRDefault="00D87E44" w14:paraId="15457B30" w14:textId="77777777">
            <w:pPr>
              <w:spacing w:before="0" w:after="0" w:line="240" w:lineRule="auto"/>
              <w:rPr>
                <w:noProof/>
                <w:color w:val="004300"/>
                <w:sz w:val="18"/>
                <w:lang w:val="en-IE"/>
              </w:rPr>
            </w:pPr>
            <w:r w:rsidRPr="008C7FAF">
              <w:rPr>
                <w:noProof/>
                <w:color w:val="004300"/>
                <w:sz w:val="18"/>
                <w:lang w:val="en-IE"/>
              </w:rPr>
              <w:t xml:space="preserve"> </w:t>
            </w:r>
          </w:p>
        </w:tc>
        <w:tc>
          <w:tcPr>
            <w:tcW w:w="851" w:type="dxa"/>
            <w:shd w:val="clear" w:color="auto" w:fill="C6EFCE"/>
            <w:tcMar>
              <w:left w:w="105" w:type="dxa"/>
              <w:right w:w="105" w:type="dxa"/>
            </w:tcMar>
          </w:tcPr>
          <w:p w:rsidRPr="008C7FAF" w:rsidR="00D87E44" w:rsidRDefault="00D87E44" w14:paraId="15457B31" w14:textId="77777777">
            <w:pPr>
              <w:spacing w:before="0" w:after="0" w:line="240" w:lineRule="auto"/>
              <w:rPr>
                <w:noProof/>
                <w:color w:val="004300"/>
                <w:sz w:val="18"/>
                <w:lang w:val="en-IE"/>
              </w:rPr>
            </w:pPr>
            <w:r w:rsidRPr="008C7FAF">
              <w:rPr>
                <w:noProof/>
                <w:color w:val="004300"/>
                <w:sz w:val="18"/>
                <w:lang w:val="en-IE"/>
              </w:rPr>
              <w:t xml:space="preserve"> </w:t>
            </w:r>
          </w:p>
        </w:tc>
        <w:tc>
          <w:tcPr>
            <w:tcW w:w="914" w:type="dxa"/>
            <w:shd w:val="clear" w:color="auto" w:fill="C6EFCE"/>
            <w:tcMar>
              <w:left w:w="105" w:type="dxa"/>
              <w:right w:w="105" w:type="dxa"/>
            </w:tcMar>
          </w:tcPr>
          <w:p w:rsidRPr="008C7FAF" w:rsidR="00D87E44" w:rsidRDefault="00D87E44" w14:paraId="15457B32" w14:textId="77777777">
            <w:pPr>
              <w:spacing w:before="0" w:after="0" w:line="240" w:lineRule="auto"/>
              <w:rPr>
                <w:noProof/>
                <w:color w:val="004300"/>
                <w:sz w:val="18"/>
                <w:lang w:val="en-IE"/>
              </w:rPr>
            </w:pPr>
            <w:r w:rsidRPr="008C7FAF">
              <w:rPr>
                <w:noProof/>
                <w:color w:val="004300"/>
                <w:sz w:val="18"/>
                <w:lang w:val="en-IE"/>
              </w:rPr>
              <w:t xml:space="preserve"> </w:t>
            </w:r>
          </w:p>
        </w:tc>
        <w:tc>
          <w:tcPr>
            <w:tcW w:w="1080" w:type="dxa"/>
            <w:shd w:val="clear" w:color="auto" w:fill="C6EFCE"/>
            <w:tcMar>
              <w:left w:w="105" w:type="dxa"/>
              <w:right w:w="105" w:type="dxa"/>
            </w:tcMar>
          </w:tcPr>
          <w:p w:rsidRPr="008C7FAF" w:rsidR="00D87E44" w:rsidRDefault="00D87E44" w14:paraId="15457B33" w14:textId="77777777">
            <w:pPr>
              <w:spacing w:before="0" w:after="0" w:line="240" w:lineRule="auto"/>
              <w:rPr>
                <w:noProof/>
                <w:color w:val="004300"/>
                <w:sz w:val="18"/>
                <w:lang w:val="en-IE"/>
              </w:rPr>
            </w:pPr>
            <w:r w:rsidRPr="008C7FAF">
              <w:rPr>
                <w:noProof/>
                <w:color w:val="004300"/>
                <w:sz w:val="18"/>
                <w:lang w:val="en-IE"/>
              </w:rPr>
              <w:t>Q2</w:t>
            </w:r>
          </w:p>
        </w:tc>
        <w:tc>
          <w:tcPr>
            <w:tcW w:w="658" w:type="dxa"/>
            <w:shd w:val="clear" w:color="auto" w:fill="C6EFCE"/>
            <w:tcMar>
              <w:left w:w="105" w:type="dxa"/>
              <w:right w:w="105" w:type="dxa"/>
            </w:tcMar>
          </w:tcPr>
          <w:p w:rsidRPr="008C7FAF" w:rsidR="00D87E44" w:rsidRDefault="00D87E44" w14:paraId="15457B34" w14:textId="77777777">
            <w:pPr>
              <w:spacing w:before="0" w:after="0" w:line="240" w:lineRule="auto"/>
              <w:rPr>
                <w:noProof/>
                <w:color w:val="004300"/>
                <w:sz w:val="18"/>
                <w:lang w:val="en-IE"/>
              </w:rPr>
            </w:pPr>
            <w:r w:rsidRPr="008C7FAF">
              <w:rPr>
                <w:noProof/>
                <w:color w:val="004300"/>
                <w:sz w:val="18"/>
                <w:lang w:val="en-IE"/>
              </w:rPr>
              <w:t>2026</w:t>
            </w:r>
          </w:p>
        </w:tc>
        <w:tc>
          <w:tcPr>
            <w:tcW w:w="3844" w:type="dxa"/>
            <w:shd w:val="clear" w:color="auto" w:fill="C6EFCE"/>
            <w:tcMar>
              <w:left w:w="105" w:type="dxa"/>
              <w:right w:w="105" w:type="dxa"/>
            </w:tcMar>
          </w:tcPr>
          <w:p w:rsidRPr="008C7FAF" w:rsidR="00D87E44" w:rsidRDefault="00D87E44" w14:paraId="15457B35" w14:textId="77777777">
            <w:pPr>
              <w:spacing w:before="0" w:after="0" w:line="240" w:lineRule="auto"/>
              <w:rPr>
                <w:noProof/>
                <w:color w:val="004300"/>
                <w:sz w:val="18"/>
                <w:lang w:val="en-IE"/>
              </w:rPr>
            </w:pPr>
            <w:r>
              <w:rPr>
                <w:rFonts w:eastAsia="Times New Roman"/>
                <w:noProof/>
                <w:color w:val="004300"/>
                <w:sz w:val="18"/>
                <w:szCs w:val="18"/>
                <w:lang w:val="en-IE" w:eastAsia="en-GB"/>
              </w:rPr>
              <w:t>A legislation</w:t>
            </w:r>
            <w:r w:rsidRPr="008C7FAF">
              <w:rPr>
                <w:noProof/>
                <w:color w:val="004300"/>
                <w:sz w:val="18"/>
                <w:lang w:val="en-IE"/>
              </w:rPr>
              <w:t xml:space="preserve"> on </w:t>
            </w:r>
            <w:r>
              <w:rPr>
                <w:rFonts w:eastAsia="Times New Roman"/>
                <w:noProof/>
                <w:color w:val="004300"/>
                <w:sz w:val="18"/>
                <w:szCs w:val="18"/>
                <w:lang w:val="en-IE" w:eastAsia="en-GB"/>
              </w:rPr>
              <w:t>data management</w:t>
            </w:r>
            <w:r w:rsidRPr="008C7FAF">
              <w:rPr>
                <w:noProof/>
                <w:color w:val="004300"/>
                <w:sz w:val="18"/>
                <w:lang w:val="en-IE"/>
              </w:rPr>
              <w:t xml:space="preserve"> and </w:t>
            </w:r>
            <w:r>
              <w:rPr>
                <w:rFonts w:eastAsia="Times New Roman"/>
                <w:noProof/>
                <w:color w:val="004300"/>
                <w:sz w:val="18"/>
                <w:szCs w:val="18"/>
                <w:lang w:val="en-IE" w:eastAsia="en-GB"/>
              </w:rPr>
              <w:t>controlled access</w:t>
            </w:r>
            <w:r w:rsidRPr="008C7FAF">
              <w:rPr>
                <w:noProof/>
                <w:color w:val="004300"/>
                <w:sz w:val="18"/>
                <w:lang w:val="en-IE"/>
              </w:rPr>
              <w:t xml:space="preserve"> to </w:t>
            </w:r>
            <w:r>
              <w:rPr>
                <w:rFonts w:eastAsia="Times New Roman"/>
                <w:noProof/>
                <w:color w:val="004300"/>
                <w:sz w:val="18"/>
                <w:szCs w:val="18"/>
                <w:lang w:val="en-IE" w:eastAsia="en-GB"/>
              </w:rPr>
              <w:t>data</w:t>
            </w:r>
            <w:r w:rsidRPr="008C7FAF">
              <w:rPr>
                <w:noProof/>
                <w:color w:val="004300"/>
                <w:sz w:val="18"/>
                <w:lang w:val="en-IE"/>
              </w:rPr>
              <w:t xml:space="preserve"> shall enter into force.</w:t>
            </w:r>
            <w:r>
              <w:rPr>
                <w:rFonts w:eastAsia="Times New Roman"/>
                <w:noProof/>
                <w:color w:val="004300"/>
                <w:sz w:val="18"/>
                <w:szCs w:val="18"/>
                <w:lang w:val="en-IE" w:eastAsia="en-GB"/>
              </w:rPr>
              <w:t xml:space="preserve"> </w:t>
            </w:r>
            <w:r>
              <w:rPr>
                <w:rFonts w:eastAsia="Times New Roman"/>
                <w:noProof/>
                <w:color w:val="004300"/>
                <w:sz w:val="18"/>
                <w:szCs w:val="18"/>
                <w:lang w:val="en-IE" w:eastAsia="en-GB"/>
              </w:rPr>
              <w:br/>
            </w:r>
          </w:p>
          <w:p w:rsidRPr="008C7FAF" w:rsidR="00D87E44" w:rsidRDefault="00D87E44" w14:paraId="15457B36" w14:textId="77777777">
            <w:pPr>
              <w:spacing w:before="0" w:after="0" w:line="240" w:lineRule="auto"/>
              <w:rPr>
                <w:noProof/>
                <w:color w:val="004300"/>
                <w:sz w:val="18"/>
                <w:lang w:val="en-IE"/>
              </w:rPr>
            </w:pPr>
            <w:r w:rsidRPr="008C7FAF">
              <w:rPr>
                <w:noProof/>
                <w:color w:val="004300"/>
                <w:sz w:val="18"/>
                <w:lang w:val="en-IE"/>
              </w:rPr>
              <w:t xml:space="preserve">The </w:t>
            </w:r>
            <w:r>
              <w:rPr>
                <w:rFonts w:eastAsia="Times New Roman"/>
                <w:noProof/>
                <w:color w:val="004300"/>
                <w:sz w:val="18"/>
                <w:szCs w:val="18"/>
                <w:lang w:val="en-IE" w:eastAsia="en-GB"/>
              </w:rPr>
              <w:t>legislation</w:t>
            </w:r>
            <w:r w:rsidRPr="008C7FAF">
              <w:rPr>
                <w:noProof/>
                <w:color w:val="004300"/>
                <w:sz w:val="18"/>
                <w:lang w:val="en-IE"/>
              </w:rPr>
              <w:t xml:space="preserve"> shall:</w:t>
            </w:r>
          </w:p>
          <w:p w:rsidRPr="00E3458A" w:rsidR="00D87E44" w:rsidP="00D226F4" w:rsidRDefault="00D87E44" w14:paraId="15457B37" w14:textId="77777777">
            <w:pPr>
              <w:pStyle w:val="ListParagraph"/>
              <w:numPr>
                <w:ilvl w:val="0"/>
                <w:numId w:val="43"/>
              </w:numPr>
              <w:spacing w:before="0" w:after="0" w:line="240" w:lineRule="auto"/>
              <w:rPr>
                <w:color w:val="004300"/>
                <w:sz w:val="18"/>
                <w:lang w:val="en-IE"/>
              </w:rPr>
            </w:pPr>
            <w:r w:rsidRPr="00E3458A">
              <w:rPr>
                <w:color w:val="004300"/>
                <w:sz w:val="18"/>
                <w:lang w:val="en-IE"/>
              </w:rPr>
              <w:t xml:space="preserve">establish a national geoportal </w:t>
            </w:r>
            <w:r w:rsidRPr="00763635">
              <w:rPr>
                <w:rFonts w:eastAsia="Times New Roman"/>
                <w:noProof/>
                <w:color w:val="004300"/>
                <w:sz w:val="18"/>
                <w:szCs w:val="18"/>
                <w:lang w:val="en-IE" w:eastAsia="en-GB"/>
              </w:rPr>
              <w:t>allowing</w:t>
            </w:r>
            <w:r w:rsidRPr="00E3458A">
              <w:rPr>
                <w:color w:val="004300"/>
                <w:sz w:val="18"/>
                <w:lang w:val="en-IE"/>
              </w:rPr>
              <w:t xml:space="preserve"> access data on geospatial information</w:t>
            </w:r>
          </w:p>
          <w:p w:rsidRPr="00E3458A" w:rsidR="00D87E44" w:rsidP="00D226F4" w:rsidRDefault="00D87E44" w14:paraId="15457B38" w14:textId="77777777">
            <w:pPr>
              <w:pStyle w:val="ListParagraph"/>
              <w:numPr>
                <w:ilvl w:val="0"/>
                <w:numId w:val="43"/>
              </w:numPr>
              <w:spacing w:before="0" w:after="0" w:line="240" w:lineRule="auto"/>
              <w:rPr>
                <w:color w:val="004300"/>
                <w:sz w:val="18"/>
                <w:lang w:val="en-IE"/>
              </w:rPr>
            </w:pPr>
            <w:r w:rsidRPr="00E3458A">
              <w:rPr>
                <w:color w:val="004300"/>
                <w:sz w:val="18"/>
                <w:lang w:val="en-IE"/>
              </w:rPr>
              <w:t>oblige public authorities to catalogue their data and describe it using mandatory standards</w:t>
            </w:r>
          </w:p>
          <w:p w:rsidRPr="00E3458A" w:rsidR="00D87E44" w:rsidP="00D226F4" w:rsidRDefault="00D87E44" w14:paraId="15457B39" w14:textId="77777777">
            <w:pPr>
              <w:pStyle w:val="ListParagraph"/>
              <w:numPr>
                <w:ilvl w:val="0"/>
                <w:numId w:val="43"/>
              </w:numPr>
              <w:spacing w:before="0" w:after="0" w:line="240" w:lineRule="auto"/>
              <w:rPr>
                <w:color w:val="004300"/>
                <w:sz w:val="18"/>
                <w:lang w:val="en-IE"/>
              </w:rPr>
            </w:pPr>
            <w:r w:rsidRPr="00E3458A">
              <w:rPr>
                <w:color w:val="004300"/>
                <w:sz w:val="18"/>
                <w:lang w:val="en-IE"/>
              </w:rPr>
              <w:t xml:space="preserve">create a right to get access to the data for research and policy purposes, as long as conditions set by the law are met, even if the data is otherwise protected </w:t>
            </w:r>
          </w:p>
          <w:p w:rsidRPr="00E3458A" w:rsidR="00D87E44" w:rsidP="00D226F4" w:rsidRDefault="00D87E44" w14:paraId="15457B3A" w14:textId="77777777">
            <w:pPr>
              <w:pStyle w:val="ListParagraph"/>
              <w:numPr>
                <w:ilvl w:val="0"/>
                <w:numId w:val="43"/>
              </w:numPr>
              <w:spacing w:before="0" w:after="0" w:line="240" w:lineRule="auto"/>
              <w:rPr>
                <w:color w:val="004300"/>
                <w:sz w:val="18"/>
                <w:lang w:val="en-IE"/>
              </w:rPr>
            </w:pPr>
            <w:r w:rsidRPr="00E3458A">
              <w:rPr>
                <w:color w:val="004300"/>
                <w:sz w:val="18"/>
                <w:lang w:val="en-IE"/>
              </w:rPr>
              <w:t>establish a legal basis for data linkage, reuse and sharing between public authorities for research and policy purposes</w:t>
            </w:r>
          </w:p>
          <w:p w:rsidRPr="000F6683" w:rsidR="00D87E44" w:rsidRDefault="00D87E44" w14:paraId="15457B3B" w14:textId="77777777">
            <w:pPr>
              <w:pStyle w:val="ListParagraph"/>
              <w:spacing w:before="0" w:after="0" w:line="240" w:lineRule="auto"/>
              <w:rPr>
                <w:rFonts w:eastAsia="Times New Roman"/>
                <w:noProof/>
                <w:color w:val="004300"/>
                <w:sz w:val="18"/>
                <w:szCs w:val="18"/>
                <w:lang w:val="en-IE" w:eastAsia="en-GB"/>
              </w:rPr>
            </w:pPr>
          </w:p>
          <w:p w:rsidRPr="008C7FAF" w:rsidR="00D87E44" w:rsidRDefault="00D87E44" w14:paraId="15457B3C" w14:textId="77777777">
            <w:pPr>
              <w:spacing w:before="0" w:after="0" w:line="240" w:lineRule="auto"/>
              <w:rPr>
                <w:noProof/>
                <w:color w:val="004300"/>
                <w:sz w:val="18"/>
                <w:lang w:val="en-IE"/>
              </w:rPr>
            </w:pPr>
            <w:r w:rsidRPr="008C7FAF">
              <w:rPr>
                <w:noProof/>
                <w:color w:val="004300"/>
                <w:sz w:val="18"/>
                <w:lang w:val="en-IE"/>
              </w:rPr>
              <w:t>A transitional period may apply, based on appropriate justifications. This transitional period shall start by August 2026 and shall be linked to technical or technological constraints.</w:t>
            </w:r>
          </w:p>
        </w:tc>
      </w:tr>
      <w:tr w:rsidRPr="00B41A05" w:rsidR="00E3458A" w:rsidTr="009F3A8B" w14:paraId="15457B4C" w14:textId="77777777">
        <w:trPr>
          <w:trHeight w:val="1845"/>
        </w:trPr>
        <w:tc>
          <w:tcPr>
            <w:tcW w:w="647" w:type="dxa"/>
            <w:shd w:val="clear" w:color="auto" w:fill="C6EFCE"/>
            <w:tcMar>
              <w:left w:w="105" w:type="dxa"/>
              <w:right w:w="105" w:type="dxa"/>
            </w:tcMar>
          </w:tcPr>
          <w:p w:rsidRPr="008C7FAF" w:rsidR="00D87E44" w:rsidRDefault="00D87E44" w14:paraId="15457B3E" w14:textId="77777777">
            <w:pPr>
              <w:spacing w:before="0" w:after="0" w:line="240" w:lineRule="auto"/>
              <w:rPr>
                <w:noProof/>
                <w:color w:val="004300"/>
                <w:sz w:val="18"/>
                <w:lang w:val="en-IE"/>
              </w:rPr>
            </w:pPr>
            <w:r w:rsidRPr="008C7FAF">
              <w:rPr>
                <w:noProof/>
                <w:color w:val="004300"/>
                <w:sz w:val="18"/>
                <w:lang w:val="en-IE"/>
              </w:rPr>
              <w:t>256</w:t>
            </w:r>
          </w:p>
        </w:tc>
        <w:tc>
          <w:tcPr>
            <w:tcW w:w="1371" w:type="dxa"/>
            <w:shd w:val="clear" w:color="auto" w:fill="C6EFCE"/>
            <w:tcMar>
              <w:left w:w="105" w:type="dxa"/>
              <w:right w:w="105" w:type="dxa"/>
            </w:tcMar>
          </w:tcPr>
          <w:p w:rsidRPr="008C7FAF" w:rsidR="00D87E44" w:rsidRDefault="00D87E44" w14:paraId="15457B3F" w14:textId="77777777">
            <w:pPr>
              <w:spacing w:before="0" w:after="0" w:line="240" w:lineRule="auto"/>
              <w:rPr>
                <w:noProof/>
                <w:color w:val="004300"/>
                <w:sz w:val="18"/>
                <w:lang w:val="en-IE"/>
              </w:rPr>
            </w:pPr>
            <w:r w:rsidRPr="008C7FAF">
              <w:rPr>
                <w:noProof/>
                <w:color w:val="004300"/>
                <w:sz w:val="18"/>
                <w:lang w:val="en-IE"/>
              </w:rPr>
              <w:t xml:space="preserve">Investment 2: Improvement of the management system for </w:t>
            </w:r>
            <w:r w:rsidRPr="008C7FAF">
              <w:rPr>
                <w:noProof/>
                <w:color w:val="004300"/>
                <w:sz w:val="18"/>
                <w:lang w:val="en-IE"/>
              </w:rPr>
              <w:t>digitalised services</w:t>
            </w:r>
          </w:p>
        </w:tc>
        <w:tc>
          <w:tcPr>
            <w:tcW w:w="1030" w:type="dxa"/>
            <w:shd w:val="clear" w:color="auto" w:fill="C6EFCE"/>
            <w:tcMar>
              <w:left w:w="105" w:type="dxa"/>
              <w:right w:w="105" w:type="dxa"/>
            </w:tcMar>
          </w:tcPr>
          <w:p w:rsidRPr="008C7FAF" w:rsidR="00D87E44" w:rsidRDefault="00D87E44" w14:paraId="15457B40" w14:textId="77777777">
            <w:pPr>
              <w:spacing w:before="0" w:after="0" w:line="240" w:lineRule="auto"/>
              <w:rPr>
                <w:noProof/>
                <w:color w:val="004300"/>
                <w:sz w:val="18"/>
                <w:lang w:val="en-IE"/>
              </w:rPr>
            </w:pPr>
            <w:r w:rsidRPr="008C7FAF">
              <w:rPr>
                <w:noProof/>
                <w:color w:val="004300"/>
                <w:sz w:val="18"/>
                <w:lang w:val="en-IE"/>
              </w:rPr>
              <w:t>Milestone</w:t>
            </w:r>
          </w:p>
        </w:tc>
        <w:tc>
          <w:tcPr>
            <w:tcW w:w="1792" w:type="dxa"/>
            <w:shd w:val="clear" w:color="auto" w:fill="C6EFCE"/>
            <w:tcMar>
              <w:left w:w="105" w:type="dxa"/>
              <w:right w:w="105" w:type="dxa"/>
            </w:tcMar>
          </w:tcPr>
          <w:p w:rsidRPr="008C7FAF" w:rsidR="00D87E44" w:rsidRDefault="00D87E44" w14:paraId="15457B41" w14:textId="77777777">
            <w:pPr>
              <w:spacing w:before="0" w:after="0" w:line="257" w:lineRule="auto"/>
              <w:rPr>
                <w:noProof/>
                <w:color w:val="004300"/>
                <w:sz w:val="18"/>
                <w:lang w:val="en-IE"/>
              </w:rPr>
            </w:pPr>
            <w:r w:rsidRPr="008C7FAF">
              <w:rPr>
                <w:noProof/>
                <w:color w:val="004300"/>
                <w:sz w:val="18"/>
                <w:lang w:val="en-IE"/>
              </w:rPr>
              <w:t>Setting up the working groups</w:t>
            </w:r>
          </w:p>
        </w:tc>
        <w:tc>
          <w:tcPr>
            <w:tcW w:w="1511" w:type="dxa"/>
            <w:shd w:val="clear" w:color="auto" w:fill="C6EFCE"/>
            <w:tcMar>
              <w:left w:w="105" w:type="dxa"/>
              <w:right w:w="105" w:type="dxa"/>
            </w:tcMar>
          </w:tcPr>
          <w:p w:rsidRPr="008C7FAF" w:rsidR="00D87E44" w:rsidRDefault="00D87E44" w14:paraId="15457B42" w14:textId="77777777">
            <w:pPr>
              <w:spacing w:before="0" w:after="0" w:line="240" w:lineRule="auto"/>
              <w:rPr>
                <w:noProof/>
                <w:color w:val="004300"/>
                <w:sz w:val="18"/>
                <w:lang w:val="en-IE"/>
              </w:rPr>
            </w:pPr>
            <w:r w:rsidRPr="008C7FAF">
              <w:rPr>
                <w:noProof/>
                <w:color w:val="004300"/>
                <w:sz w:val="18"/>
                <w:lang w:val="en-IE"/>
              </w:rPr>
              <w:t>Working groups established</w:t>
            </w:r>
          </w:p>
          <w:p w:rsidRPr="008C7FAF" w:rsidR="00D87E44" w:rsidRDefault="00D87E44" w14:paraId="15457B43" w14:textId="77777777">
            <w:pPr>
              <w:spacing w:before="0" w:after="0" w:line="240" w:lineRule="auto"/>
              <w:rPr>
                <w:noProof/>
                <w:color w:val="004300"/>
                <w:sz w:val="18"/>
                <w:lang w:val="en-IE"/>
              </w:rPr>
            </w:pPr>
          </w:p>
        </w:tc>
        <w:tc>
          <w:tcPr>
            <w:tcW w:w="860" w:type="dxa"/>
            <w:shd w:val="clear" w:color="auto" w:fill="C6EFCE"/>
            <w:tcMar>
              <w:left w:w="105" w:type="dxa"/>
              <w:right w:w="105" w:type="dxa"/>
            </w:tcMar>
          </w:tcPr>
          <w:p w:rsidRPr="008C7FAF" w:rsidR="00D87E44" w:rsidRDefault="00D87E44" w14:paraId="15457B44" w14:textId="77777777">
            <w:pPr>
              <w:spacing w:before="0" w:after="0" w:line="240" w:lineRule="auto"/>
              <w:rPr>
                <w:noProof/>
                <w:color w:val="004300"/>
                <w:sz w:val="18"/>
                <w:lang w:val="en-IE"/>
              </w:rPr>
            </w:pPr>
          </w:p>
        </w:tc>
        <w:tc>
          <w:tcPr>
            <w:tcW w:w="851" w:type="dxa"/>
            <w:shd w:val="clear" w:color="auto" w:fill="C6EFCE"/>
            <w:tcMar>
              <w:left w:w="105" w:type="dxa"/>
              <w:right w:w="105" w:type="dxa"/>
            </w:tcMar>
          </w:tcPr>
          <w:p w:rsidRPr="008C7FAF" w:rsidR="00D87E44" w:rsidRDefault="00D87E44" w14:paraId="15457B45" w14:textId="77777777">
            <w:pPr>
              <w:spacing w:before="0" w:after="0" w:line="240" w:lineRule="auto"/>
              <w:rPr>
                <w:noProof/>
                <w:color w:val="004300"/>
                <w:sz w:val="18"/>
                <w:lang w:val="en-IE"/>
              </w:rPr>
            </w:pPr>
          </w:p>
        </w:tc>
        <w:tc>
          <w:tcPr>
            <w:tcW w:w="914" w:type="dxa"/>
            <w:shd w:val="clear" w:color="auto" w:fill="C6EFCE"/>
            <w:tcMar>
              <w:left w:w="105" w:type="dxa"/>
              <w:right w:w="105" w:type="dxa"/>
            </w:tcMar>
          </w:tcPr>
          <w:p w:rsidRPr="008C7FAF" w:rsidR="00D87E44" w:rsidRDefault="00D87E44" w14:paraId="15457B46" w14:textId="77777777">
            <w:pPr>
              <w:spacing w:before="0" w:after="0" w:line="240" w:lineRule="auto"/>
              <w:rPr>
                <w:noProof/>
                <w:color w:val="004300"/>
                <w:sz w:val="18"/>
                <w:lang w:val="en-IE"/>
              </w:rPr>
            </w:pPr>
          </w:p>
        </w:tc>
        <w:tc>
          <w:tcPr>
            <w:tcW w:w="1080" w:type="dxa"/>
            <w:shd w:val="clear" w:color="auto" w:fill="C6EFCE"/>
            <w:tcMar>
              <w:left w:w="105" w:type="dxa"/>
              <w:right w:w="105" w:type="dxa"/>
            </w:tcMar>
          </w:tcPr>
          <w:p w:rsidRPr="008C7FAF" w:rsidR="00D87E44" w:rsidRDefault="00D87E44" w14:paraId="15457B47" w14:textId="77777777">
            <w:pPr>
              <w:spacing w:before="0" w:after="0" w:line="240" w:lineRule="auto"/>
              <w:rPr>
                <w:noProof/>
                <w:color w:val="004300"/>
                <w:sz w:val="18"/>
                <w:lang w:val="en-IE"/>
              </w:rPr>
            </w:pPr>
            <w:r w:rsidRPr="008C7FAF">
              <w:rPr>
                <w:noProof/>
                <w:color w:val="004300"/>
                <w:sz w:val="18"/>
                <w:lang w:val="en-IE"/>
              </w:rPr>
              <w:t>Q2</w:t>
            </w:r>
          </w:p>
        </w:tc>
        <w:tc>
          <w:tcPr>
            <w:tcW w:w="658" w:type="dxa"/>
            <w:shd w:val="clear" w:color="auto" w:fill="C6EFCE"/>
            <w:tcMar>
              <w:left w:w="105" w:type="dxa"/>
              <w:right w:w="105" w:type="dxa"/>
            </w:tcMar>
          </w:tcPr>
          <w:p w:rsidRPr="008C7FAF" w:rsidR="00D87E44" w:rsidRDefault="00D87E44" w14:paraId="15457B48" w14:textId="77777777">
            <w:pPr>
              <w:spacing w:before="0" w:after="0" w:line="240" w:lineRule="auto"/>
              <w:rPr>
                <w:noProof/>
                <w:color w:val="004300"/>
                <w:sz w:val="18"/>
                <w:lang w:val="en-IE"/>
              </w:rPr>
            </w:pPr>
            <w:r w:rsidRPr="008C7FAF">
              <w:rPr>
                <w:noProof/>
                <w:color w:val="004300"/>
                <w:sz w:val="18"/>
                <w:lang w:val="en-IE"/>
              </w:rPr>
              <w:t>2024</w:t>
            </w:r>
          </w:p>
        </w:tc>
        <w:tc>
          <w:tcPr>
            <w:tcW w:w="3844" w:type="dxa"/>
            <w:shd w:val="clear" w:color="auto" w:fill="C6EFCE"/>
            <w:tcMar>
              <w:left w:w="105" w:type="dxa"/>
              <w:right w:w="105" w:type="dxa"/>
            </w:tcMar>
          </w:tcPr>
          <w:p w:rsidRPr="008C7FAF" w:rsidR="00D87E44" w:rsidRDefault="00D87E44" w14:paraId="15457B49" w14:textId="77777777">
            <w:pPr>
              <w:spacing w:before="0" w:after="0" w:line="257" w:lineRule="auto"/>
              <w:rPr>
                <w:noProof/>
                <w:color w:val="004300"/>
                <w:sz w:val="18"/>
                <w:lang w:val="en-IE"/>
              </w:rPr>
            </w:pPr>
            <w:r w:rsidRPr="008C7FAF">
              <w:rPr>
                <w:noProof/>
                <w:color w:val="004300"/>
                <w:sz w:val="18"/>
                <w:lang w:val="en-IE"/>
              </w:rPr>
              <w:t>The following working groups shall be established within the Government Council for the Information Society</w:t>
            </w:r>
          </w:p>
          <w:p w:rsidRPr="00E3458A" w:rsidR="00D87E44" w:rsidP="00D226F4" w:rsidRDefault="00D87E44" w14:paraId="15457B4A" w14:textId="77777777">
            <w:pPr>
              <w:pStyle w:val="ListParagraph"/>
              <w:numPr>
                <w:ilvl w:val="0"/>
                <w:numId w:val="44"/>
              </w:numPr>
              <w:spacing w:before="0" w:after="0" w:line="257" w:lineRule="auto"/>
              <w:rPr>
                <w:color w:val="004300"/>
                <w:sz w:val="18"/>
                <w:lang w:val="en-IE"/>
              </w:rPr>
            </w:pPr>
            <w:r w:rsidRPr="00E3458A">
              <w:rPr>
                <w:color w:val="004300"/>
                <w:sz w:val="18"/>
                <w:lang w:val="en-IE"/>
              </w:rPr>
              <w:t>Cloud Computing Working Group</w:t>
            </w:r>
          </w:p>
          <w:p w:rsidRPr="00E3458A" w:rsidR="00D87E44" w:rsidP="00D226F4" w:rsidRDefault="00D87E44" w14:paraId="15457B4B" w14:textId="77777777">
            <w:pPr>
              <w:pStyle w:val="ListParagraph"/>
              <w:numPr>
                <w:ilvl w:val="0"/>
                <w:numId w:val="44"/>
              </w:numPr>
              <w:spacing w:before="0" w:after="0" w:line="257" w:lineRule="auto"/>
              <w:rPr>
                <w:color w:val="004300"/>
                <w:sz w:val="18"/>
                <w:lang w:val="en-IE"/>
              </w:rPr>
            </w:pPr>
            <w:r w:rsidRPr="00E3458A">
              <w:rPr>
                <w:color w:val="004300"/>
                <w:sz w:val="18"/>
                <w:lang w:val="en-IE"/>
              </w:rPr>
              <w:t xml:space="preserve">Public </w:t>
            </w:r>
            <w:r w:rsidRPr="00E3458A">
              <w:rPr>
                <w:color w:val="004300"/>
                <w:sz w:val="18"/>
                <w:lang w:val="en-IE"/>
              </w:rPr>
              <w:t>Procurement Working Group</w:t>
            </w:r>
          </w:p>
        </w:tc>
      </w:tr>
      <w:tr w:rsidRPr="00B41A05" w:rsidR="00E3458A" w:rsidTr="009F3A8B" w14:paraId="15457B62" w14:textId="77777777">
        <w:trPr>
          <w:trHeight w:val="1845"/>
        </w:trPr>
        <w:tc>
          <w:tcPr>
            <w:tcW w:w="647" w:type="dxa"/>
            <w:shd w:val="clear" w:color="auto" w:fill="C6EFCE"/>
            <w:tcMar>
              <w:left w:w="105" w:type="dxa"/>
              <w:right w:w="105" w:type="dxa"/>
            </w:tcMar>
          </w:tcPr>
          <w:p w:rsidRPr="008C7FAF" w:rsidR="00D87E44" w:rsidRDefault="00D87E44" w14:paraId="15457B4D" w14:textId="77777777">
            <w:pPr>
              <w:spacing w:before="0" w:after="0" w:line="240" w:lineRule="auto"/>
              <w:rPr>
                <w:noProof/>
                <w:color w:val="004300"/>
                <w:sz w:val="18"/>
                <w:lang w:val="en-IE"/>
              </w:rPr>
            </w:pPr>
            <w:r w:rsidRPr="008C7FAF">
              <w:rPr>
                <w:noProof/>
                <w:color w:val="004300"/>
                <w:sz w:val="18"/>
                <w:lang w:val="en-IE"/>
              </w:rPr>
              <w:lastRenderedPageBreak/>
              <w:t>258</w:t>
            </w:r>
          </w:p>
        </w:tc>
        <w:tc>
          <w:tcPr>
            <w:tcW w:w="1371" w:type="dxa"/>
            <w:shd w:val="clear" w:color="auto" w:fill="C6EFCE"/>
            <w:tcMar>
              <w:left w:w="105" w:type="dxa"/>
              <w:right w:w="105" w:type="dxa"/>
            </w:tcMar>
          </w:tcPr>
          <w:p w:rsidRPr="008C7FAF" w:rsidR="00D87E44" w:rsidRDefault="00D87E44" w14:paraId="15457B4E" w14:textId="77777777">
            <w:pPr>
              <w:spacing w:before="0" w:after="0" w:line="240" w:lineRule="auto"/>
              <w:rPr>
                <w:noProof/>
                <w:color w:val="004300"/>
                <w:sz w:val="18"/>
                <w:lang w:val="en-IE"/>
              </w:rPr>
            </w:pPr>
            <w:r w:rsidRPr="008C7FAF">
              <w:rPr>
                <w:noProof/>
                <w:color w:val="004300"/>
                <w:sz w:val="18"/>
                <w:lang w:val="en-IE"/>
              </w:rPr>
              <w:t xml:space="preserve">Investment 2: Improvement of the management system for digitalised </w:t>
            </w:r>
            <w:r w:rsidRPr="008C7FAF" w:rsidDel="006625C9">
              <w:rPr>
                <w:noProof/>
                <w:color w:val="004300"/>
                <w:sz w:val="18"/>
                <w:lang w:val="en-IE"/>
              </w:rPr>
              <w:t>services</w:t>
            </w:r>
          </w:p>
        </w:tc>
        <w:tc>
          <w:tcPr>
            <w:tcW w:w="1030" w:type="dxa"/>
            <w:shd w:val="clear" w:color="auto" w:fill="C6EFCE"/>
            <w:tcMar>
              <w:left w:w="105" w:type="dxa"/>
              <w:right w:w="105" w:type="dxa"/>
            </w:tcMar>
          </w:tcPr>
          <w:p w:rsidRPr="008C7FAF" w:rsidR="00D87E44" w:rsidRDefault="00D87E44" w14:paraId="15457B4F" w14:textId="77777777">
            <w:pPr>
              <w:spacing w:before="0" w:after="0" w:line="240" w:lineRule="auto"/>
              <w:rPr>
                <w:noProof/>
                <w:color w:val="004300"/>
                <w:sz w:val="18"/>
                <w:lang w:val="en-IE"/>
              </w:rPr>
            </w:pPr>
            <w:r w:rsidRPr="008C7FAF">
              <w:rPr>
                <w:noProof/>
                <w:color w:val="004300"/>
                <w:sz w:val="18"/>
                <w:lang w:val="en-IE"/>
              </w:rPr>
              <w:t>Milestone</w:t>
            </w:r>
          </w:p>
        </w:tc>
        <w:tc>
          <w:tcPr>
            <w:tcW w:w="1792" w:type="dxa"/>
            <w:shd w:val="clear" w:color="auto" w:fill="C6EFCE"/>
            <w:tcMar>
              <w:left w:w="105" w:type="dxa"/>
              <w:right w:w="105" w:type="dxa"/>
            </w:tcMar>
          </w:tcPr>
          <w:p w:rsidRPr="008C7FAF" w:rsidR="00D87E44" w:rsidRDefault="00D87E44" w14:paraId="15457B50" w14:textId="77777777">
            <w:pPr>
              <w:tabs>
                <w:tab w:val="left" w:pos="479"/>
              </w:tabs>
              <w:spacing w:before="0" w:after="0" w:line="257" w:lineRule="auto"/>
              <w:rPr>
                <w:noProof/>
                <w:color w:val="004300"/>
                <w:sz w:val="18"/>
                <w:lang w:val="en-IE"/>
              </w:rPr>
            </w:pPr>
            <w:r w:rsidRPr="008C7FAF">
              <w:rPr>
                <w:noProof/>
                <w:color w:val="004300"/>
                <w:sz w:val="18"/>
                <w:lang w:val="en-IE"/>
              </w:rPr>
              <w:t xml:space="preserve">Update of ICT </w:t>
            </w:r>
            <w:r>
              <w:rPr>
                <w:rFonts w:eastAsia="Times New Roman"/>
                <w:noProof/>
                <w:color w:val="004300"/>
                <w:sz w:val="18"/>
                <w:szCs w:val="18"/>
                <w:lang w:val="en-IE" w:eastAsia="en-GB"/>
              </w:rPr>
              <w:t>management</w:t>
            </w:r>
            <w:r w:rsidRPr="008C7FAF">
              <w:rPr>
                <w:noProof/>
                <w:color w:val="004300"/>
                <w:sz w:val="18"/>
                <w:lang w:val="en-IE"/>
              </w:rPr>
              <w:t xml:space="preserve"> in public administration</w:t>
            </w:r>
          </w:p>
        </w:tc>
        <w:tc>
          <w:tcPr>
            <w:tcW w:w="1511" w:type="dxa"/>
            <w:shd w:val="clear" w:color="auto" w:fill="C6EFCE"/>
            <w:tcMar>
              <w:left w:w="105" w:type="dxa"/>
              <w:right w:w="105" w:type="dxa"/>
            </w:tcMar>
          </w:tcPr>
          <w:p w:rsidRPr="008C7FAF" w:rsidR="00D87E44" w:rsidRDefault="00D87E44" w14:paraId="15457B51" w14:textId="77777777">
            <w:pPr>
              <w:spacing w:before="0" w:after="0" w:line="240" w:lineRule="auto"/>
              <w:rPr>
                <w:noProof/>
                <w:color w:val="004300"/>
                <w:sz w:val="18"/>
                <w:lang w:val="en-IE"/>
              </w:rPr>
            </w:pPr>
            <w:r w:rsidRPr="008C7FAF">
              <w:rPr>
                <w:noProof/>
                <w:color w:val="004300"/>
                <w:sz w:val="18"/>
                <w:lang w:val="en-IE"/>
              </w:rPr>
              <w:t xml:space="preserve">Actions </w:t>
            </w:r>
            <w:r>
              <w:rPr>
                <w:rFonts w:eastAsia="Times New Roman"/>
                <w:noProof/>
                <w:color w:val="004300"/>
                <w:sz w:val="18"/>
                <w:szCs w:val="18"/>
                <w:lang w:val="en-IE" w:eastAsia="en-GB"/>
              </w:rPr>
              <w:t>in ICT management</w:t>
            </w:r>
          </w:p>
        </w:tc>
        <w:tc>
          <w:tcPr>
            <w:tcW w:w="860" w:type="dxa"/>
            <w:shd w:val="clear" w:color="auto" w:fill="C6EFCE"/>
            <w:tcMar>
              <w:left w:w="105" w:type="dxa"/>
              <w:right w:w="105" w:type="dxa"/>
            </w:tcMar>
          </w:tcPr>
          <w:p w:rsidRPr="008C7FAF" w:rsidR="00D87E44" w:rsidRDefault="00D87E44" w14:paraId="15457B52" w14:textId="77777777">
            <w:pPr>
              <w:spacing w:before="0" w:after="0" w:line="240" w:lineRule="auto"/>
              <w:rPr>
                <w:noProof/>
                <w:color w:val="004300"/>
                <w:sz w:val="18"/>
                <w:lang w:val="en-IE"/>
              </w:rPr>
            </w:pPr>
          </w:p>
        </w:tc>
        <w:tc>
          <w:tcPr>
            <w:tcW w:w="851" w:type="dxa"/>
            <w:shd w:val="clear" w:color="auto" w:fill="C6EFCE"/>
            <w:tcMar>
              <w:left w:w="105" w:type="dxa"/>
              <w:right w:w="105" w:type="dxa"/>
            </w:tcMar>
          </w:tcPr>
          <w:p w:rsidRPr="008C7FAF" w:rsidR="00D87E44" w:rsidRDefault="00D87E44" w14:paraId="15457B53" w14:textId="77777777">
            <w:pPr>
              <w:spacing w:before="0" w:after="0" w:line="240" w:lineRule="auto"/>
              <w:rPr>
                <w:noProof/>
                <w:color w:val="004300"/>
                <w:sz w:val="18"/>
                <w:lang w:val="en-IE"/>
              </w:rPr>
            </w:pPr>
          </w:p>
        </w:tc>
        <w:tc>
          <w:tcPr>
            <w:tcW w:w="914" w:type="dxa"/>
            <w:shd w:val="clear" w:color="auto" w:fill="C6EFCE"/>
            <w:tcMar>
              <w:left w:w="105" w:type="dxa"/>
              <w:right w:w="105" w:type="dxa"/>
            </w:tcMar>
          </w:tcPr>
          <w:p w:rsidRPr="008C7FAF" w:rsidR="00D87E44" w:rsidRDefault="00D87E44" w14:paraId="15457B54" w14:textId="77777777">
            <w:pPr>
              <w:spacing w:before="0" w:after="0" w:line="240" w:lineRule="auto"/>
              <w:rPr>
                <w:noProof/>
                <w:color w:val="004300"/>
                <w:sz w:val="18"/>
                <w:lang w:val="en-IE"/>
              </w:rPr>
            </w:pPr>
          </w:p>
          <w:p w:rsidRPr="008C7FAF" w:rsidR="00D87E44" w:rsidRDefault="00D87E44" w14:paraId="15457B55" w14:textId="77777777">
            <w:pPr>
              <w:spacing w:before="0" w:after="0"/>
              <w:rPr>
                <w:noProof/>
                <w:color w:val="004300"/>
                <w:sz w:val="18"/>
                <w:lang w:val="en-IE"/>
              </w:rPr>
            </w:pPr>
          </w:p>
          <w:p w:rsidRPr="008C7FAF" w:rsidR="00D87E44" w:rsidRDefault="00D87E44" w14:paraId="15457B56" w14:textId="77777777">
            <w:pPr>
              <w:spacing w:before="0" w:after="0"/>
              <w:rPr>
                <w:noProof/>
                <w:color w:val="004300"/>
                <w:sz w:val="18"/>
                <w:lang w:val="en-IE"/>
              </w:rPr>
            </w:pPr>
          </w:p>
          <w:p w:rsidRPr="008C7FAF" w:rsidR="00D87E44" w:rsidRDefault="00D87E44" w14:paraId="15457B57" w14:textId="77777777">
            <w:pPr>
              <w:spacing w:before="0" w:after="0"/>
              <w:rPr>
                <w:noProof/>
                <w:color w:val="004300"/>
                <w:sz w:val="18"/>
                <w:lang w:val="en-IE"/>
              </w:rPr>
            </w:pPr>
          </w:p>
          <w:p w:rsidRPr="008C7FAF" w:rsidR="00D87E44" w:rsidRDefault="00D87E44" w14:paraId="15457B58" w14:textId="77777777">
            <w:pPr>
              <w:spacing w:before="0" w:after="0"/>
              <w:rPr>
                <w:noProof/>
                <w:color w:val="004300"/>
                <w:sz w:val="18"/>
                <w:lang w:val="en-IE"/>
              </w:rPr>
            </w:pPr>
          </w:p>
          <w:p w:rsidRPr="008C7FAF" w:rsidR="00D87E44" w:rsidRDefault="00D87E44" w14:paraId="15457B59" w14:textId="77777777">
            <w:pPr>
              <w:spacing w:before="0" w:after="0"/>
              <w:rPr>
                <w:noProof/>
                <w:color w:val="004300"/>
                <w:sz w:val="18"/>
                <w:lang w:val="en-IE"/>
              </w:rPr>
            </w:pPr>
          </w:p>
        </w:tc>
        <w:tc>
          <w:tcPr>
            <w:tcW w:w="1080" w:type="dxa"/>
            <w:shd w:val="clear" w:color="auto" w:fill="C6EFCE"/>
            <w:tcMar>
              <w:left w:w="105" w:type="dxa"/>
              <w:right w:w="105" w:type="dxa"/>
            </w:tcMar>
          </w:tcPr>
          <w:p w:rsidRPr="008C7FAF" w:rsidR="00D87E44" w:rsidRDefault="00D87E44" w14:paraId="15457B5A" w14:textId="77777777">
            <w:pPr>
              <w:spacing w:before="0" w:after="0" w:line="240" w:lineRule="auto"/>
              <w:rPr>
                <w:noProof/>
                <w:color w:val="004300"/>
                <w:sz w:val="18"/>
                <w:lang w:val="en-IE"/>
              </w:rPr>
            </w:pPr>
            <w:r w:rsidRPr="008C7FAF">
              <w:rPr>
                <w:noProof/>
                <w:color w:val="004300"/>
                <w:sz w:val="18"/>
                <w:lang w:val="en-IE"/>
              </w:rPr>
              <w:t>Q2</w:t>
            </w:r>
          </w:p>
        </w:tc>
        <w:tc>
          <w:tcPr>
            <w:tcW w:w="658" w:type="dxa"/>
            <w:shd w:val="clear" w:color="auto" w:fill="C6EFCE"/>
            <w:tcMar>
              <w:left w:w="105" w:type="dxa"/>
              <w:right w:w="105" w:type="dxa"/>
            </w:tcMar>
          </w:tcPr>
          <w:p w:rsidRPr="008C7FAF" w:rsidR="00D87E44" w:rsidRDefault="00D87E44" w14:paraId="15457B5B" w14:textId="77777777">
            <w:pPr>
              <w:spacing w:before="0" w:after="0" w:line="240" w:lineRule="auto"/>
              <w:rPr>
                <w:noProof/>
                <w:color w:val="004300"/>
                <w:sz w:val="18"/>
                <w:lang w:val="en-IE"/>
              </w:rPr>
            </w:pPr>
            <w:r w:rsidRPr="008C7FAF">
              <w:rPr>
                <w:noProof/>
                <w:color w:val="004300"/>
                <w:sz w:val="18"/>
                <w:lang w:val="en-IE"/>
              </w:rPr>
              <w:t>2026</w:t>
            </w:r>
          </w:p>
        </w:tc>
        <w:tc>
          <w:tcPr>
            <w:tcW w:w="3844" w:type="dxa"/>
            <w:shd w:val="clear" w:color="auto" w:fill="C6EFCE"/>
            <w:tcMar>
              <w:left w:w="105" w:type="dxa"/>
              <w:right w:w="105" w:type="dxa"/>
            </w:tcMar>
          </w:tcPr>
          <w:p w:rsidRPr="008C7FAF" w:rsidR="00D87E44" w:rsidRDefault="00D87E44" w14:paraId="15457B5C" w14:textId="77777777">
            <w:pPr>
              <w:spacing w:before="0" w:after="0"/>
              <w:contextualSpacing/>
              <w:rPr>
                <w:noProof/>
                <w:color w:val="004300"/>
                <w:sz w:val="18"/>
                <w:lang w:val="en-IE"/>
              </w:rPr>
            </w:pPr>
            <w:r w:rsidRPr="008C7FAF">
              <w:rPr>
                <w:noProof/>
                <w:color w:val="004300"/>
                <w:sz w:val="18"/>
                <w:lang w:val="en-IE"/>
              </w:rPr>
              <w:t xml:space="preserve">The </w:t>
            </w:r>
            <w:r>
              <w:rPr>
                <w:rFonts w:eastAsia="Times New Roman"/>
                <w:noProof/>
                <w:color w:val="004300"/>
                <w:sz w:val="18"/>
                <w:szCs w:val="18"/>
                <w:lang w:val="en-IE" w:eastAsia="en-GB"/>
              </w:rPr>
              <w:t xml:space="preserve">milestone consists of the </w:t>
            </w:r>
            <w:r w:rsidRPr="008C7FAF">
              <w:rPr>
                <w:noProof/>
                <w:color w:val="004300"/>
                <w:sz w:val="18"/>
                <w:lang w:val="en-IE"/>
              </w:rPr>
              <w:t>following actions:</w:t>
            </w:r>
          </w:p>
          <w:p w:rsidRPr="00E3458A" w:rsidR="00D87E44" w:rsidP="00FF1320" w:rsidRDefault="00D87E44" w14:paraId="15457B5D" w14:textId="77777777">
            <w:pPr>
              <w:pStyle w:val="ListParagraph"/>
              <w:numPr>
                <w:ilvl w:val="0"/>
                <w:numId w:val="45"/>
              </w:numPr>
              <w:spacing w:before="0" w:after="0" w:line="259" w:lineRule="auto"/>
              <w:rPr>
                <w:color w:val="004300"/>
                <w:sz w:val="18"/>
                <w:lang w:val="en-IE"/>
              </w:rPr>
            </w:pPr>
            <w:r w:rsidRPr="00763635">
              <w:rPr>
                <w:rFonts w:eastAsia="Times New Roman"/>
                <w:noProof/>
                <w:color w:val="004300"/>
                <w:sz w:val="18"/>
                <w:szCs w:val="18"/>
                <w:lang w:val="en-IE" w:eastAsia="en-GB"/>
              </w:rPr>
              <w:t>Competence Centres Portal</w:t>
            </w:r>
            <w:r w:rsidRPr="00E3458A">
              <w:rPr>
                <w:color w:val="004300"/>
                <w:sz w:val="18"/>
                <w:lang w:val="en-IE"/>
              </w:rPr>
              <w:t xml:space="preserve"> and an ICT Long-Term Management System</w:t>
            </w:r>
            <w:r w:rsidRPr="00763635">
              <w:rPr>
                <w:rFonts w:eastAsia="Times New Roman"/>
                <w:noProof/>
                <w:color w:val="004300"/>
                <w:sz w:val="18"/>
                <w:szCs w:val="18"/>
                <w:lang w:val="en-IE" w:eastAsia="en-GB"/>
              </w:rPr>
              <w:t xml:space="preserve"> shall be established. </w:t>
            </w:r>
          </w:p>
          <w:p w:rsidRPr="00763635" w:rsidR="00D87E44" w:rsidP="00D226F4" w:rsidRDefault="00D87E44" w14:paraId="15457B5E" w14:textId="77777777">
            <w:pPr>
              <w:pStyle w:val="ListParagraph"/>
              <w:numPr>
                <w:ilvl w:val="0"/>
                <w:numId w:val="45"/>
              </w:numPr>
              <w:spacing w:before="0" w:after="0" w:line="259" w:lineRule="auto"/>
              <w:rPr>
                <w:rFonts w:eastAsia="Times New Roman"/>
                <w:noProof/>
                <w:color w:val="004300"/>
                <w:sz w:val="18"/>
                <w:szCs w:val="18"/>
                <w:lang w:val="en-IE" w:eastAsia="en-GB"/>
              </w:rPr>
            </w:pPr>
            <w:r w:rsidRPr="00763635">
              <w:rPr>
                <w:rFonts w:eastAsia="Times New Roman"/>
                <w:noProof/>
                <w:color w:val="004300"/>
                <w:sz w:val="18"/>
                <w:szCs w:val="18"/>
                <w:lang w:val="en-IE" w:eastAsia="en-GB"/>
              </w:rPr>
              <w:t>Websites of the central government authorities’ shall be at the *gov.cz.</w:t>
            </w:r>
          </w:p>
          <w:p w:rsidRPr="00763635" w:rsidR="00D87E44" w:rsidP="00D226F4" w:rsidRDefault="00D87E44" w14:paraId="15457B5F" w14:textId="77777777">
            <w:pPr>
              <w:pStyle w:val="ListParagraph"/>
              <w:numPr>
                <w:ilvl w:val="0"/>
                <w:numId w:val="45"/>
              </w:numPr>
              <w:spacing w:before="0" w:after="0" w:line="259" w:lineRule="auto"/>
              <w:rPr>
                <w:rFonts w:eastAsia="Times New Roman"/>
                <w:noProof/>
                <w:color w:val="004300"/>
                <w:sz w:val="18"/>
                <w:szCs w:val="18"/>
                <w:lang w:val="en-IE" w:eastAsia="en-GB"/>
              </w:rPr>
            </w:pPr>
            <w:r w:rsidRPr="00763635">
              <w:rPr>
                <w:rFonts w:eastAsia="Times New Roman"/>
                <w:noProof/>
                <w:color w:val="004300"/>
                <w:sz w:val="18"/>
                <w:szCs w:val="18"/>
                <w:lang w:val="en-IE" w:eastAsia="en-GB"/>
              </w:rPr>
              <w:t xml:space="preserve">E-learning on the digital </w:t>
            </w:r>
            <w:r w:rsidRPr="00763635">
              <w:rPr>
                <w:rFonts w:eastAsia="Times New Roman"/>
                <w:noProof/>
                <w:color w:val="004300"/>
                <w:sz w:val="18"/>
                <w:szCs w:val="18"/>
                <w:lang w:val="en-IE" w:eastAsia="en-GB"/>
              </w:rPr>
              <w:t>communication between the public and the government shall be available online.</w:t>
            </w:r>
          </w:p>
          <w:p w:rsidRPr="00763635" w:rsidR="00D87E44" w:rsidP="00D226F4" w:rsidRDefault="00D87E44" w14:paraId="15457B60" w14:textId="77777777">
            <w:pPr>
              <w:pStyle w:val="ListParagraph"/>
              <w:numPr>
                <w:ilvl w:val="0"/>
                <w:numId w:val="45"/>
              </w:numPr>
              <w:spacing w:before="0" w:after="0" w:line="259" w:lineRule="auto"/>
              <w:rPr>
                <w:rFonts w:eastAsia="Times New Roman"/>
                <w:noProof/>
                <w:color w:val="004300"/>
                <w:sz w:val="18"/>
                <w:szCs w:val="18"/>
                <w:lang w:val="en-IE" w:eastAsia="en-GB"/>
              </w:rPr>
            </w:pPr>
            <w:r w:rsidRPr="00763635">
              <w:rPr>
                <w:rFonts w:eastAsia="Times New Roman"/>
                <w:noProof/>
                <w:color w:val="004300"/>
                <w:sz w:val="18"/>
                <w:szCs w:val="18"/>
                <w:lang w:val="en-IE" w:eastAsia="en-GB"/>
              </w:rPr>
              <w:t>A public administration contact centre shall be made available.</w:t>
            </w:r>
          </w:p>
          <w:p w:rsidRPr="00E3458A" w:rsidR="00D87E44" w:rsidP="00FF1320" w:rsidRDefault="00D87E44" w14:paraId="15457B61" w14:textId="77777777">
            <w:pPr>
              <w:pStyle w:val="ListParagraph"/>
              <w:numPr>
                <w:ilvl w:val="0"/>
                <w:numId w:val="45"/>
              </w:numPr>
              <w:spacing w:before="0" w:after="0" w:line="259" w:lineRule="auto"/>
              <w:rPr>
                <w:color w:val="004300"/>
                <w:sz w:val="18"/>
                <w:lang w:val="en-IE"/>
              </w:rPr>
            </w:pPr>
            <w:r w:rsidRPr="00763635">
              <w:rPr>
                <w:rFonts w:eastAsia="Times New Roman"/>
                <w:noProof/>
                <w:color w:val="004300"/>
                <w:sz w:val="18"/>
                <w:szCs w:val="18"/>
                <w:lang w:val="en-IE" w:eastAsia="en-GB"/>
              </w:rPr>
              <w:t>A central data warehouse shall be established.</w:t>
            </w:r>
            <w:r>
              <w:rPr>
                <w:rFonts w:eastAsia="Times New Roman"/>
                <w:noProof/>
                <w:color w:val="004300"/>
                <w:sz w:val="18"/>
                <w:szCs w:val="18"/>
                <w:lang w:val="en-IE" w:eastAsia="en-GB"/>
              </w:rPr>
              <w:t xml:space="preserve">  </w:t>
            </w:r>
          </w:p>
        </w:tc>
      </w:tr>
    </w:tbl>
    <w:p w:rsidRPr="00FE48E2" w:rsidR="00D87E44" w:rsidP="00D226F4" w:rsidRDefault="00D87E44" w14:paraId="15457B63" w14:textId="77777777">
      <w:pPr>
        <w:keepNext/>
        <w:spacing w:before="360" w:line="240" w:lineRule="auto"/>
        <w:jc w:val="both"/>
        <w:rPr>
          <w:b/>
          <w:noProof/>
          <w:color w:val="000000"/>
          <w:szCs w:val="24"/>
          <w:u w:val="single"/>
          <w:lang w:val="en-IE"/>
        </w:rPr>
      </w:pPr>
    </w:p>
    <w:p w:rsidRPr="00FE48E2" w:rsidR="00D87E44" w:rsidP="00D226F4" w:rsidRDefault="00D87E44" w14:paraId="15457B64" w14:textId="77777777">
      <w:pPr>
        <w:keepNext/>
        <w:spacing w:before="360" w:line="240" w:lineRule="auto"/>
        <w:jc w:val="both"/>
        <w:rPr>
          <w:b/>
          <w:smallCaps/>
          <w:noProof/>
          <w:lang w:val="en-IE"/>
        </w:rPr>
        <w:sectPr w:rsidRPr="00FE48E2" w:rsidR="00C16C1F" w:rsidSect="00D226F4">
          <w:headerReference w:type="even" r:id="Ra4274255622c49a8"/>
          <w:headerReference w:type="default" r:id="R93bdb60578244c18"/>
          <w:footerReference w:type="even" r:id="R1f8bd4bb82cb4886"/>
          <w:footerReference w:type="default" r:id="Rf00d40c9f16a47d4"/>
          <w:headerReference w:type="first" r:id="R91bac9ab22294e75"/>
          <w:footerReference w:type="first" r:id="R090ca58f663e4435"/>
          <w:pgSz w:w="16839" w:h="11907" w:orient="landscape"/>
          <w:pgMar w:top="1134" w:right="1134" w:bottom="1134" w:left="1134" w:header="567" w:footer="567" w:gutter="0"/>
          <w:cols w:space="720"/>
          <w:docGrid w:linePitch="326"/>
        </w:sectPr>
      </w:pPr>
    </w:p>
    <w:p w:rsidRPr="00FE48E2" w:rsidR="00D87E44" w:rsidP="00D226F4" w:rsidRDefault="00D87E44" w14:paraId="15457B65" w14:textId="77777777">
      <w:pPr>
        <w:keepNext/>
        <w:tabs>
          <w:tab w:val="left" w:pos="850"/>
        </w:tabs>
        <w:spacing w:before="360" w:line="240" w:lineRule="auto"/>
        <w:jc w:val="both"/>
        <w:outlineLvl w:val="0"/>
        <w:rPr>
          <w:b/>
          <w:bCs/>
          <w:smallCaps/>
          <w:noProof/>
          <w:lang w:val="en-IE"/>
        </w:rPr>
      </w:pPr>
      <w:r w:rsidRPr="30D78EC6">
        <w:rPr>
          <w:b/>
          <w:bCs/>
          <w:smallCaps/>
          <w:noProof/>
          <w:lang w:val="en-IE"/>
        </w:rPr>
        <w:lastRenderedPageBreak/>
        <w:t>H. COMPONENT 2.1: Sustainable Transport</w:t>
      </w:r>
    </w:p>
    <w:p w:rsidRPr="00FE48E2" w:rsidR="00D87E44" w:rsidP="00D226F4" w:rsidRDefault="00D87E44" w14:paraId="15457B66" w14:textId="77777777">
      <w:pPr>
        <w:spacing w:line="240" w:lineRule="auto"/>
        <w:jc w:val="both"/>
        <w:rPr>
          <w:noProof/>
          <w:szCs w:val="24"/>
          <w:lang w:val="en-IE"/>
        </w:rPr>
      </w:pPr>
      <w:r w:rsidRPr="00FE48E2">
        <w:rPr>
          <w:noProof/>
          <w:szCs w:val="24"/>
          <w:lang w:val="en-IE"/>
        </w:rPr>
        <w:t xml:space="preserve">This component </w:t>
      </w:r>
      <w:r w:rsidRPr="00FE48E2">
        <w:rPr>
          <w:rFonts w:eastAsia="Times New Roman"/>
          <w:noProof/>
          <w:szCs w:val="24"/>
          <w:lang w:val="en-IE"/>
        </w:rPr>
        <w:t xml:space="preserve">of the Czech recovery and resilience plan </w:t>
      </w:r>
      <w:r w:rsidRPr="00FE48E2">
        <w:rPr>
          <w:noProof/>
          <w:szCs w:val="24"/>
          <w:lang w:val="en-IE"/>
        </w:rPr>
        <w:t xml:space="preserve">addresses the challenges of digitalising transport, electro-mobility in rail </w:t>
      </w:r>
      <w:r w:rsidRPr="00FE48E2">
        <w:rPr>
          <w:noProof/>
          <w:szCs w:val="24"/>
          <w:lang w:val="en-IE"/>
        </w:rPr>
        <w:t>transport, increasing the share of rail transport in freight and passenger transport, boosting the importance of active mobility in cities, improving traffic safety, and reducing the impact of traffic on the environment and public health. The component benefits from synergies with component 2.4, which addresses the issue of alternative propulsion in road transport and urban bus transport.</w:t>
      </w:r>
    </w:p>
    <w:p w:rsidRPr="00FE48E2" w:rsidR="00D87E44" w:rsidP="00D226F4" w:rsidRDefault="00D87E44" w14:paraId="15457B67" w14:textId="77777777">
      <w:pPr>
        <w:spacing w:line="240" w:lineRule="auto"/>
        <w:jc w:val="both"/>
        <w:rPr>
          <w:noProof/>
          <w:szCs w:val="24"/>
          <w:lang w:val="en-IE"/>
        </w:rPr>
      </w:pPr>
      <w:r w:rsidRPr="00FE48E2">
        <w:rPr>
          <w:noProof/>
          <w:szCs w:val="24"/>
          <w:lang w:val="en-IE"/>
        </w:rPr>
        <w:t xml:space="preserve">The component supports addressing the country-specific recommendation 3 2019, according to which Czechia shall focus investment-related economic policy on transport, notably on its sustainability, digital infrastructure, and low carbon and energy transition, including energy efficiency, taking into account regional disparities </w:t>
      </w:r>
      <w:r w:rsidRPr="00FE48E2">
        <w:rPr>
          <w:rFonts w:eastAsia="Times New Roman"/>
          <w:noProof/>
          <w:szCs w:val="24"/>
          <w:lang w:val="en-IE"/>
        </w:rPr>
        <w:t>(Country Specific Recommendation 3, 2019)</w:t>
      </w:r>
      <w:r w:rsidRPr="00FE48E2">
        <w:rPr>
          <w:noProof/>
          <w:szCs w:val="24"/>
          <w:lang w:val="en-IE"/>
        </w:rPr>
        <w:t xml:space="preserve">, and Country Specific Recommendation 3 2020, according to which Czechia shall aim at investments in the green and digital transition, in particular on high-capacity digital infrastructure and technologies, clean and efficient production and use of energy, and sustainable transport infrastructure, including in the coal regions </w:t>
      </w:r>
      <w:r w:rsidRPr="00FE48E2">
        <w:rPr>
          <w:rFonts w:eastAsia="Times New Roman"/>
          <w:noProof/>
          <w:szCs w:val="24"/>
          <w:lang w:val="en-IE"/>
        </w:rPr>
        <w:t>(Country Specific Recommendation 3, 2020)</w:t>
      </w:r>
      <w:r w:rsidRPr="00FE48E2">
        <w:rPr>
          <w:noProof/>
          <w:szCs w:val="24"/>
          <w:lang w:val="en-IE"/>
        </w:rPr>
        <w:t>.</w:t>
      </w:r>
    </w:p>
    <w:p w:rsidR="00D87E44" w:rsidDel="00AD4B9F" w:rsidP="00D226F4" w:rsidRDefault="00D87E44" w14:paraId="15457B68" w14:textId="77777777">
      <w:pPr>
        <w:spacing w:line="240" w:lineRule="auto"/>
        <w:jc w:val="both"/>
        <w:rPr>
          <w:noProof/>
          <w:lang w:val="en-IE"/>
        </w:rPr>
      </w:pPr>
      <w:r w:rsidRPr="67FAC61F">
        <w:rPr>
          <w:rFonts w:eastAsia="Times New Roman"/>
          <w:noProof/>
          <w:lang w:val="en-IE" w:eastAsia="en-IE"/>
        </w:rPr>
        <w:t>It is expected that no measure in this component does significant harm to environmental objectives within the meaning of Article 17 of Regulation (EU) 2020/852,</w:t>
      </w:r>
      <w:r>
        <w:rPr>
          <w:rFonts w:eastAsia="Times New Roman"/>
          <w:noProof/>
          <w:lang w:val="en-IE" w:eastAsia="en-IE"/>
        </w:rPr>
        <w:t xml:space="preserve"> </w:t>
      </w:r>
      <w:r w:rsidRPr="67FAC61F">
        <w:rPr>
          <w:rFonts w:eastAsia="Times New Roman"/>
          <w:noProof/>
          <w:lang w:val="en-IE" w:eastAsia="en-IE"/>
        </w:rPr>
        <w:t>taking into account</w:t>
      </w:r>
      <w:r>
        <w:rPr>
          <w:rFonts w:eastAsia="Times New Roman"/>
          <w:noProof/>
          <w:lang w:val="en-IE" w:eastAsia="en-IE"/>
        </w:rPr>
        <w:t xml:space="preserve"> </w:t>
      </w:r>
      <w:r w:rsidRPr="67FAC61F">
        <w:rPr>
          <w:rFonts w:eastAsia="Times New Roman"/>
          <w:noProof/>
          <w:lang w:val="en-IE" w:eastAsia="en-IE"/>
        </w:rPr>
        <w:t xml:space="preserve">the description of the measures and the mitigating steps set out in the plan in accordance with the DNSH Technical Guidance (2021/C58/01). </w:t>
      </w:r>
      <w:r w:rsidRPr="67FAC61F">
        <w:rPr>
          <w:noProof/>
          <w:lang w:val="en-IE"/>
        </w:rPr>
        <w:t>In particular, at least 70 % of construction and demolition waste shall be prepared for reuse or recycling.</w:t>
      </w:r>
    </w:p>
    <w:p w:rsidRPr="00FE48E2" w:rsidR="00D87E44" w:rsidDel="00AD4B9F" w:rsidP="00D226F4" w:rsidRDefault="00D87E44" w14:paraId="15457B69" w14:textId="77777777">
      <w:pPr>
        <w:spacing w:line="240" w:lineRule="auto"/>
        <w:jc w:val="both"/>
        <w:rPr>
          <w:noProof/>
          <w:lang w:val="en-IE" w:eastAsia="en-IE"/>
        </w:rPr>
      </w:pPr>
    </w:p>
    <w:p w:rsidRPr="00FE48E2" w:rsidR="00D87E44" w:rsidP="00D226F4" w:rsidRDefault="00D87E44" w14:paraId="15457B6A" w14:textId="77777777">
      <w:pPr>
        <w:spacing w:line="240" w:lineRule="auto"/>
        <w:rPr>
          <w:noProof/>
          <w:lang w:val="en-IE"/>
        </w:rPr>
      </w:pPr>
      <w:r w:rsidRPr="30D78EC6">
        <w:rPr>
          <w:b/>
          <w:bCs/>
          <w:noProof/>
          <w:u w:val="single"/>
          <w:lang w:val="en-IE"/>
        </w:rPr>
        <w:t>H.1. Description of the reforms and investments for non-repayable financial support</w:t>
      </w:r>
    </w:p>
    <w:p w:rsidRPr="00FE48E2" w:rsidR="00D87E44" w:rsidP="00D226F4" w:rsidRDefault="00D87E44" w14:paraId="15457B6B" w14:textId="77777777">
      <w:pPr>
        <w:spacing w:line="240" w:lineRule="auto"/>
        <w:rPr>
          <w:b/>
          <w:noProof/>
          <w:szCs w:val="24"/>
          <w:lang w:val="en-IE"/>
        </w:rPr>
      </w:pPr>
      <w:r w:rsidRPr="008C7FAF">
        <w:rPr>
          <w:b/>
          <w:noProof/>
          <w:szCs w:val="24"/>
          <w:lang w:val="en-IE"/>
        </w:rPr>
        <w:t xml:space="preserve">Reform 1: </w:t>
      </w:r>
      <w:r w:rsidRPr="008C7FAF" w:rsidDel="002C2C03">
        <w:rPr>
          <w:b/>
          <w:noProof/>
          <w:szCs w:val="24"/>
          <w:lang w:val="en-IE"/>
        </w:rPr>
        <w:t>Development of</w:t>
      </w:r>
      <w:r w:rsidRPr="008C7FAF">
        <w:rPr>
          <w:b/>
          <w:noProof/>
          <w:szCs w:val="24"/>
          <w:lang w:val="en-IE"/>
        </w:rPr>
        <w:t xml:space="preserve"> alternatives to energy- and </w:t>
      </w:r>
      <w:r w:rsidRPr="008C7FAF" w:rsidDel="00EC0564">
        <w:rPr>
          <w:b/>
          <w:noProof/>
          <w:szCs w:val="24"/>
          <w:lang w:val="en-IE"/>
        </w:rPr>
        <w:t>spatial</w:t>
      </w:r>
      <w:r w:rsidRPr="008C7FAF">
        <w:rPr>
          <w:b/>
          <w:noProof/>
          <w:szCs w:val="24"/>
          <w:lang w:val="en-IE"/>
        </w:rPr>
        <w:t>-intensive road transport</w:t>
      </w:r>
    </w:p>
    <w:p w:rsidRPr="00FE48E2" w:rsidR="00D87E44" w:rsidP="00D226F4" w:rsidRDefault="00D87E44" w14:paraId="15457B6C" w14:textId="77777777">
      <w:pPr>
        <w:spacing w:line="240" w:lineRule="auto"/>
        <w:rPr>
          <w:noProof/>
          <w:szCs w:val="24"/>
          <w:lang w:val="en-IE"/>
        </w:rPr>
      </w:pPr>
      <w:r w:rsidRPr="00FE48E2">
        <w:rPr>
          <w:noProof/>
          <w:szCs w:val="24"/>
          <w:lang w:val="en-IE"/>
        </w:rPr>
        <w:t>The measure aims at promoting greater use of more energy-efficient modes of transport for regular and heavy transport flows. This shall be achieved through the following measures:</w:t>
      </w:r>
    </w:p>
    <w:p w:rsidRPr="00FE48E2" w:rsidR="00D87E44" w:rsidP="00D226F4" w:rsidRDefault="00D87E44" w14:paraId="15457B6D" w14:textId="77777777">
      <w:pPr>
        <w:numPr>
          <w:ilvl w:val="0"/>
          <w:numId w:val="46"/>
        </w:numPr>
        <w:pBdr>
          <w:top w:val="nil"/>
          <w:left w:val="nil"/>
          <w:bottom w:val="nil"/>
          <w:right w:val="nil"/>
          <w:between w:val="nil"/>
        </w:pBdr>
        <w:spacing w:after="0" w:line="259" w:lineRule="auto"/>
        <w:ind w:left="360"/>
        <w:jc w:val="both"/>
        <w:rPr>
          <w:noProof/>
          <w:color w:val="000000"/>
          <w:szCs w:val="24"/>
          <w:lang w:val="en-IE"/>
        </w:rPr>
      </w:pPr>
      <w:r w:rsidRPr="00FE48E2">
        <w:rPr>
          <w:noProof/>
          <w:color w:val="000000"/>
          <w:szCs w:val="24"/>
          <w:lang w:val="en-IE"/>
        </w:rPr>
        <w:t>Individual cities above 40</w:t>
      </w:r>
      <w:r w:rsidRPr="67FAC61F">
        <w:rPr>
          <w:rFonts w:eastAsia="Times New Roman"/>
          <w:noProof/>
          <w:lang w:val="en-IE" w:eastAsia="en-IE"/>
        </w:rPr>
        <w:t> </w:t>
      </w:r>
      <w:r w:rsidRPr="00FE48E2">
        <w:rPr>
          <w:noProof/>
          <w:color w:val="000000"/>
          <w:szCs w:val="24"/>
          <w:lang w:val="en-IE"/>
        </w:rPr>
        <w:t xml:space="preserve">000 inhabitants shall carry out the Sustainable Urban Mobility Plan (SUMP) process. All SUMPs shall be approved by the city representative bodies by 30 June 2023. Where a simplified SUMP already exists, a new version shall be prepared based on the Urban and Active Mobility Concept (UAMC) approved by the government. It shall contain all the required parts by the UAMC and shall be based on the required analyses by the UAMC such as traffic modelling and surveys. </w:t>
      </w:r>
    </w:p>
    <w:p w:rsidRPr="00FE48E2" w:rsidR="00D87E44" w:rsidP="00D226F4" w:rsidRDefault="00D87E44" w14:paraId="15457B6E" w14:textId="77777777">
      <w:pPr>
        <w:numPr>
          <w:ilvl w:val="0"/>
          <w:numId w:val="46"/>
        </w:numPr>
        <w:pBdr>
          <w:top w:val="nil"/>
          <w:left w:val="nil"/>
          <w:bottom w:val="nil"/>
          <w:right w:val="nil"/>
          <w:between w:val="nil"/>
        </w:pBdr>
        <w:spacing w:after="0" w:line="259" w:lineRule="auto"/>
        <w:ind w:left="360"/>
        <w:jc w:val="both"/>
        <w:rPr>
          <w:noProof/>
          <w:color w:val="000000"/>
          <w:lang w:val="en-IE"/>
        </w:rPr>
      </w:pPr>
      <w:r w:rsidRPr="1DCFF5C1">
        <w:rPr>
          <w:noProof/>
          <w:color w:val="000000" w:themeColor="text1"/>
          <w:lang w:val="en-IE"/>
        </w:rPr>
        <w:t xml:space="preserve">The concept of freight transport, which </w:t>
      </w:r>
      <w:r w:rsidRPr="00024BC5">
        <w:rPr>
          <w:noProof/>
          <w:color w:val="000000" w:themeColor="text1"/>
          <w:lang w:val="en-IE"/>
        </w:rPr>
        <w:t>shall</w:t>
      </w:r>
      <w:r w:rsidRPr="1DCFF5C1">
        <w:rPr>
          <w:noProof/>
          <w:color w:val="000000" w:themeColor="text1"/>
          <w:lang w:val="en-IE"/>
        </w:rPr>
        <w:t xml:space="preserve"> set the conditions for increasing the share of rail freight transport in the total volume of transport, for the period 2024-2030, shall be approved by a resolution of the Government of the Czech Republic by 31 December 2023. The concept shall focus on supporting multimodal transport, improving freight transport services and reducing the impact of freight transport on the environment, public health and global climate change. </w:t>
      </w:r>
    </w:p>
    <w:p w:rsidRPr="00FE48E2" w:rsidR="00D87E44" w:rsidP="00D226F4" w:rsidRDefault="00D87E44" w14:paraId="15457B6F" w14:textId="77777777">
      <w:pPr>
        <w:numPr>
          <w:ilvl w:val="0"/>
          <w:numId w:val="46"/>
        </w:numPr>
        <w:pBdr>
          <w:top w:val="nil"/>
          <w:left w:val="nil"/>
          <w:bottom w:val="nil"/>
          <w:right w:val="nil"/>
          <w:between w:val="nil"/>
        </w:pBdr>
        <w:spacing w:after="160" w:line="259" w:lineRule="auto"/>
        <w:ind w:left="360"/>
        <w:jc w:val="both"/>
        <w:rPr>
          <w:noProof/>
          <w:color w:val="000000"/>
          <w:lang w:val="en-IE"/>
        </w:rPr>
      </w:pPr>
      <w:r w:rsidRPr="077DF33C">
        <w:rPr>
          <w:noProof/>
          <w:color w:val="000000" w:themeColor="text1"/>
          <w:lang w:val="en-IE"/>
        </w:rPr>
        <w:t>All operators of public transport (state, regions and cities operating public transport) shall approve a five-year transport service plan by 31 December 2023, based on the government-approved Public Transport Concept.</w:t>
      </w:r>
    </w:p>
    <w:p w:rsidRPr="00FE48E2" w:rsidR="00D87E44" w:rsidP="00D226F4" w:rsidRDefault="00D87E44" w14:paraId="15457B70" w14:textId="77777777">
      <w:pPr>
        <w:spacing w:line="240" w:lineRule="auto"/>
        <w:rPr>
          <w:rFonts w:ascii="Calibri" w:hAnsi="Calibri"/>
          <w:noProof/>
          <w:sz w:val="22"/>
          <w:lang w:val="en-IE"/>
        </w:rPr>
      </w:pPr>
      <w:r w:rsidRPr="00FE48E2">
        <w:rPr>
          <w:b/>
          <w:noProof/>
          <w:szCs w:val="24"/>
          <w:lang w:val="en-IE"/>
        </w:rPr>
        <w:lastRenderedPageBreak/>
        <w:t>Investment 1: Application of modern technologies to railway infrastructure</w:t>
      </w:r>
      <w:r w:rsidRPr="00FE48E2">
        <w:rPr>
          <w:noProof/>
          <w:szCs w:val="24"/>
          <w:lang w:val="en-IE"/>
        </w:rPr>
        <w:t xml:space="preserve"> </w:t>
      </w:r>
    </w:p>
    <w:p w:rsidRPr="00FE48E2" w:rsidR="00D87E44" w:rsidP="00D226F4" w:rsidRDefault="00D87E44" w14:paraId="15457B71" w14:textId="77777777">
      <w:pPr>
        <w:spacing w:line="240" w:lineRule="auto"/>
        <w:jc w:val="both"/>
        <w:rPr>
          <w:noProof/>
          <w:lang w:val="en-IE"/>
        </w:rPr>
      </w:pPr>
      <w:r w:rsidRPr="17B29258">
        <w:rPr>
          <w:noProof/>
          <w:lang w:val="en-IE"/>
        </w:rPr>
        <w:t xml:space="preserve">The </w:t>
      </w:r>
      <w:r>
        <w:rPr>
          <w:noProof/>
          <w:lang w:val="en-IE"/>
        </w:rPr>
        <w:t>objective of the investment is</w:t>
      </w:r>
      <w:r w:rsidRPr="17B29258">
        <w:rPr>
          <w:noProof/>
          <w:lang w:val="en-IE"/>
        </w:rPr>
        <w:t xml:space="preserve"> to contribute to the digitalisation of rail transport</w:t>
      </w:r>
      <w:r w:rsidRPr="476E5A7C">
        <w:rPr>
          <w:noProof/>
          <w:lang w:val="en-IE"/>
        </w:rPr>
        <w:t>,</w:t>
      </w:r>
      <w:r w:rsidRPr="17B29258">
        <w:rPr>
          <w:noProof/>
          <w:lang w:val="en-IE"/>
        </w:rPr>
        <w:t xml:space="preserve"> </w:t>
      </w:r>
      <w:r>
        <w:rPr>
          <w:noProof/>
          <w:lang w:val="en-IE"/>
        </w:rPr>
        <w:t>support</w:t>
      </w:r>
      <w:r w:rsidRPr="17B29258">
        <w:rPr>
          <w:noProof/>
          <w:lang w:val="en-IE"/>
        </w:rPr>
        <w:t xml:space="preserve"> traffic safety and the quality of the services provided, optimise capacity of the railway infrastructure and ensure international interoperability. </w:t>
      </w:r>
      <w:r>
        <w:rPr>
          <w:noProof/>
          <w:lang w:val="en-IE"/>
        </w:rPr>
        <w:t>It consists of</w:t>
      </w:r>
      <w:r w:rsidRPr="17B29258">
        <w:rPr>
          <w:noProof/>
          <w:lang w:val="en-IE"/>
        </w:rPr>
        <w:t xml:space="preserve"> the following </w:t>
      </w:r>
      <w:r>
        <w:rPr>
          <w:noProof/>
          <w:lang w:val="en-IE"/>
        </w:rPr>
        <w:t>actions</w:t>
      </w:r>
      <w:r w:rsidRPr="17B29258">
        <w:rPr>
          <w:noProof/>
          <w:lang w:val="en-IE"/>
        </w:rPr>
        <w:t>:</w:t>
      </w:r>
    </w:p>
    <w:p w:rsidRPr="00FE48E2" w:rsidR="00D87E44" w:rsidP="00D226F4" w:rsidRDefault="00D87E44" w14:paraId="15457B72" w14:textId="77777777">
      <w:pPr>
        <w:numPr>
          <w:ilvl w:val="0"/>
          <w:numId w:val="47"/>
        </w:numPr>
        <w:spacing w:after="0" w:line="259" w:lineRule="auto"/>
        <w:ind w:left="360"/>
        <w:jc w:val="both"/>
        <w:rPr>
          <w:rFonts w:eastAsia="Times New Roman"/>
          <w:noProof/>
          <w:lang w:val="en-IE"/>
        </w:rPr>
      </w:pPr>
      <w:r w:rsidRPr="476E5A7C">
        <w:rPr>
          <w:noProof/>
          <w:lang w:val="en-IE"/>
        </w:rPr>
        <w:t>Definition of a set of projects of 41 km of lines covered by Global System for Mobile Communications – Railway (GSM-R), 20 newly installed or more reliably powered base transceiver stations (BTS) and implementation of new technologies and equipment for railway traffic management by 30 June 2022.</w:t>
      </w:r>
    </w:p>
    <w:p w:rsidRPr="00FE48E2" w:rsidR="00D87E44" w:rsidP="00D226F4" w:rsidRDefault="00D87E44" w14:paraId="15457B73" w14:textId="77777777">
      <w:pPr>
        <w:numPr>
          <w:ilvl w:val="0"/>
          <w:numId w:val="47"/>
        </w:numPr>
        <w:pBdr>
          <w:top w:val="nil"/>
          <w:left w:val="nil"/>
          <w:bottom w:val="nil"/>
          <w:right w:val="nil"/>
          <w:between w:val="nil"/>
        </w:pBdr>
        <w:spacing w:after="0" w:line="259" w:lineRule="auto"/>
        <w:ind w:left="360"/>
        <w:jc w:val="both"/>
        <w:rPr>
          <w:rFonts w:eastAsia="Times New Roman"/>
          <w:noProof/>
          <w:szCs w:val="24"/>
          <w:lang w:val="en-IE"/>
        </w:rPr>
      </w:pPr>
      <w:r>
        <w:rPr>
          <w:noProof/>
          <w:szCs w:val="24"/>
          <w:lang w:val="en-IE"/>
        </w:rPr>
        <w:t>T</w:t>
      </w:r>
      <w:r w:rsidRPr="00FE48E2">
        <w:rPr>
          <w:noProof/>
          <w:szCs w:val="24"/>
          <w:lang w:val="en-IE"/>
        </w:rPr>
        <w:t xml:space="preserve">wo projects from the predefined set of projects in the bullet above by 30 June 2024. </w:t>
      </w:r>
    </w:p>
    <w:p w:rsidRPr="00701F8E" w:rsidR="00D87E44" w:rsidP="00D226F4" w:rsidRDefault="00D87E44" w14:paraId="15457B74" w14:textId="77777777">
      <w:pPr>
        <w:numPr>
          <w:ilvl w:val="0"/>
          <w:numId w:val="47"/>
        </w:numPr>
        <w:pBdr>
          <w:top w:val="nil"/>
          <w:left w:val="nil"/>
          <w:bottom w:val="nil"/>
          <w:right w:val="nil"/>
          <w:between w:val="nil"/>
        </w:pBdr>
        <w:spacing w:after="0" w:line="259" w:lineRule="auto"/>
        <w:ind w:left="360"/>
        <w:jc w:val="both"/>
        <w:rPr>
          <w:rFonts w:ascii="Calibri" w:hAnsi="Calibri"/>
          <w:noProof/>
          <w:lang w:val="en-IE"/>
        </w:rPr>
      </w:pPr>
      <w:r>
        <w:rPr>
          <w:noProof/>
          <w:lang w:val="en-IE"/>
        </w:rPr>
        <w:t>S</w:t>
      </w:r>
      <w:r w:rsidRPr="67FAC61F">
        <w:rPr>
          <w:noProof/>
          <w:lang w:val="en-IE"/>
        </w:rPr>
        <w:t>ix additional projects from the predefined set of projects in the bullet above, thus completing overall 41 km of lines covered by GSM-R, 20 newly installed or more reliably powered BTS and implementation of new technologies and equipment for railway traffic management.</w:t>
      </w:r>
    </w:p>
    <w:p w:rsidRPr="00FF1320" w:rsidR="00D87E44" w:rsidP="00FF1320" w:rsidRDefault="00D87E44" w14:paraId="15457B75" w14:textId="77777777">
      <w:pPr>
        <w:numPr>
          <w:ilvl w:val="0"/>
          <w:numId w:val="47"/>
        </w:numPr>
        <w:pBdr>
          <w:top w:val="nil"/>
          <w:left w:val="nil"/>
          <w:bottom w:val="nil"/>
          <w:right w:val="nil"/>
          <w:between w:val="nil"/>
        </w:pBdr>
        <w:spacing w:after="0" w:line="259" w:lineRule="auto"/>
        <w:ind w:left="360"/>
        <w:jc w:val="both"/>
      </w:pPr>
      <w:r w:rsidRPr="00B620F0">
        <w:rPr>
          <w:rFonts w:eastAsia="Times New Roman"/>
          <w:noProof/>
        </w:rPr>
        <w:t>C</w:t>
      </w:r>
      <w:r w:rsidRPr="00B620F0" w:rsidDel="00706665">
        <w:rPr>
          <w:rFonts w:eastAsia="Times New Roman"/>
          <w:noProof/>
        </w:rPr>
        <w:t>overage</w:t>
      </w:r>
      <w:r w:rsidRPr="476E5A7C" w:rsidDel="00706665">
        <w:rPr>
          <w:rFonts w:eastAsia="Times New Roman"/>
          <w:noProof/>
        </w:rPr>
        <w:t xml:space="preserve"> of 67,6 km of regional lines with the ETCS Regional train protection equipment</w:t>
      </w:r>
      <w:r w:rsidRPr="476E5A7C">
        <w:rPr>
          <w:rFonts w:eastAsia="Times New Roman"/>
          <w:noProof/>
        </w:rPr>
        <w:t>.</w:t>
      </w:r>
    </w:p>
    <w:p w:rsidRPr="00FE48E2" w:rsidR="00D87E44" w:rsidP="00D226F4" w:rsidRDefault="00D87E44" w14:paraId="15457B76" w14:textId="77777777">
      <w:pPr>
        <w:spacing w:line="240" w:lineRule="auto"/>
        <w:jc w:val="both"/>
        <w:rPr>
          <w:b/>
          <w:noProof/>
          <w:szCs w:val="24"/>
          <w:lang w:val="en-IE"/>
        </w:rPr>
      </w:pPr>
      <w:r w:rsidRPr="008C7FAF">
        <w:rPr>
          <w:b/>
          <w:noProof/>
          <w:szCs w:val="24"/>
          <w:lang w:val="en-IE"/>
        </w:rPr>
        <w:t>Investment 2: Electrification of railways</w:t>
      </w:r>
      <w:r w:rsidRPr="00FE48E2">
        <w:rPr>
          <w:b/>
          <w:noProof/>
          <w:szCs w:val="24"/>
          <w:lang w:val="en-IE"/>
        </w:rPr>
        <w:t xml:space="preserve"> </w:t>
      </w:r>
    </w:p>
    <w:p w:rsidRPr="00FE48E2" w:rsidR="00D87E44" w:rsidP="00D226F4" w:rsidRDefault="00D87E44" w14:paraId="15457B77" w14:textId="77777777">
      <w:pPr>
        <w:spacing w:line="240" w:lineRule="auto"/>
        <w:jc w:val="both"/>
        <w:rPr>
          <w:noProof/>
          <w:szCs w:val="24"/>
          <w:lang w:val="en-IE"/>
        </w:rPr>
      </w:pPr>
      <w:r w:rsidRPr="00FE48E2">
        <w:rPr>
          <w:noProof/>
          <w:szCs w:val="24"/>
          <w:lang w:val="en-IE"/>
        </w:rPr>
        <w:t>The measure aims at increasing the share of non-fossil fuel transport through the electrification of lines and the provision of traction power at substations. The investment shall also create the conditions for energy savings in the transport system. This</w:t>
      </w:r>
      <w:r>
        <w:rPr>
          <w:noProof/>
          <w:szCs w:val="24"/>
          <w:lang w:val="en-IE"/>
        </w:rPr>
        <w:t xml:space="preserve"> </w:t>
      </w:r>
      <w:r w:rsidRPr="00FE48E2">
        <w:rPr>
          <w:noProof/>
          <w:szCs w:val="24"/>
          <w:lang w:val="en-IE"/>
        </w:rPr>
        <w:t>shall be achieved through the following measures:</w:t>
      </w:r>
    </w:p>
    <w:p w:rsidRPr="00FE48E2" w:rsidR="00D87E44" w:rsidP="00D226F4" w:rsidRDefault="00D87E44" w14:paraId="15457B78" w14:textId="77777777">
      <w:pPr>
        <w:numPr>
          <w:ilvl w:val="0"/>
          <w:numId w:val="47"/>
        </w:numPr>
        <w:spacing w:after="0" w:line="259" w:lineRule="auto"/>
        <w:ind w:left="360"/>
        <w:jc w:val="both"/>
        <w:rPr>
          <w:rFonts w:eastAsia="Times New Roman"/>
          <w:noProof/>
          <w:sz w:val="22"/>
          <w:lang w:val="en-IE"/>
        </w:rPr>
      </w:pPr>
      <w:r w:rsidRPr="00FE48E2">
        <w:rPr>
          <w:noProof/>
          <w:szCs w:val="24"/>
          <w:lang w:val="en-IE"/>
        </w:rPr>
        <w:t>Definition of a set of projects of 39,7 km of electrified lines and four traction feeder stations with increased power or newly built ones by 30 June 2022.</w:t>
      </w:r>
    </w:p>
    <w:p w:rsidRPr="00FE48E2" w:rsidR="00D87E44" w:rsidP="00D226F4" w:rsidRDefault="00D87E44" w14:paraId="15457B79" w14:textId="77777777">
      <w:pPr>
        <w:numPr>
          <w:ilvl w:val="0"/>
          <w:numId w:val="47"/>
        </w:numPr>
        <w:pBdr>
          <w:top w:val="nil"/>
          <w:left w:val="nil"/>
          <w:bottom w:val="nil"/>
          <w:right w:val="nil"/>
          <w:between w:val="nil"/>
        </w:pBdr>
        <w:spacing w:after="0" w:line="259" w:lineRule="auto"/>
        <w:ind w:left="360"/>
        <w:jc w:val="both"/>
        <w:rPr>
          <w:rFonts w:eastAsia="Times New Roman"/>
          <w:noProof/>
          <w:szCs w:val="24"/>
          <w:lang w:val="en-IE"/>
        </w:rPr>
      </w:pPr>
      <w:r w:rsidRPr="00FE48E2">
        <w:rPr>
          <w:noProof/>
          <w:szCs w:val="24"/>
          <w:lang w:val="en-IE"/>
        </w:rPr>
        <w:t>Completion of two projects from the predefined set of projects in the bullet above by 30 June 2023.</w:t>
      </w:r>
    </w:p>
    <w:p w:rsidRPr="00FE48E2" w:rsidR="00D87E44" w:rsidP="00D226F4" w:rsidRDefault="00D87E44" w14:paraId="15457B7A" w14:textId="77777777">
      <w:pPr>
        <w:numPr>
          <w:ilvl w:val="0"/>
          <w:numId w:val="47"/>
        </w:numPr>
        <w:pBdr>
          <w:top w:val="nil"/>
          <w:left w:val="nil"/>
          <w:bottom w:val="nil"/>
          <w:right w:val="nil"/>
          <w:between w:val="nil"/>
        </w:pBdr>
        <w:spacing w:after="160" w:line="259" w:lineRule="auto"/>
        <w:ind w:left="360"/>
        <w:jc w:val="both"/>
        <w:rPr>
          <w:rFonts w:eastAsia="Times New Roman"/>
          <w:noProof/>
          <w:szCs w:val="24"/>
          <w:lang w:val="en-IE"/>
        </w:rPr>
      </w:pPr>
      <w:r w:rsidRPr="00FE48E2">
        <w:rPr>
          <w:noProof/>
          <w:szCs w:val="24"/>
          <w:lang w:val="en-IE"/>
        </w:rPr>
        <w:t>Completion of six additional projects from the predefined set of projects in the bullet above, thus completing overall 39,7 km of electrified lines and four traction feeder stations with increased power or newly built ones by 30 June 2024.</w:t>
      </w:r>
    </w:p>
    <w:p w:rsidRPr="00FE48E2" w:rsidR="00D87E44" w:rsidP="00D226F4" w:rsidRDefault="00D87E44" w14:paraId="15457B7B" w14:textId="77777777">
      <w:pPr>
        <w:spacing w:line="240" w:lineRule="auto"/>
        <w:jc w:val="both"/>
        <w:rPr>
          <w:noProof/>
          <w:szCs w:val="24"/>
          <w:lang w:val="en-IE"/>
        </w:rPr>
      </w:pPr>
      <w:r w:rsidRPr="00FE48E2">
        <w:rPr>
          <w:b/>
          <w:noProof/>
          <w:szCs w:val="24"/>
          <w:lang w:val="en-IE"/>
        </w:rPr>
        <w:t xml:space="preserve">Investment 3: </w:t>
      </w:r>
      <w:r>
        <w:rPr>
          <w:b/>
          <w:noProof/>
          <w:szCs w:val="24"/>
          <w:lang w:val="en-IE"/>
        </w:rPr>
        <w:t>Improving the environment (</w:t>
      </w:r>
      <w:r w:rsidRPr="00FE48E2">
        <w:rPr>
          <w:b/>
          <w:noProof/>
          <w:szCs w:val="24"/>
          <w:lang w:val="en-IE"/>
        </w:rPr>
        <w:t>railway infrastructure</w:t>
      </w:r>
      <w:r w:rsidRPr="00701F8E">
        <w:rPr>
          <w:b/>
          <w:noProof/>
          <w:szCs w:val="24"/>
          <w:lang w:val="en-IE"/>
        </w:rPr>
        <w:t xml:space="preserve"> support</w:t>
      </w:r>
      <w:r>
        <w:rPr>
          <w:b/>
          <w:noProof/>
          <w:szCs w:val="24"/>
          <w:lang w:val="en-IE"/>
        </w:rPr>
        <w:t>)</w:t>
      </w:r>
    </w:p>
    <w:p w:rsidR="00D87E44" w:rsidP="00D226F4" w:rsidRDefault="00D87E44" w14:paraId="15457B7C" w14:textId="77777777">
      <w:pPr>
        <w:spacing w:line="240" w:lineRule="auto"/>
        <w:jc w:val="both"/>
        <w:rPr>
          <w:rFonts w:eastAsia="Times New Roman"/>
          <w:noProof/>
          <w:szCs w:val="24"/>
          <w:lang w:val="en-IE"/>
        </w:rPr>
      </w:pPr>
      <w:r w:rsidRPr="476E5A7C">
        <w:rPr>
          <w:noProof/>
          <w:lang w:val="en-IE"/>
        </w:rPr>
        <w:t>The objective of the investment is to protect the environment and climate by contributing to increasing the share of rail transport in freight and passenger transport and improving the energy efficiency of railway stations. The investment consists of projects related to modernisation of rail lines, reconstruction of railway stations and reconstruction of station buildings</w:t>
      </w:r>
      <w:r w:rsidRPr="476E5A7C">
        <w:rPr>
          <w:rFonts w:eastAsia="Times New Roman"/>
          <w:noProof/>
          <w:szCs w:val="24"/>
          <w:lang w:val="en-IE"/>
        </w:rPr>
        <w:t>.</w:t>
      </w:r>
    </w:p>
    <w:p w:rsidRPr="00FE48E2" w:rsidR="00D87E44" w:rsidP="00D226F4" w:rsidRDefault="00D87E44" w14:paraId="15457B7D" w14:textId="77777777">
      <w:pPr>
        <w:spacing w:line="240" w:lineRule="auto"/>
        <w:jc w:val="both"/>
        <w:rPr>
          <w:b/>
          <w:bCs/>
          <w:noProof/>
          <w:lang w:val="en-IE"/>
        </w:rPr>
      </w:pPr>
      <w:r w:rsidRPr="008C7FAF">
        <w:rPr>
          <w:b/>
          <w:noProof/>
          <w:lang w:val="en-IE"/>
        </w:rPr>
        <w:t>Investment 4: Road and rail transport safety</w:t>
      </w:r>
      <w:r w:rsidRPr="17B29258">
        <w:rPr>
          <w:b/>
          <w:bCs/>
          <w:noProof/>
          <w:lang w:val="en-IE"/>
        </w:rPr>
        <w:t xml:space="preserve"> </w:t>
      </w:r>
    </w:p>
    <w:p w:rsidRPr="00FE48E2" w:rsidR="00D87E44" w:rsidP="00D226F4" w:rsidRDefault="00D87E44" w14:paraId="15457B7E" w14:textId="77777777">
      <w:pPr>
        <w:spacing w:line="240" w:lineRule="auto"/>
        <w:jc w:val="both"/>
        <w:rPr>
          <w:noProof/>
          <w:lang w:val="en-IE"/>
        </w:rPr>
      </w:pPr>
      <w:r w:rsidRPr="17B29258">
        <w:rPr>
          <w:noProof/>
          <w:lang w:val="en-IE"/>
        </w:rPr>
        <w:t>The measure aims at improving traffic safety by taking concrete safety measures at railway crossings, and improving the condition of bridges and tunnel structures. In cities and agglomerations, investments shall be made to reduce the share of individual car journeys and increase the share of public transport and active modes of transport which may include but are not limited to pedestrian and cycling. Building cycle paths and pedestrian barrier-free routes is also part of the investment, in order to improve</w:t>
      </w:r>
      <w:r w:rsidRPr="17B29258">
        <w:rPr>
          <w:noProof/>
          <w:lang w:val="en-IE"/>
        </w:rPr>
        <w:t xml:space="preserve"> the safety of vulnerable traffic participants as part of the promotion of active mobility, especially in cities. This shall be achieved through the following measures:</w:t>
      </w:r>
    </w:p>
    <w:p w:rsidRPr="00FE48E2" w:rsidR="00D87E44" w:rsidP="00D226F4" w:rsidRDefault="00D87E44" w14:paraId="15457B7F" w14:textId="77777777">
      <w:pPr>
        <w:numPr>
          <w:ilvl w:val="0"/>
          <w:numId w:val="47"/>
        </w:numPr>
        <w:pBdr>
          <w:top w:val="nil"/>
          <w:left w:val="nil"/>
          <w:bottom w:val="nil"/>
          <w:right w:val="nil"/>
          <w:between w:val="nil"/>
        </w:pBdr>
        <w:spacing w:after="0" w:line="259" w:lineRule="auto"/>
        <w:ind w:left="360"/>
        <w:jc w:val="both"/>
        <w:rPr>
          <w:rFonts w:eastAsia="Times New Roman"/>
          <w:noProof/>
          <w:lang w:val="en-IE"/>
        </w:rPr>
      </w:pPr>
      <w:r w:rsidRPr="17B29258">
        <w:rPr>
          <w:noProof/>
          <w:lang w:val="en-IE"/>
        </w:rPr>
        <w:lastRenderedPageBreak/>
        <w:t>Completion of projects with 45 level crossings with increased safety (i.e. with newly installed or modernised flashlight warning system or mechanical safety installation), 25 km of built cycle paths, sidewalks and barrier-free routes, and 3 modernised railway bridges or tunnels by 30 June 2022.</w:t>
      </w:r>
    </w:p>
    <w:p w:rsidRPr="00FE48E2" w:rsidR="00D87E44" w:rsidP="00D226F4" w:rsidRDefault="00D87E44" w14:paraId="15457B80" w14:textId="77777777">
      <w:pPr>
        <w:numPr>
          <w:ilvl w:val="0"/>
          <w:numId w:val="47"/>
        </w:numPr>
        <w:pBdr>
          <w:top w:val="nil"/>
          <w:left w:val="nil"/>
          <w:bottom w:val="nil"/>
          <w:right w:val="nil"/>
          <w:between w:val="nil"/>
        </w:pBdr>
        <w:spacing w:after="0" w:line="259" w:lineRule="auto"/>
        <w:ind w:left="360"/>
        <w:jc w:val="both"/>
        <w:rPr>
          <w:rFonts w:eastAsia="Times New Roman"/>
          <w:noProof/>
          <w:lang w:val="en-IE"/>
        </w:rPr>
      </w:pPr>
      <w:r w:rsidRPr="17B29258">
        <w:rPr>
          <w:noProof/>
          <w:lang w:val="en-IE"/>
        </w:rPr>
        <w:t>Completion of projects involving 115 additional level crossings with an increased safety (i.e. with newly installed or modernised flashlight warning system or mechanical safety installation), 24 additional km of built cycle paths, sidewalks and barrier-free routes, and 3 additional modernised railway bridges or tunnels by 31 December 2022.</w:t>
      </w:r>
    </w:p>
    <w:p w:rsidRPr="00FE48E2" w:rsidR="00D87E44" w:rsidP="00D226F4" w:rsidRDefault="00D87E44" w14:paraId="15457B81" w14:textId="77777777">
      <w:pPr>
        <w:numPr>
          <w:ilvl w:val="0"/>
          <w:numId w:val="47"/>
        </w:numPr>
        <w:pBdr>
          <w:top w:val="nil"/>
          <w:left w:val="nil"/>
          <w:bottom w:val="nil"/>
          <w:right w:val="nil"/>
          <w:between w:val="nil"/>
        </w:pBdr>
        <w:spacing w:after="0" w:line="259" w:lineRule="auto"/>
        <w:ind w:left="360"/>
        <w:jc w:val="both"/>
        <w:rPr>
          <w:rFonts w:eastAsia="Times New Roman"/>
          <w:noProof/>
          <w:lang w:val="en-IE"/>
        </w:rPr>
      </w:pPr>
      <w:r w:rsidRPr="17B29258">
        <w:rPr>
          <w:noProof/>
          <w:lang w:val="en-IE"/>
        </w:rPr>
        <w:t xml:space="preserve">Completion of projects involving 131 additional level crossings with an increased safety (i.e. with newly installed or modernised flashlight warning system or mechanical safety installation) and 1 additional modernised railway bridge or tunnel by 31 December 2024. </w:t>
      </w:r>
    </w:p>
    <w:p w:rsidRPr="00FE48E2" w:rsidR="00D87E44" w:rsidP="00D226F4" w:rsidRDefault="00D87E44" w14:paraId="15457B82" w14:textId="77777777">
      <w:pPr>
        <w:numPr>
          <w:ilvl w:val="0"/>
          <w:numId w:val="47"/>
        </w:numPr>
        <w:pBdr>
          <w:top w:val="nil"/>
          <w:left w:val="nil"/>
          <w:bottom w:val="nil"/>
          <w:right w:val="nil"/>
          <w:between w:val="nil"/>
        </w:pBdr>
        <w:spacing w:after="160" w:line="259" w:lineRule="auto"/>
        <w:ind w:left="360"/>
        <w:jc w:val="both"/>
        <w:rPr>
          <w:b/>
          <w:bCs/>
          <w:noProof/>
          <w:lang w:val="en-IE"/>
        </w:rPr>
      </w:pPr>
      <w:r w:rsidRPr="17B29258">
        <w:rPr>
          <w:noProof/>
          <w:lang w:val="en-IE"/>
        </w:rPr>
        <w:t>Completion of projects involving 36 additional km of built cycle paths, sidewalks and barrier-free routes and 1 additional modernised railway bridge or tunnel by 31 December 2023.</w:t>
      </w:r>
    </w:p>
    <w:p w:rsidRPr="00FE48E2" w:rsidR="00D87E44" w:rsidP="00D226F4" w:rsidRDefault="00D87E44" w14:paraId="15457B83" w14:textId="77777777">
      <w:pPr>
        <w:rPr>
          <w:b/>
          <w:noProof/>
          <w:lang w:val="en-IE"/>
        </w:rPr>
      </w:pPr>
    </w:p>
    <w:p w:rsidRPr="00FE48E2" w:rsidR="00D87E44" w:rsidP="00D226F4" w:rsidRDefault="00D87E44" w14:paraId="15457B84" w14:textId="77777777">
      <w:pPr>
        <w:rPr>
          <w:rFonts w:ascii="Calibri" w:hAnsi="Calibri"/>
          <w:noProof/>
          <w:sz w:val="22"/>
          <w:lang w:val="en-IE"/>
        </w:rPr>
        <w:sectPr w:rsidRPr="00FE48E2" w:rsidR="00C16C1F" w:rsidSect="00D226F4">
          <w:headerReference w:type="even" r:id="R0d5d75b2ad794dc9"/>
          <w:headerReference w:type="default" r:id="Rd9cea6f0a1524d1a"/>
          <w:footerReference w:type="even" r:id="Ra858c39b8e5d455a"/>
          <w:footerReference w:type="default" r:id="R7db32ccbeb1b48de"/>
          <w:headerReference w:type="first" r:id="Rad125ac6d2f342b1"/>
          <w:footerReference w:type="first" r:id="R536b90641853488a"/>
          <w:pgSz w:w="11907" w:h="16839"/>
          <w:pgMar w:top="1134" w:right="1134" w:bottom="1134" w:left="1134" w:header="567" w:footer="567" w:gutter="0"/>
          <w:cols w:space="720"/>
          <w:docGrid w:linePitch="326"/>
        </w:sectPr>
      </w:pPr>
    </w:p>
    <w:p w:rsidRPr="00FE48E2" w:rsidR="00D87E44" w:rsidP="00D226F4" w:rsidRDefault="00D87E44" w14:paraId="15457B85" w14:textId="77777777">
      <w:pPr>
        <w:pBdr>
          <w:top w:val="nil"/>
          <w:left w:val="nil"/>
          <w:bottom w:val="nil"/>
          <w:right w:val="nil"/>
          <w:between w:val="nil"/>
        </w:pBdr>
        <w:tabs>
          <w:tab w:val="left" w:pos="993"/>
        </w:tabs>
        <w:spacing w:line="240" w:lineRule="auto"/>
        <w:rPr>
          <w:rFonts w:ascii="Calibri" w:hAnsi="Calibri"/>
          <w:noProof/>
          <w:color w:val="000000"/>
          <w:sz w:val="22"/>
          <w:lang w:val="en-IE"/>
        </w:rPr>
      </w:pPr>
      <w:r w:rsidRPr="30D78EC6">
        <w:rPr>
          <w:b/>
          <w:bCs/>
          <w:noProof/>
          <w:color w:val="000000" w:themeColor="text1"/>
          <w:u w:val="single"/>
          <w:lang w:val="en-IE"/>
        </w:rPr>
        <w:lastRenderedPageBreak/>
        <w:t xml:space="preserve">H.2. Milestones, targets, indicators, and timetable for monitoring and implementation for non-repayable financial support </w:t>
      </w:r>
    </w:p>
    <w:tbl>
      <w:tblPr>
        <w:tblW w:w="15567" w:type="dxa"/>
        <w:jc w:val="center"/>
        <w:tblLayout w:type="fixed"/>
        <w:tblCellMar>
          <w:left w:w="0" w:type="dxa"/>
          <w:right w:w="0" w:type="dxa"/>
        </w:tblCellMar>
        <w:tblLook w:val="0400" w:firstRow="0" w:lastRow="0" w:firstColumn="0" w:lastColumn="0" w:noHBand="0" w:noVBand="1"/>
      </w:tblPr>
      <w:tblGrid>
        <w:gridCol w:w="709"/>
        <w:gridCol w:w="1984"/>
        <w:gridCol w:w="1134"/>
        <w:gridCol w:w="1412"/>
        <w:gridCol w:w="1276"/>
        <w:gridCol w:w="1577"/>
        <w:gridCol w:w="1401"/>
        <w:gridCol w:w="1417"/>
        <w:gridCol w:w="851"/>
        <w:gridCol w:w="1275"/>
        <w:gridCol w:w="2531"/>
      </w:tblGrid>
      <w:tr w:rsidRPr="00FE48E2" w:rsidR="00E3458A" w:rsidTr="65194507" w14:paraId="15457B8E" w14:textId="77777777">
        <w:trPr>
          <w:trHeight w:val="685"/>
          <w:tblHeader/>
          <w:jc w:val="center"/>
        </w:trPr>
        <w:tc>
          <w:tcPr>
            <w:tcW w:w="709"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984"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7"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Related measure (Reform or Investment)</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8"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Milestone / Target</w:t>
            </w:r>
          </w:p>
        </w:tc>
        <w:tc>
          <w:tcPr>
            <w:tcW w:w="1412"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9"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Name</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A"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 </w:t>
            </w:r>
          </w:p>
        </w:tc>
        <w:tc>
          <w:tcPr>
            <w:tcW w:w="4395" w:type="dxa"/>
            <w:gridSpan w:val="3"/>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B"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2126" w:type="dxa"/>
            <w:gridSpan w:val="2"/>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C"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2531"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B8D"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Description and clear definition of each milestone and target </w:t>
            </w:r>
          </w:p>
        </w:tc>
      </w:tr>
      <w:tr w:rsidRPr="00FE48E2" w:rsidR="00E3458A" w:rsidTr="0038682C" w14:paraId="15457B9A" w14:textId="77777777">
        <w:trPr>
          <w:trHeight w:val="75"/>
          <w:tblHeader/>
          <w:jc w:val="center"/>
        </w:trPr>
        <w:tc>
          <w:tcPr>
            <w:tcW w:w="709"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8F"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984"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90"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34"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91"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12"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92"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93"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77"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B94"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Unit of measure</w:t>
            </w:r>
          </w:p>
        </w:tc>
        <w:tc>
          <w:tcPr>
            <w:tcW w:w="1401"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B95"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Baseline</w:t>
            </w:r>
          </w:p>
        </w:tc>
        <w:tc>
          <w:tcPr>
            <w:tcW w:w="1417"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B96"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Goal</w:t>
            </w:r>
          </w:p>
        </w:tc>
        <w:tc>
          <w:tcPr>
            <w:tcW w:w="851"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B97"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Quarter</w:t>
            </w:r>
          </w:p>
        </w:tc>
        <w:tc>
          <w:tcPr>
            <w:tcW w:w="1275"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B98"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Year</w:t>
            </w:r>
          </w:p>
        </w:tc>
        <w:tc>
          <w:tcPr>
            <w:tcW w:w="2531"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B99"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rsidTr="65194507" w14:paraId="15457BA6" w14:textId="77777777">
        <w:trPr>
          <w:trHeight w:val="94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9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78</w:t>
            </w:r>
          </w:p>
        </w:tc>
        <w:tc>
          <w:tcPr>
            <w:tcW w:w="1984"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9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1: Creating alternatives to energy and space-intensive road transport</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9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9E" w14:textId="77777777">
            <w:pPr>
              <w:spacing w:before="0" w:after="0" w:line="259"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of the mobility plans</w:t>
            </w:r>
          </w:p>
        </w:tc>
        <w:tc>
          <w:tcPr>
            <w:tcW w:w="1276"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9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of the plan by the city representative bodies</w:t>
            </w:r>
          </w:p>
        </w:tc>
        <w:tc>
          <w:tcPr>
            <w:tcW w:w="1577"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0" w14:textId="77777777">
            <w:pPr>
              <w:spacing w:before="0" w:after="0" w:line="240" w:lineRule="auto"/>
              <w:rPr>
                <w:rFonts w:eastAsia="Times New Roman"/>
                <w:noProof/>
                <w:color w:val="004300"/>
                <w:sz w:val="18"/>
                <w:szCs w:val="18"/>
                <w:lang w:val="en-IE" w:eastAsia="en-GB"/>
              </w:rPr>
            </w:pPr>
          </w:p>
        </w:tc>
        <w:tc>
          <w:tcPr>
            <w:tcW w:w="1401"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1" w14:textId="77777777">
            <w:pPr>
              <w:spacing w:before="0" w:after="0" w:line="240" w:lineRule="auto"/>
              <w:rPr>
                <w:rFonts w:eastAsia="Times New Roman"/>
                <w:noProof/>
                <w:color w:val="004300"/>
                <w:sz w:val="18"/>
                <w:szCs w:val="18"/>
                <w:lang w:val="en-IE" w:eastAsia="en-GB"/>
              </w:rPr>
            </w:pPr>
          </w:p>
        </w:tc>
        <w:tc>
          <w:tcPr>
            <w:tcW w:w="1417"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2" w14:textId="77777777">
            <w:pPr>
              <w:spacing w:before="0" w:after="0" w:line="240" w:lineRule="auto"/>
              <w:rPr>
                <w:rFonts w:eastAsia="Times New Roman"/>
                <w:noProof/>
                <w:color w:val="004300"/>
                <w:sz w:val="18"/>
                <w:szCs w:val="18"/>
                <w:lang w:val="en-IE" w:eastAsia="en-GB"/>
              </w:rPr>
            </w:pPr>
          </w:p>
        </w:tc>
        <w:tc>
          <w:tcPr>
            <w:tcW w:w="851"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auto" w:sz="4" w:space="0"/>
              <w:left w:val="single" w:color="auto" w:sz="4" w:space="0"/>
              <w:bottom w:val="single" w:color="auto" w:sz="4" w:space="0"/>
              <w:right w:val="single" w:color="auto" w:sz="4" w:space="0"/>
            </w:tcBorders>
            <w:shd w:val="clear" w:color="auto" w:fill="C6EFCE"/>
          </w:tcPr>
          <w:p w:rsidRPr="00B41A05" w:rsidR="00D87E44" w:rsidRDefault="00D87E44" w14:paraId="15457BA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All statutory cities of the Czech Republic (cities with a population of over 40 000) shall have a Sustainable Urban Mobility Plan (SUMP) approved by the city representative bodies, based on the Urban and Active Mobility Concept approved by the government.</w:t>
            </w:r>
          </w:p>
        </w:tc>
      </w:tr>
      <w:tr w:rsidRPr="00FE48E2" w:rsidR="00E3458A" w:rsidTr="65194507" w14:paraId="15457BB2" w14:textId="77777777">
        <w:trPr>
          <w:trHeight w:val="945"/>
          <w:jc w:val="center"/>
        </w:trPr>
        <w:tc>
          <w:tcPr>
            <w:tcW w:w="709"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79</w:t>
            </w:r>
          </w:p>
        </w:tc>
        <w:tc>
          <w:tcPr>
            <w:tcW w:w="1984"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1: Creating alternatives to energy and space-intensive road transport</w:t>
            </w:r>
          </w:p>
        </w:tc>
        <w:tc>
          <w:tcPr>
            <w:tcW w:w="1134"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A" w14:textId="77777777">
            <w:pPr>
              <w:spacing w:before="0" w:after="0" w:line="259"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and entry into force of the new Freight Transport Concept</w:t>
            </w:r>
          </w:p>
        </w:tc>
        <w:tc>
          <w:tcPr>
            <w:tcW w:w="1276"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by the government</w:t>
            </w:r>
          </w:p>
        </w:tc>
        <w:tc>
          <w:tcPr>
            <w:tcW w:w="1577"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C" w14:textId="77777777">
            <w:pPr>
              <w:spacing w:before="0" w:after="0" w:line="240" w:lineRule="auto"/>
              <w:rPr>
                <w:rFonts w:eastAsia="Times New Roman"/>
                <w:noProof/>
                <w:color w:val="004300"/>
                <w:sz w:val="18"/>
                <w:szCs w:val="18"/>
                <w:lang w:val="en-IE" w:eastAsia="en-GB"/>
              </w:rPr>
            </w:pPr>
          </w:p>
        </w:tc>
        <w:tc>
          <w:tcPr>
            <w:tcW w:w="140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D" w14:textId="77777777">
            <w:pPr>
              <w:spacing w:before="0" w:after="0" w:line="240" w:lineRule="auto"/>
              <w:rPr>
                <w:rFonts w:eastAsia="Times New Roman"/>
                <w:noProof/>
                <w:color w:val="004300"/>
                <w:sz w:val="18"/>
                <w:szCs w:val="18"/>
                <w:lang w:val="en-IE" w:eastAsia="en-GB"/>
              </w:rPr>
            </w:pPr>
          </w:p>
        </w:tc>
        <w:tc>
          <w:tcPr>
            <w:tcW w:w="1417"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E" w14:textId="77777777">
            <w:pPr>
              <w:spacing w:before="0" w:after="0" w:line="240" w:lineRule="auto"/>
              <w:rPr>
                <w:rFonts w:eastAsia="Times New Roman"/>
                <w:noProof/>
                <w:color w:val="004300"/>
                <w:sz w:val="18"/>
                <w:szCs w:val="18"/>
                <w:lang w:val="en-IE" w:eastAsia="en-GB"/>
              </w:rPr>
            </w:pPr>
          </w:p>
        </w:tc>
        <w:tc>
          <w:tcPr>
            <w:tcW w:w="85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A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The government shall approve the new Freight Transport Concept, which shall set the conditions for increasing the share of rail freight transport in the total volume of transport for the period 2024-2030. The concept shall focus on supporting multimodal transport, improving freight transport services and reducing the impact of freight transport on the environment, public health and global climate change.</w:t>
            </w:r>
          </w:p>
        </w:tc>
      </w:tr>
      <w:tr w:rsidRPr="00FE48E2" w:rsidR="00E3458A" w:rsidTr="65194507" w14:paraId="15457BBE"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80</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1: Creating alternatives to energy and space-intensive road transport</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of the transport service plans.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Approval by the operators of public transport</w:t>
            </w: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8" w14:textId="77777777">
            <w:pPr>
              <w:spacing w:before="0" w:after="0" w:line="240" w:lineRule="auto"/>
              <w:rPr>
                <w:rFonts w:eastAsia="Times New Roman"/>
                <w:noProof/>
                <w:color w:val="004300"/>
                <w:sz w:val="18"/>
                <w:szCs w:val="18"/>
                <w:lang w:val="en-IE" w:eastAsia="en-GB"/>
              </w:rPr>
            </w:pP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9" w14:textId="77777777">
            <w:pPr>
              <w:spacing w:before="0" w:after="0" w:line="240" w:lineRule="auto"/>
              <w:rPr>
                <w:rFonts w:eastAsia="Times New Roman"/>
                <w:noProof/>
                <w:color w:val="004300"/>
                <w:sz w:val="18"/>
                <w:szCs w:val="18"/>
                <w:lang w:val="en-IE" w:eastAsia="en-GB"/>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A" w14:textId="77777777">
            <w:pPr>
              <w:spacing w:before="0" w:after="0" w:line="240" w:lineRule="auto"/>
              <w:rPr>
                <w:rFonts w:eastAsia="Times New Roman"/>
                <w:noProof/>
                <w:color w:val="004300"/>
                <w:sz w:val="18"/>
                <w:szCs w:val="18"/>
                <w:lang w:val="en-IE" w:eastAsia="en-GB"/>
              </w:rPr>
            </w:pP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All operators of public transport (state, regions and cities operating public transport) shall approve a five-year transport service plan, based on the </w:t>
            </w:r>
            <w:r w:rsidRPr="00B41A05">
              <w:rPr>
                <w:rFonts w:eastAsia="Times New Roman"/>
                <w:noProof/>
                <w:color w:val="004300"/>
                <w:sz w:val="18"/>
                <w:szCs w:val="18"/>
                <w:lang w:val="en-IE" w:eastAsia="en-GB"/>
              </w:rPr>
              <w:t>government-approved Public Transport Concept.</w:t>
            </w:r>
          </w:p>
        </w:tc>
      </w:tr>
      <w:tr w:rsidRPr="00FE48E2" w:rsidR="00E3458A" w:rsidTr="65194507" w14:paraId="15457BCA"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B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83</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Application of modern technologies to railway infrastructure</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the set of projects for Investment 1</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Definition of the set of projects by the Ministry of </w:t>
            </w:r>
            <w:r w:rsidRPr="00B41A05">
              <w:rPr>
                <w:rFonts w:eastAsia="Times New Roman"/>
                <w:noProof/>
                <w:color w:val="004300"/>
                <w:sz w:val="18"/>
                <w:szCs w:val="18"/>
                <w:lang w:val="en-IE" w:eastAsia="en-GB"/>
              </w:rPr>
              <w:t>Transport</w:t>
            </w: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4" w14:textId="77777777">
            <w:pPr>
              <w:spacing w:before="0" w:after="0" w:line="240" w:lineRule="auto"/>
              <w:rPr>
                <w:rFonts w:eastAsia="Times New Roman"/>
                <w:noProof/>
                <w:color w:val="004300"/>
                <w:sz w:val="18"/>
                <w:szCs w:val="18"/>
                <w:lang w:val="en-IE" w:eastAsia="en-GB"/>
              </w:rPr>
            </w:pP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5" w14:textId="77777777">
            <w:pPr>
              <w:spacing w:before="0" w:after="0" w:line="240" w:lineRule="auto"/>
              <w:rPr>
                <w:rFonts w:eastAsia="Times New Roman"/>
                <w:noProof/>
                <w:color w:val="004300"/>
                <w:sz w:val="18"/>
                <w:szCs w:val="18"/>
                <w:lang w:val="en-IE" w:eastAsia="en-GB"/>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6" w14:textId="77777777">
            <w:pPr>
              <w:spacing w:before="0" w:after="0" w:line="240" w:lineRule="auto"/>
              <w:rPr>
                <w:rFonts w:eastAsia="Times New Roman"/>
                <w:noProof/>
                <w:color w:val="004300"/>
                <w:sz w:val="18"/>
                <w:szCs w:val="18"/>
                <w:lang w:val="en-IE" w:eastAsia="en-GB"/>
              </w:rPr>
            </w:pP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Definition of the set of projects of 41 km of lines covered by Global System for Mobile Communications – Railway (GSM-R), 20 newly installed or more reliably powered base </w:t>
            </w:r>
            <w:r w:rsidRPr="00B41A05">
              <w:rPr>
                <w:rFonts w:eastAsia="Times New Roman"/>
                <w:noProof/>
                <w:color w:val="004300"/>
                <w:sz w:val="18"/>
                <w:szCs w:val="18"/>
                <w:lang w:val="en-IE" w:eastAsia="en-GB"/>
              </w:rPr>
              <w:lastRenderedPageBreak/>
              <w:t>transceiver stations (BTS) and implementation of new technologies and equipment for railway traffic management.</w:t>
            </w:r>
          </w:p>
        </w:tc>
      </w:tr>
      <w:tr w:rsidRPr="00FE48E2" w:rsidR="00E3458A" w:rsidTr="65194507" w14:paraId="15457BD6"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84</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Application of modern technologies to railway infrastructure</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two projects from a predefined set of projects.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CF"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two projects from the predefined set of projects of 41 km of lines covered by Global System for Mobile Communications – Railway (GSM-R), 20 newly installed or more reliably powered base transceiver stations (BTS) and implementation of new technologies and equipment for railway traffic management.</w:t>
            </w:r>
          </w:p>
        </w:tc>
      </w:tr>
      <w:tr w:rsidRPr="00FE48E2" w:rsidR="00E3458A" w:rsidTr="65194507" w14:paraId="15457BE2"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85</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Application of modern technologies to railway infrastructure</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six additional projects from a predefined set of projects.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B"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D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six additional projects (8 in total) from the predefined set of projects of 41 km of lines covered by Global System for Mobile Communications – Railway (GSM-R), 20 newly installed or more reliably powered base transceiver stations (BTS) and implementation of new technologies and equipment for railway traffic management.</w:t>
            </w:r>
          </w:p>
        </w:tc>
      </w:tr>
      <w:tr w:rsidRPr="00FE48E2" w:rsidR="00E3458A" w:rsidTr="65194507" w14:paraId="15457BEE"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348</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Application of modern technologies to railway infrastructure</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6"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w:t>
            </w:r>
            <w:r w:rsidRPr="00B41A05">
              <w:rPr>
                <w:rFonts w:eastAsia="Times New Roman"/>
                <w:noProof/>
                <w:color w:val="004300"/>
                <w:sz w:val="18"/>
                <w:szCs w:val="18"/>
                <w:lang w:val="en-IE" w:eastAsia="en-GB"/>
              </w:rPr>
              <w:t>overage of 67,6 km of lines with ETCS.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7"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kilometers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9" w14:textId="77777777">
            <w:pPr>
              <w:spacing w:before="0" w:after="0" w:line="240" w:lineRule="auto"/>
              <w:rPr>
                <w:rFonts w:eastAsia="Times New Roman"/>
                <w:noProof/>
                <w:color w:val="004300"/>
                <w:sz w:val="18"/>
                <w:szCs w:val="18"/>
                <w:lang w:val="en-IE" w:eastAsia="en-GB"/>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67.6 </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2026</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w:t>
            </w:r>
            <w:r w:rsidRPr="17B29258">
              <w:rPr>
                <w:rFonts w:eastAsia="Times New Roman"/>
                <w:noProof/>
                <w:color w:val="004300"/>
                <w:sz w:val="18"/>
                <w:szCs w:val="18"/>
                <w:lang w:val="en-IE" w:eastAsia="en-GB"/>
              </w:rPr>
              <w:t xml:space="preserve">overage of 67,6 km </w:t>
            </w:r>
            <w:r w:rsidRPr="17B29258">
              <w:rPr>
                <w:rFonts w:eastAsia="Times New Roman"/>
                <w:noProof/>
                <w:color w:val="004300"/>
                <w:sz w:val="18"/>
                <w:szCs w:val="18"/>
                <w:lang w:val="en-IE" w:eastAsia="en-GB"/>
              </w:rPr>
              <w:t>of regional lines with the ETCS Regional train protection equipment</w:t>
            </w:r>
            <w:r w:rsidRPr="476E5A7C">
              <w:rPr>
                <w:rFonts w:eastAsia="Times New Roman"/>
                <w:noProof/>
                <w:color w:val="004300"/>
                <w:sz w:val="18"/>
                <w:szCs w:val="18"/>
                <w:lang w:val="en-IE" w:eastAsia="en-GB"/>
              </w:rPr>
              <w:t>.</w:t>
            </w:r>
            <w:r w:rsidRPr="17B29258">
              <w:rPr>
                <w:rFonts w:eastAsia="Times New Roman"/>
                <w:noProof/>
                <w:color w:val="004300"/>
                <w:sz w:val="18"/>
                <w:szCs w:val="18"/>
                <w:lang w:val="en-IE" w:eastAsia="en-GB"/>
              </w:rPr>
              <w:t xml:space="preserve"> </w:t>
            </w:r>
          </w:p>
        </w:tc>
      </w:tr>
      <w:tr w:rsidRPr="00FE48E2" w:rsidR="00E3458A" w:rsidTr="65194507" w14:paraId="15457BFA" w14:textId="77777777">
        <w:trPr>
          <w:trHeight w:val="298"/>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E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86</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Electrification of railways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the set of projects for Investment 2</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the set of projects by the Ministry of Transport</w:t>
            </w: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4" w14:textId="77777777">
            <w:pPr>
              <w:spacing w:before="0" w:after="0" w:line="240" w:lineRule="auto"/>
              <w:rPr>
                <w:rFonts w:eastAsia="Times New Roman"/>
                <w:noProof/>
                <w:color w:val="004300"/>
                <w:sz w:val="18"/>
                <w:szCs w:val="18"/>
                <w:lang w:val="en-IE" w:eastAsia="en-GB"/>
              </w:rPr>
            </w:pP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5" w14:textId="77777777">
            <w:pPr>
              <w:spacing w:before="0" w:after="0" w:line="240" w:lineRule="auto"/>
              <w:rPr>
                <w:rFonts w:eastAsia="Times New Roman"/>
                <w:noProof/>
                <w:color w:val="004300"/>
                <w:sz w:val="18"/>
                <w:szCs w:val="18"/>
                <w:lang w:val="en-IE" w:eastAsia="en-GB"/>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6" w14:textId="77777777">
            <w:pPr>
              <w:spacing w:before="0" w:after="0" w:line="240" w:lineRule="auto"/>
              <w:rPr>
                <w:rFonts w:eastAsia="Times New Roman"/>
                <w:noProof/>
                <w:color w:val="004300"/>
                <w:sz w:val="18"/>
                <w:szCs w:val="18"/>
                <w:lang w:val="en-IE" w:eastAsia="en-GB"/>
              </w:rPr>
            </w:pP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a set of projects comprising 39,7 km of electrified lines and 4 traction feeder stations with increased power or newly built.</w:t>
            </w:r>
          </w:p>
        </w:tc>
      </w:tr>
      <w:tr w:rsidRPr="00FE48E2" w:rsidR="00E3458A" w:rsidTr="65194507" w14:paraId="15457C06"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87</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Electrification of railways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of two projects from a predefined set of projects </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BFF"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two projects from the predefined set of projects comprising 39,7 km of electrified lines and 4 traction feeder stations with increased power or newly built.</w:t>
            </w:r>
          </w:p>
        </w:tc>
      </w:tr>
      <w:tr w:rsidRPr="00FE48E2" w:rsidR="00E3458A" w:rsidTr="65194507" w14:paraId="15457C12"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88</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Electrification of railways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of six additional projects from a predefined set of projects </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B"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0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six additional projects (8 in total) from the predefined set of projects comprising 39,7 km of electrified lines and 4 traction feeder stations with increased power or newly built.</w:t>
            </w:r>
          </w:p>
        </w:tc>
      </w:tr>
      <w:tr w:rsidRPr="00FE48E2" w:rsidR="00E3458A" w:rsidTr="65194507" w14:paraId="15457C1E"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89</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3: Improving the environment (railway infrastructure support)</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the set of projects for Investment 3</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the set of projects by the Ministry of Transport</w:t>
            </w: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8" w14:textId="77777777">
            <w:pPr>
              <w:spacing w:before="0" w:after="0" w:line="240" w:lineRule="auto"/>
              <w:rPr>
                <w:rFonts w:eastAsia="Times New Roman"/>
                <w:noProof/>
                <w:color w:val="004300"/>
                <w:sz w:val="18"/>
                <w:szCs w:val="18"/>
                <w:lang w:val="en-IE" w:eastAsia="en-GB"/>
              </w:rPr>
            </w:pP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9" w14:textId="77777777">
            <w:pPr>
              <w:spacing w:before="0" w:after="0" w:line="240" w:lineRule="auto"/>
              <w:rPr>
                <w:rFonts w:eastAsia="Times New Roman"/>
                <w:noProof/>
                <w:color w:val="004300"/>
                <w:sz w:val="18"/>
                <w:szCs w:val="18"/>
                <w:lang w:val="en-IE" w:eastAsia="en-GB"/>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A" w14:textId="77777777">
            <w:pPr>
              <w:spacing w:before="0" w:after="0" w:line="240" w:lineRule="auto"/>
              <w:rPr>
                <w:rFonts w:eastAsia="Times New Roman"/>
                <w:noProof/>
                <w:color w:val="004300"/>
                <w:sz w:val="18"/>
                <w:szCs w:val="18"/>
                <w:lang w:val="en-IE" w:eastAsia="en-GB"/>
              </w:rPr>
            </w:pP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Definition of a set of projects comprising 121,88 km of modernised lines,9 modernised railway stations with reconstructed track and safely and barrier-free accessible platforms and 35 station buildings with reduced energy intensity, increased comfort and better services for passengers.</w:t>
            </w:r>
          </w:p>
        </w:tc>
      </w:tr>
      <w:tr w:rsidRPr="00FE48E2" w:rsidR="00E3458A" w:rsidTr="65194507" w14:paraId="15457C2A"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1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90</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3: Improving the environment (railway infrastructure support)</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of 26 projects from a predefined set of projects </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3"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26</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26 projects from the predefined set of projects comprising 121,88 km of modernised lines, 9 modernised railway stations with reconstructed track and safely and barrier-free accessible platforms and 35 station buildings with reduced energy intensity, increased comfort and better services for passengers.</w:t>
            </w:r>
          </w:p>
        </w:tc>
      </w:tr>
      <w:tr w:rsidRPr="00FE48E2" w:rsidR="00E3458A" w:rsidTr="65194507" w14:paraId="15457C36"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91</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3: Improving the environment (railway infrastructure support)</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of 11 additional projects from a predefined set of projects </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2F"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26</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37</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5" w14:textId="77777777">
            <w:pPr>
              <w:spacing w:before="0" w:after="0" w:line="240" w:lineRule="auto"/>
              <w:rPr>
                <w:rFonts w:eastAsia="Times New Roman"/>
                <w:noProof/>
                <w:color w:val="004300"/>
                <w:sz w:val="18"/>
                <w:szCs w:val="18"/>
                <w:lang w:val="en-IE" w:eastAsia="en-GB"/>
              </w:rPr>
            </w:pPr>
            <w:r w:rsidRPr="0D4BB212">
              <w:rPr>
                <w:rFonts w:eastAsia="Times New Roman"/>
                <w:noProof/>
                <w:color w:val="004300"/>
                <w:sz w:val="18"/>
                <w:szCs w:val="18"/>
                <w:lang w:val="en-IE" w:eastAsia="en-GB"/>
              </w:rPr>
              <w:t>Completion of</w:t>
            </w:r>
            <w:r w:rsidRPr="00B41A05">
              <w:rPr>
                <w:rFonts w:eastAsia="Times New Roman"/>
                <w:noProof/>
                <w:color w:val="004300"/>
                <w:sz w:val="18"/>
                <w:szCs w:val="18"/>
                <w:lang w:val="en-IE" w:eastAsia="en-GB"/>
              </w:rPr>
              <w:t xml:space="preserve"> 11 additional projects from the predefined set of projects comprising 121,88 km of lines modernised, operationally improved or more resistant to natural influences, 9 modernised railway stations with reconstructed track and safely and barrier-free accessible platforms and 35 station buildings with reduced energy intensity, increased comfort and better services for passengers.</w:t>
            </w:r>
          </w:p>
        </w:tc>
      </w:tr>
      <w:tr w:rsidRPr="00FE48E2" w:rsidR="00E3458A" w:rsidTr="65194507" w14:paraId="15457C43"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261</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00D87E44" w:rsidRDefault="00D87E44" w14:paraId="15457C38" w14:textId="77777777">
            <w:pPr>
              <w:spacing w:before="0" w:after="0" w:line="240" w:lineRule="auto"/>
              <w:rPr>
                <w:rFonts w:eastAsia="Times New Roman"/>
                <w:noProof/>
                <w:color w:val="004300"/>
                <w:sz w:val="18"/>
                <w:szCs w:val="18"/>
                <w:lang w:val="en-IE" w:eastAsia="en-GB"/>
              </w:rPr>
            </w:pPr>
          </w:p>
          <w:p w:rsidRPr="00B41A05" w:rsidR="00D87E44" w:rsidRDefault="00D87E44" w14:paraId="15457C3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3: Improving the environment (railway infrastructure support)</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19 additional projects from a predefined set of projects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C"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3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37</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Del="007D5E4D" w:rsidRDefault="00D87E44" w14:paraId="15457C3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56</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2" w14:textId="77777777">
            <w:pPr>
              <w:spacing w:before="0" w:after="0" w:line="240" w:lineRule="auto"/>
              <w:rPr>
                <w:rFonts w:eastAsia="Times New Roman"/>
                <w:noProof/>
                <w:color w:val="004300"/>
                <w:sz w:val="18"/>
                <w:szCs w:val="18"/>
                <w:lang w:val="en-IE" w:eastAsia="en-GB"/>
              </w:rPr>
            </w:pPr>
            <w:r w:rsidRPr="65194507">
              <w:rPr>
                <w:rFonts w:eastAsia="Times New Roman"/>
                <w:noProof/>
                <w:color w:val="004300"/>
                <w:sz w:val="18"/>
                <w:szCs w:val="18"/>
                <w:lang w:val="en-IE" w:eastAsia="en-GB"/>
              </w:rPr>
              <w:t xml:space="preserve">Acceptance of 19 additional projects from the predefined set of projects comprising 121,88 km of lines modernised, 9 modernised railway stations with reconstructed track, and barrier-free and safely accessible platforms and 35 renovated station buildings. As regards the 35 renovated station buildings, the reconstruction works shall achieve an average reduction of at least 30% in energy consumption across all the renovated stations. </w:t>
            </w:r>
          </w:p>
        </w:tc>
      </w:tr>
      <w:tr w:rsidRPr="00FE48E2" w:rsidR="00E3458A" w:rsidTr="65194507" w14:paraId="15457C4F"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92</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level crossings with an increased safety</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8"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Number of level crossings with an </w:t>
            </w:r>
            <w:r w:rsidRPr="00B41A05">
              <w:rPr>
                <w:rFonts w:eastAsia="Times New Roman"/>
                <w:noProof/>
                <w:color w:val="004300"/>
                <w:sz w:val="18"/>
                <w:szCs w:val="18"/>
                <w:lang w:val="en-IE" w:eastAsia="en-GB"/>
              </w:rPr>
              <w:t>increased safety</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45</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4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Level crossings with an increased protection level, with newly installed or modernised flashlight warning system or mechanical safety installation.</w:t>
            </w:r>
          </w:p>
        </w:tc>
      </w:tr>
      <w:tr w:rsidRPr="00FE48E2" w:rsidR="00E3458A" w:rsidTr="65194507" w14:paraId="15457C5B"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93</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built cycle paths, sidewalks and barrier-free routes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4"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paths, sidewalks, barrier-free routes - km</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25</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 / sidewalk / barrier-free routes.</w:t>
            </w:r>
          </w:p>
        </w:tc>
      </w:tr>
      <w:tr w:rsidRPr="00FE48E2" w:rsidR="00E3458A" w:rsidTr="65194507" w14:paraId="15457C67"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94</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5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modernised railway bridges or tunnels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0"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modernised railway artificial structures (bridges/ tunnels)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3</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Modernised railway artificial structure for the operational phase.</w:t>
            </w:r>
          </w:p>
        </w:tc>
      </w:tr>
      <w:tr w:rsidRPr="00FE48E2" w:rsidR="00E3458A" w:rsidTr="65194507" w14:paraId="15457C73"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95</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4: Road and rail safety (railway crossings, bridges and tunnels, cycle paths and </w:t>
            </w:r>
            <w:r w:rsidRPr="00B41A05">
              <w:rPr>
                <w:rFonts w:eastAsia="Times New Roman"/>
                <w:noProof/>
                <w:color w:val="004300"/>
                <w:sz w:val="18"/>
                <w:szCs w:val="18"/>
                <w:lang w:val="en-IE" w:eastAsia="en-GB"/>
              </w:rPr>
              <w:t>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modernised railway bridges or tunnels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C"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modernised railway artificial structures (bridges/ tunnels)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3</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6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6</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Modernised railway artificial structure for the operational phase.</w:t>
            </w:r>
          </w:p>
        </w:tc>
      </w:tr>
      <w:tr w:rsidRPr="00FE48E2" w:rsidR="00E3458A" w:rsidTr="65194507" w14:paraId="15457C7F"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96</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level crossings with an increased safety</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8"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level crossings with an increased safety</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45</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160</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7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Level crossings with an increased protection level, with newly installed or modernised flashlight warning system or mechanical safety installation.</w:t>
            </w:r>
          </w:p>
        </w:tc>
      </w:tr>
      <w:tr w:rsidRPr="00FE48E2" w:rsidR="00E3458A" w:rsidTr="65194507" w14:paraId="15457C8B"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97</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4: Road and rail safety (railway crossings, bridges and tunnels, cycle paths and </w:t>
            </w:r>
            <w:r w:rsidRPr="00B41A05">
              <w:rPr>
                <w:rFonts w:eastAsia="Times New Roman"/>
                <w:noProof/>
                <w:color w:val="004300"/>
                <w:sz w:val="18"/>
                <w:szCs w:val="18"/>
                <w:lang w:val="en-IE" w:eastAsia="en-GB"/>
              </w:rPr>
              <w:t>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built cycle paths, sidewalks and barrier-free routes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4"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paths, sidewalks, barrier-free routes - km</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25</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49</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 / sidewalk / barrier-free route.</w:t>
            </w:r>
          </w:p>
        </w:tc>
      </w:tr>
      <w:tr w:rsidRPr="00FE48E2" w:rsidR="00E3458A" w:rsidTr="65194507" w14:paraId="15457C97" w14:textId="77777777">
        <w:trPr>
          <w:trHeight w:val="67"/>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98</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8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level crossings with an increased safety</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0"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level crossings with an increased safety</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160</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291</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Level crossings with an increased protection level, with newly installed or modernised flashlight warning system or mechanical safety installation.</w:t>
            </w:r>
          </w:p>
        </w:tc>
      </w:tr>
      <w:tr w:rsidRPr="00FE48E2" w:rsidR="00E3458A" w:rsidTr="65194507" w14:paraId="15457CA3"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99</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4: Road and rail safety (railway crossings, bridges and tunnels, cycle paths and </w:t>
            </w:r>
            <w:r w:rsidRPr="00B41A05">
              <w:rPr>
                <w:rFonts w:eastAsia="Times New Roman"/>
                <w:noProof/>
                <w:color w:val="004300"/>
                <w:sz w:val="18"/>
                <w:szCs w:val="18"/>
                <w:lang w:val="en-IE" w:eastAsia="en-GB"/>
              </w:rPr>
              <w:t>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modernised railway bridges or tunnels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C"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modernised railway artificial structures (bridges/ tunnels)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6</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9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7</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Modernised railway artificial structure for the operational phase.</w:t>
            </w:r>
          </w:p>
        </w:tc>
      </w:tr>
      <w:tr w:rsidRPr="00FE48E2" w:rsidR="00E3458A" w:rsidTr="65194507" w14:paraId="15457CAF"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100</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4: Road and rail safety (railway 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of built cycle paths, sidewalks and barrier-free routes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8"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paths, sidewalks, barrier-free routes - km</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49</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85</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A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Length of built cycle path / sidewalk / barrier-free routes.</w:t>
            </w:r>
          </w:p>
        </w:tc>
      </w:tr>
      <w:tr w:rsidRPr="00FE48E2" w:rsidR="00E3458A" w:rsidTr="65194507" w14:paraId="15457CBB" w14:textId="77777777">
        <w:trPr>
          <w:trHeight w:val="439"/>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101</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4: Road and rail safety (railway </w:t>
            </w:r>
            <w:r w:rsidRPr="00B41A05">
              <w:rPr>
                <w:rFonts w:eastAsia="Times New Roman"/>
                <w:noProof/>
                <w:color w:val="004300"/>
                <w:sz w:val="18"/>
                <w:szCs w:val="18"/>
                <w:lang w:val="en-IE" w:eastAsia="en-GB"/>
              </w:rPr>
              <w:lastRenderedPageBreak/>
              <w:t>crossings, bridges and tunnels, cycle paths and barrier-free routes)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Target</w:t>
            </w:r>
          </w:p>
        </w:tc>
        <w:tc>
          <w:tcPr>
            <w:tcW w:w="141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of modernised </w:t>
            </w:r>
            <w:r w:rsidRPr="00B41A05">
              <w:rPr>
                <w:rFonts w:eastAsia="Times New Roman"/>
                <w:noProof/>
                <w:color w:val="004300"/>
                <w:sz w:val="18"/>
                <w:szCs w:val="18"/>
                <w:lang w:val="en-IE" w:eastAsia="en-GB"/>
              </w:rPr>
              <w:lastRenderedPageBreak/>
              <w:t xml:space="preserve">railway bridges or </w:t>
            </w:r>
            <w:r w:rsidRPr="00B41A05">
              <w:rPr>
                <w:rFonts w:eastAsia="Times New Roman"/>
                <w:noProof/>
                <w:color w:val="004300"/>
                <w:sz w:val="18"/>
                <w:szCs w:val="18"/>
                <w:lang w:val="en-IE" w:eastAsia="en-GB"/>
              </w:rPr>
              <w:t>tunnels</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4" w14:textId="77777777">
            <w:pPr>
              <w:spacing w:before="0" w:after="0" w:line="240" w:lineRule="auto"/>
              <w:rPr>
                <w:rFonts w:eastAsia="Times New Roman"/>
                <w:noProof/>
                <w:color w:val="004300"/>
                <w:sz w:val="18"/>
                <w:szCs w:val="18"/>
                <w:lang w:val="en-IE" w:eastAsia="en-GB"/>
              </w:rPr>
            </w:pPr>
          </w:p>
        </w:tc>
        <w:tc>
          <w:tcPr>
            <w:tcW w:w="157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Number of modernised railway </w:t>
            </w:r>
            <w:r w:rsidRPr="00B41A05">
              <w:rPr>
                <w:rFonts w:eastAsia="Times New Roman"/>
                <w:noProof/>
                <w:color w:val="004300"/>
                <w:sz w:val="18"/>
                <w:szCs w:val="18"/>
                <w:lang w:val="en-IE" w:eastAsia="en-GB"/>
              </w:rPr>
              <w:lastRenderedPageBreak/>
              <w:t>artificial structures (bridges/ tunnels)</w:t>
            </w:r>
          </w:p>
        </w:tc>
        <w:tc>
          <w:tcPr>
            <w:tcW w:w="14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7</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8</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127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25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BA" w14:textId="77777777">
            <w:pPr>
              <w:pageBreakBefore/>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Modernised railway artificial structure for the operational phase.</w:t>
            </w:r>
          </w:p>
        </w:tc>
      </w:tr>
    </w:tbl>
    <w:p w:rsidRPr="00FE48E2" w:rsidR="00D87E44" w:rsidP="00D226F4" w:rsidRDefault="00D87E44" w14:paraId="15457CBC" w14:textId="77777777">
      <w:pPr>
        <w:spacing w:line="240" w:lineRule="auto"/>
        <w:jc w:val="both"/>
        <w:rPr>
          <w:b/>
          <w:noProof/>
          <w:szCs w:val="24"/>
          <w:u w:val="single"/>
          <w:shd w:val="clear" w:color="auto" w:fill="E6E6E6"/>
          <w:lang w:val="en-IE"/>
        </w:rPr>
        <w:sectPr w:rsidRPr="00FE48E2" w:rsidR="00C16C1F" w:rsidSect="00D226F4">
          <w:headerReference w:type="even" r:id="Re82ce8d5a9684209"/>
          <w:headerReference w:type="default" r:id="R1d571c7e9910467f"/>
          <w:footerReference w:type="even" r:id="R903ac7c4ba5a4829"/>
          <w:footerReference w:type="default" r:id="Rabab79fadd7c4c72"/>
          <w:headerReference w:type="first" r:id="Radb1608d66384525"/>
          <w:footerReference w:type="first" r:id="Refa01900045b4796"/>
          <w:pgSz w:w="16839" w:h="11907" w:orient="landscape"/>
          <w:pgMar w:top="1134" w:right="1134" w:bottom="1134" w:left="1134" w:header="567" w:footer="567" w:gutter="0"/>
          <w:cols w:space="720"/>
          <w:docGrid w:linePitch="326"/>
        </w:sectPr>
      </w:pPr>
    </w:p>
    <w:p w:rsidRPr="00FE48E2" w:rsidR="00D87E44" w:rsidP="00D226F4" w:rsidRDefault="00D87E44" w14:paraId="15457CBD" w14:textId="77777777">
      <w:pPr>
        <w:keepNext/>
        <w:tabs>
          <w:tab w:val="left" w:pos="850"/>
        </w:tabs>
        <w:spacing w:before="360" w:line="240" w:lineRule="auto"/>
        <w:jc w:val="both"/>
        <w:outlineLvl w:val="0"/>
        <w:rPr>
          <w:b/>
          <w:bCs/>
          <w:smallCaps/>
          <w:noProof/>
          <w:lang w:val="en-IE"/>
        </w:rPr>
      </w:pPr>
      <w:r w:rsidRPr="761A1205">
        <w:rPr>
          <w:b/>
          <w:bCs/>
          <w:smallCaps/>
          <w:noProof/>
          <w:lang w:val="en-IE"/>
        </w:rPr>
        <w:lastRenderedPageBreak/>
        <w:t xml:space="preserve">I. COMPONENT 2.2: Reducing Energy Consumption in the Public Sector </w:t>
      </w:r>
    </w:p>
    <w:p w:rsidRPr="00FE48E2" w:rsidR="00D87E44" w:rsidP="00D226F4" w:rsidRDefault="00D87E44" w14:paraId="15457CBE" w14:textId="77777777">
      <w:pPr>
        <w:spacing w:line="240" w:lineRule="auto"/>
        <w:jc w:val="both"/>
        <w:rPr>
          <w:noProof/>
          <w:szCs w:val="24"/>
          <w:lang w:val="en-IE"/>
        </w:rPr>
      </w:pPr>
      <w:r w:rsidRPr="00FE48E2">
        <w:rPr>
          <w:noProof/>
          <w:szCs w:val="24"/>
          <w:lang w:val="en-IE"/>
        </w:rPr>
        <w:t xml:space="preserve">This component </w:t>
      </w:r>
      <w:r w:rsidRPr="00FE48E2">
        <w:rPr>
          <w:rFonts w:eastAsia="Times New Roman"/>
          <w:noProof/>
          <w:szCs w:val="24"/>
          <w:lang w:val="en-IE"/>
        </w:rPr>
        <w:t xml:space="preserve">of the Czech recovery and resilience plan </w:t>
      </w:r>
      <w:r w:rsidRPr="00FE48E2">
        <w:rPr>
          <w:noProof/>
          <w:szCs w:val="24"/>
          <w:lang w:val="en-IE"/>
        </w:rPr>
        <w:t xml:space="preserve">addresses the challenge of energy efficiency in the public sector by means of renovation of state and public buildings and the modernisation of public lighting. </w:t>
      </w:r>
    </w:p>
    <w:p w:rsidRPr="00FE48E2" w:rsidR="00D87E44" w:rsidP="00D226F4" w:rsidRDefault="00D87E44" w14:paraId="15457CBF" w14:textId="77777777">
      <w:pPr>
        <w:spacing w:line="240" w:lineRule="auto"/>
        <w:jc w:val="both"/>
        <w:rPr>
          <w:noProof/>
          <w:szCs w:val="24"/>
          <w:lang w:val="en-IE"/>
        </w:rPr>
      </w:pPr>
      <w:r w:rsidRPr="00FE48E2">
        <w:rPr>
          <w:noProof/>
          <w:szCs w:val="24"/>
          <w:lang w:val="en-IE"/>
        </w:rPr>
        <w:t xml:space="preserve">The component reflects Czechia’s commitments to improve energy efficiency of the national economy by 2030. It aims to reduce final energy consumption in the relevant state and public buildings, to increase the number of high-quality renovations in the public sector and to reduce the final energy consumption of public lighting. </w:t>
      </w:r>
    </w:p>
    <w:p w:rsidRPr="00FE48E2" w:rsidR="00D87E44" w:rsidP="00D226F4" w:rsidRDefault="00D87E44" w14:paraId="15457CC0" w14:textId="77777777">
      <w:pPr>
        <w:spacing w:line="240" w:lineRule="auto"/>
        <w:jc w:val="both"/>
        <w:rPr>
          <w:noProof/>
          <w:sz w:val="22"/>
          <w:lang w:val="en-IE"/>
        </w:rPr>
      </w:pPr>
      <w:r w:rsidRPr="00FE48E2">
        <w:rPr>
          <w:noProof/>
          <w:szCs w:val="24"/>
          <w:lang w:val="en-IE"/>
        </w:rPr>
        <w:t xml:space="preserve">The component supports addressing the country specific recommendation on low carbon and energy transition, including </w:t>
      </w:r>
      <w:r w:rsidRPr="00FE48E2">
        <w:rPr>
          <w:noProof/>
          <w:szCs w:val="24"/>
          <w:lang w:val="en-IE"/>
        </w:rPr>
        <w:t>energy efficiency (country specific recommendation 3 2019) and on clean and efficient production and use of energy (country specific recommendation 3 2020).</w:t>
      </w:r>
    </w:p>
    <w:p w:rsidRPr="00FE48E2" w:rsidR="00D87E44" w:rsidP="00D226F4" w:rsidRDefault="00D87E44" w14:paraId="15457CC1" w14:textId="77777777">
      <w:pPr>
        <w:spacing w:line="240" w:lineRule="auto"/>
        <w:jc w:val="both"/>
        <w:rPr>
          <w:noProof/>
          <w:szCs w:val="24"/>
          <w:lang w:val="en-IE"/>
        </w:rPr>
      </w:pPr>
      <w:r w:rsidRPr="00FE48E2">
        <w:rPr>
          <w:noProof/>
          <w:szCs w:val="24"/>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In particular, when improving the energy performance of state and public buildings, at least 70 % of construction and demolition waste shall be prepared for reuse or recycling.</w:t>
      </w:r>
      <w:r>
        <w:rPr>
          <w:noProof/>
          <w:szCs w:val="24"/>
          <w:lang w:val="en-IE"/>
        </w:rPr>
        <w:t xml:space="preserve"> </w:t>
      </w:r>
    </w:p>
    <w:p w:rsidRPr="00FE48E2" w:rsidR="00D87E44" w:rsidP="00D226F4" w:rsidRDefault="00D87E44" w14:paraId="15457CC2" w14:textId="77777777">
      <w:pPr>
        <w:spacing w:line="240" w:lineRule="auto"/>
        <w:jc w:val="both"/>
        <w:rPr>
          <w:noProof/>
          <w:szCs w:val="24"/>
          <w:lang w:val="en-IE"/>
        </w:rPr>
      </w:pPr>
    </w:p>
    <w:p w:rsidRPr="00FE48E2" w:rsidR="00D87E44" w:rsidP="00D226F4" w:rsidRDefault="00D87E44" w14:paraId="15457CC3" w14:textId="77777777">
      <w:pPr>
        <w:spacing w:line="240" w:lineRule="auto"/>
        <w:jc w:val="both"/>
        <w:rPr>
          <w:b/>
          <w:noProof/>
          <w:szCs w:val="24"/>
          <w:u w:val="single"/>
          <w:lang w:val="en-IE"/>
        </w:rPr>
      </w:pPr>
      <w:r w:rsidRPr="761A1205">
        <w:rPr>
          <w:b/>
          <w:bCs/>
          <w:noProof/>
          <w:u w:val="single"/>
          <w:lang w:val="en-IE"/>
        </w:rPr>
        <w:t>I</w:t>
      </w:r>
      <w:r w:rsidRPr="00FE48E2">
        <w:rPr>
          <w:b/>
          <w:noProof/>
          <w:szCs w:val="24"/>
          <w:u w:val="single"/>
          <w:lang w:val="en-IE"/>
        </w:rPr>
        <w:t>.1. Description of the reforms and investments for non-repayable financial support</w:t>
      </w:r>
    </w:p>
    <w:p w:rsidRPr="00FE48E2" w:rsidR="00D87E44" w:rsidP="00D226F4" w:rsidRDefault="00D87E44" w14:paraId="15457CC4" w14:textId="77777777">
      <w:pPr>
        <w:spacing w:line="240" w:lineRule="auto"/>
        <w:jc w:val="both"/>
        <w:rPr>
          <w:b/>
          <w:noProof/>
          <w:szCs w:val="24"/>
          <w:lang w:val="en-IE"/>
        </w:rPr>
      </w:pPr>
      <w:r w:rsidRPr="00FE48E2">
        <w:rPr>
          <w:b/>
          <w:noProof/>
          <w:szCs w:val="24"/>
          <w:lang w:val="en-IE"/>
        </w:rPr>
        <w:t>Investment 1: Improving the energy performance of state buildings</w:t>
      </w:r>
    </w:p>
    <w:p w:rsidRPr="00FE48E2" w:rsidR="00D87E44" w:rsidP="00FF1320" w:rsidRDefault="00D87E44" w14:paraId="15457CC5" w14:textId="77777777">
      <w:pPr>
        <w:spacing w:before="240" w:after="240" w:line="240" w:lineRule="auto"/>
        <w:jc w:val="both"/>
        <w:rPr>
          <w:noProof/>
          <w:lang w:val="en-IE"/>
        </w:rPr>
      </w:pPr>
      <w:r w:rsidRPr="476E5A7C">
        <w:rPr>
          <w:noProof/>
          <w:lang w:val="en-IE"/>
        </w:rPr>
        <w:t xml:space="preserve">The objective of the measure is to reduce the final energy consumption in the buildings of the state administration and increase the number of moderately deep or deep renovations. </w:t>
      </w:r>
      <w:r w:rsidRPr="009A62B3">
        <w:rPr>
          <w:noProof/>
          <w:lang w:val="en-IE"/>
        </w:rPr>
        <w:t xml:space="preserve">The measure consists of supporting at least </w:t>
      </w:r>
      <w:r w:rsidRPr="00DE73C8">
        <w:rPr>
          <w:noProof/>
          <w:lang w:val="en-IE"/>
        </w:rPr>
        <w:t>22</w:t>
      </w:r>
      <w:r w:rsidRPr="009A62B3">
        <w:rPr>
          <w:noProof/>
          <w:lang w:val="en-IE"/>
        </w:rPr>
        <w:t xml:space="preserve"> building renovation projects. </w:t>
      </w:r>
      <w:r w:rsidRPr="00035D69">
        <w:rPr>
          <w:noProof/>
          <w:lang w:val="en-IE"/>
        </w:rPr>
        <w:t>It also entails the publication of a model contract for the Energy Performance Contracting method services.</w:t>
      </w:r>
    </w:p>
    <w:p w:rsidRPr="00FE48E2" w:rsidR="00D87E44" w:rsidP="00D226F4" w:rsidRDefault="00D87E44" w14:paraId="15457CC6" w14:textId="77777777">
      <w:pPr>
        <w:spacing w:line="240" w:lineRule="auto"/>
        <w:jc w:val="both"/>
        <w:rPr>
          <w:b/>
          <w:noProof/>
          <w:szCs w:val="24"/>
          <w:lang w:val="en-IE"/>
        </w:rPr>
      </w:pPr>
      <w:r w:rsidRPr="00FE48E2">
        <w:rPr>
          <w:b/>
          <w:noProof/>
          <w:szCs w:val="24"/>
          <w:lang w:val="en-IE"/>
        </w:rPr>
        <w:t>Investment 2: Improving the energy efficiency of public lighting systems</w:t>
      </w:r>
    </w:p>
    <w:p w:rsidRPr="00FE48E2" w:rsidR="00D87E44" w:rsidP="00D226F4" w:rsidRDefault="00D87E44" w14:paraId="15457CC7" w14:textId="77777777">
      <w:pPr>
        <w:spacing w:line="240" w:lineRule="auto"/>
        <w:jc w:val="both"/>
        <w:rPr>
          <w:noProof/>
          <w:lang w:val="en-IE"/>
        </w:rPr>
      </w:pPr>
      <w:r w:rsidRPr="1E1C0064">
        <w:rPr>
          <w:noProof/>
          <w:lang w:val="en-IE"/>
        </w:rPr>
        <w:t>Th</w:t>
      </w:r>
      <w:r>
        <w:rPr>
          <w:noProof/>
          <w:lang w:val="en-IE"/>
        </w:rPr>
        <w:t>e objective of the measure is</w:t>
      </w:r>
      <w:r w:rsidRPr="1E1C0064">
        <w:rPr>
          <w:noProof/>
          <w:lang w:val="en-IE"/>
        </w:rPr>
        <w:t xml:space="preserve"> to enable the renovation of public lighting across different municipalities in the Czech Republic</w:t>
      </w:r>
      <w:r w:rsidRPr="2D839B7A">
        <w:rPr>
          <w:noProof/>
          <w:lang w:val="en-IE"/>
        </w:rPr>
        <w:t xml:space="preserve"> and </w:t>
      </w:r>
      <w:r w:rsidRPr="434ED64E">
        <w:rPr>
          <w:rFonts w:eastAsia="Times New Roman"/>
          <w:noProof/>
          <w:lang w:val="en-IE"/>
        </w:rPr>
        <w:t xml:space="preserve">to achieve, on average, a reduction in </w:t>
      </w:r>
      <w:r>
        <w:rPr>
          <w:rFonts w:eastAsia="Times New Roman"/>
          <w:noProof/>
          <w:lang w:val="en-IE"/>
        </w:rPr>
        <w:t>primary energy consumption</w:t>
      </w:r>
      <w:r w:rsidRPr="434ED64E">
        <w:rPr>
          <w:rFonts w:eastAsia="Times New Roman"/>
          <w:noProof/>
          <w:lang w:val="en-IE"/>
        </w:rPr>
        <w:t xml:space="preserve"> of at least 30%.</w:t>
      </w:r>
      <w:r w:rsidRPr="1E1C0064">
        <w:rPr>
          <w:noProof/>
          <w:lang w:val="en-IE"/>
        </w:rPr>
        <w:t xml:space="preserve"> </w:t>
      </w:r>
      <w:r w:rsidRPr="34C41F38">
        <w:rPr>
          <w:noProof/>
          <w:lang w:val="en-IE"/>
        </w:rPr>
        <w:t>The investment</w:t>
      </w:r>
      <w:r w:rsidRPr="06EEE035">
        <w:rPr>
          <w:noProof/>
          <w:lang w:val="en-IE"/>
        </w:rPr>
        <w:t xml:space="preserve"> consist of</w:t>
      </w:r>
      <w:r w:rsidRPr="34C41F38">
        <w:rPr>
          <w:noProof/>
          <w:lang w:val="en-IE"/>
        </w:rPr>
        <w:t xml:space="preserve"> supporting at least 800 projects of renovation of public lighting systems across different municipalities in Czechia.</w:t>
      </w:r>
      <w:r>
        <w:rPr>
          <w:noProof/>
          <w:lang w:val="en-IE"/>
        </w:rPr>
        <w:t xml:space="preserve"> </w:t>
      </w:r>
    </w:p>
    <w:p w:rsidRPr="00FE48E2" w:rsidR="00D87E44" w:rsidP="00D226F4" w:rsidRDefault="00D87E44" w14:paraId="15457CC8" w14:textId="77777777">
      <w:pPr>
        <w:spacing w:line="240" w:lineRule="auto"/>
        <w:jc w:val="both"/>
        <w:rPr>
          <w:b/>
          <w:noProof/>
          <w:szCs w:val="24"/>
          <w:lang w:val="en-IE"/>
        </w:rPr>
      </w:pPr>
      <w:r w:rsidRPr="00FE48E2">
        <w:rPr>
          <w:b/>
          <w:noProof/>
          <w:szCs w:val="24"/>
          <w:lang w:val="en-IE"/>
        </w:rPr>
        <w:t xml:space="preserve">Investment 3: Improving the energy performance of public buildings </w:t>
      </w:r>
    </w:p>
    <w:p w:rsidRPr="00FF1320" w:rsidR="00D87E44" w:rsidP="00FF1320" w:rsidRDefault="00D87E44" w14:paraId="15457CC9" w14:textId="77777777">
      <w:pPr>
        <w:pStyle w:val="pf0"/>
        <w:jc w:val="both"/>
      </w:pPr>
      <w:r w:rsidRPr="00FE48E2">
        <w:rPr>
          <w:noProof/>
        </w:rPr>
        <w:t>Th</w:t>
      </w:r>
      <w:r>
        <w:rPr>
          <w:noProof/>
        </w:rPr>
        <w:t xml:space="preserve">e objective of the measure </w:t>
      </w:r>
      <w:r w:rsidRPr="00FE48E2">
        <w:rPr>
          <w:noProof/>
        </w:rPr>
        <w:t xml:space="preserve">is </w:t>
      </w:r>
      <w:r>
        <w:rPr>
          <w:noProof/>
        </w:rPr>
        <w:t>to</w:t>
      </w:r>
      <w:r w:rsidRPr="00FE48E2">
        <w:rPr>
          <w:noProof/>
        </w:rPr>
        <w:t xml:space="preserve"> reduc</w:t>
      </w:r>
      <w:r>
        <w:rPr>
          <w:noProof/>
        </w:rPr>
        <w:t>e</w:t>
      </w:r>
      <w:r w:rsidRPr="00FE48E2">
        <w:rPr>
          <w:noProof/>
        </w:rPr>
        <w:t xml:space="preserve"> final energy consumption in public buildings and </w:t>
      </w:r>
      <w:r>
        <w:rPr>
          <w:noProof/>
        </w:rPr>
        <w:t>to</w:t>
      </w:r>
      <w:r w:rsidRPr="00FE48E2">
        <w:rPr>
          <w:noProof/>
        </w:rPr>
        <w:t xml:space="preserve"> increas</w:t>
      </w:r>
      <w:r>
        <w:rPr>
          <w:noProof/>
        </w:rPr>
        <w:t>e</w:t>
      </w:r>
      <w:r w:rsidRPr="00FE48E2">
        <w:rPr>
          <w:noProof/>
        </w:rPr>
        <w:t xml:space="preserve"> the number of moderately deep or deep renovations. </w:t>
      </w:r>
      <w:r w:rsidRPr="00E3458A">
        <w:t xml:space="preserve">The investment </w:t>
      </w:r>
      <w:r>
        <w:rPr>
          <w:noProof/>
        </w:rPr>
        <w:t>consists of</w:t>
      </w:r>
      <w:r w:rsidRPr="00E3458A">
        <w:t xml:space="preserve"> supporting at least 220 building renovation projects</w:t>
      </w:r>
      <w:r>
        <w:rPr>
          <w:noProof/>
        </w:rPr>
        <w:t xml:space="preserve">. </w:t>
      </w:r>
    </w:p>
    <w:p w:rsidRPr="00FF1320" w:rsidR="00D87E44" w:rsidP="00FF1320" w:rsidRDefault="00D87E44" w14:paraId="15457CCA" w14:textId="77777777">
      <w:pPr>
        <w:tabs>
          <w:tab w:val="left" w:pos="1402"/>
        </w:tabs>
        <w:spacing w:before="0" w:after="300" w:line="280" w:lineRule="exact"/>
        <w:jc w:val="both"/>
        <w:rPr>
          <w:color w:val="000000"/>
          <w:lang w:val="en-IE"/>
        </w:rPr>
      </w:pPr>
    </w:p>
    <w:p w:rsidRPr="00FE48E2" w:rsidR="00D87E44" w:rsidP="00D226F4" w:rsidRDefault="00D87E44" w14:paraId="15457CCB" w14:textId="77777777">
      <w:pPr>
        <w:spacing w:line="240" w:lineRule="auto"/>
        <w:rPr>
          <w:rFonts w:ascii="Calibri" w:hAnsi="Calibri"/>
          <w:noProof/>
          <w:sz w:val="22"/>
          <w:lang w:val="en-IE"/>
        </w:rPr>
        <w:sectPr w:rsidRPr="00FE48E2" w:rsidR="00C16C1F" w:rsidSect="00D226F4">
          <w:headerReference w:type="even" r:id="R3991712fba154384"/>
          <w:headerReference w:type="default" r:id="R61e014c555414ed4"/>
          <w:footerReference w:type="even" r:id="R4ab6648a46744424"/>
          <w:footerReference w:type="default" r:id="R6842e4c78be84fcc"/>
          <w:headerReference w:type="first" r:id="R8fdc01eccd9c45dd"/>
          <w:footerReference w:type="first" r:id="R4eb487e67a254252"/>
          <w:pgSz w:w="11907" w:h="16839"/>
          <w:pgMar w:top="1134" w:right="1134" w:bottom="1134" w:left="1134" w:header="567" w:footer="567" w:gutter="0"/>
          <w:cols w:space="720"/>
          <w:docGrid w:linePitch="326"/>
        </w:sectPr>
      </w:pPr>
    </w:p>
    <w:p w:rsidRPr="00FE48E2" w:rsidR="00D87E44" w:rsidP="00D226F4" w:rsidRDefault="00D87E44" w14:paraId="15457CCC" w14:textId="77777777">
      <w:pPr>
        <w:pBdr>
          <w:top w:val="nil"/>
          <w:left w:val="nil"/>
          <w:bottom w:val="nil"/>
          <w:right w:val="nil"/>
          <w:between w:val="nil"/>
        </w:pBdr>
        <w:tabs>
          <w:tab w:val="left" w:pos="993"/>
        </w:tabs>
        <w:spacing w:line="240" w:lineRule="auto"/>
        <w:rPr>
          <w:noProof/>
          <w:color w:val="006100"/>
          <w:sz w:val="15"/>
          <w:szCs w:val="15"/>
          <w:lang w:val="en-IE"/>
        </w:rPr>
      </w:pPr>
      <w:r w:rsidRPr="761A1205">
        <w:rPr>
          <w:b/>
          <w:bCs/>
          <w:noProof/>
          <w:color w:val="000000" w:themeColor="text1"/>
          <w:u w:val="single"/>
          <w:lang w:val="en-IE"/>
        </w:rPr>
        <w:lastRenderedPageBreak/>
        <w:t xml:space="preserve">I.2. Milestones, targets, indicators, and timetable for monitoring and implementation for non-repayable financial support </w:t>
      </w:r>
    </w:p>
    <w:tbl>
      <w:tblPr>
        <w:tblW w:w="151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400" w:firstRow="0" w:lastRow="0" w:firstColumn="0" w:lastColumn="0" w:noHBand="0" w:noVBand="1"/>
      </w:tblPr>
      <w:tblGrid>
        <w:gridCol w:w="709"/>
        <w:gridCol w:w="1266"/>
        <w:gridCol w:w="992"/>
        <w:gridCol w:w="1827"/>
        <w:gridCol w:w="1407"/>
        <w:gridCol w:w="1031"/>
        <w:gridCol w:w="1031"/>
        <w:gridCol w:w="1031"/>
        <w:gridCol w:w="949"/>
        <w:gridCol w:w="706"/>
        <w:gridCol w:w="4226"/>
      </w:tblGrid>
      <w:tr w:rsidRPr="00FE48E2" w:rsidR="00E3458A" w:rsidTr="00BC7231" w14:paraId="15457CD5" w14:textId="77777777">
        <w:trPr>
          <w:trHeight w:val="75"/>
          <w:tblHeader/>
          <w:jc w:val="center"/>
        </w:trPr>
        <w:tc>
          <w:tcPr>
            <w:tcW w:w="709"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CD"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266"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CE"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CF"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Milestone / Target</w:t>
            </w:r>
          </w:p>
        </w:tc>
        <w:tc>
          <w:tcPr>
            <w:tcW w:w="1827"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D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Name</w:t>
            </w:r>
          </w:p>
        </w:tc>
        <w:tc>
          <w:tcPr>
            <w:tcW w:w="1407"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D1"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w:t>
            </w:r>
          </w:p>
        </w:tc>
        <w:tc>
          <w:tcPr>
            <w:tcW w:w="3093" w:type="dxa"/>
            <w:gridSpan w:val="3"/>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D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1655" w:type="dxa"/>
            <w:gridSpan w:val="2"/>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D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226" w:type="dxa"/>
            <w:vMerge w:val="restart"/>
            <w:tcBorders>
              <w:top w:val="single" w:color="auto" w:sz="4" w:space="0"/>
              <w:left w:val="single" w:color="auto" w:sz="4" w:space="0"/>
              <w:bottom w:val="single" w:color="auto" w:sz="4" w:space="0"/>
              <w:right w:val="single" w:color="auto" w:sz="4" w:space="0"/>
            </w:tcBorders>
            <w:shd w:val="clear" w:color="auto" w:fill="BDD7EE"/>
            <w:vAlign w:val="center"/>
          </w:tcPr>
          <w:p w:rsidRPr="00FE48E2" w:rsidR="00D87E44" w:rsidRDefault="00D87E44" w14:paraId="15457CD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00BC7231" w14:paraId="15457CE1" w14:textId="77777777">
        <w:trPr>
          <w:trHeight w:val="600"/>
          <w:tblHeader/>
          <w:jc w:val="center"/>
        </w:trPr>
        <w:tc>
          <w:tcPr>
            <w:tcW w:w="709"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D6"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6"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D7"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D8"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827"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D9"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07"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DA"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31"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CDB"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Unit of measure</w:t>
            </w:r>
          </w:p>
        </w:tc>
        <w:tc>
          <w:tcPr>
            <w:tcW w:w="1031"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CDC"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Baseline</w:t>
            </w:r>
          </w:p>
        </w:tc>
        <w:tc>
          <w:tcPr>
            <w:tcW w:w="1031"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CDD"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Goal</w:t>
            </w:r>
          </w:p>
        </w:tc>
        <w:tc>
          <w:tcPr>
            <w:tcW w:w="949"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CDE"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Quarter</w:t>
            </w:r>
          </w:p>
        </w:tc>
        <w:tc>
          <w:tcPr>
            <w:tcW w:w="706" w:type="dxa"/>
            <w:tcBorders>
              <w:top w:val="single" w:color="auto" w:sz="4" w:space="0"/>
              <w:left w:val="single" w:color="auto" w:sz="4" w:space="0"/>
              <w:bottom w:val="single" w:color="auto" w:sz="4" w:space="0"/>
              <w:right w:val="single" w:color="auto" w:sz="4" w:space="0"/>
            </w:tcBorders>
            <w:shd w:val="clear" w:color="auto" w:fill="BDD7EE"/>
            <w:vAlign w:val="center"/>
          </w:tcPr>
          <w:p w:rsidRPr="002F2ABF" w:rsidR="00D87E44" w:rsidRDefault="00D87E44" w14:paraId="15457CDF" w14:textId="77777777">
            <w:pPr>
              <w:spacing w:line="240" w:lineRule="auto"/>
              <w:jc w:val="center"/>
              <w:rPr>
                <w:rFonts w:eastAsia="Times New Roman"/>
                <w:noProof/>
                <w:sz w:val="18"/>
                <w:szCs w:val="18"/>
                <w:lang w:val="en-IE"/>
              </w:rPr>
            </w:pPr>
            <w:r w:rsidRPr="002F2ABF">
              <w:rPr>
                <w:rFonts w:eastAsia="Times New Roman"/>
                <w:b/>
                <w:noProof/>
                <w:sz w:val="18"/>
                <w:szCs w:val="18"/>
                <w:lang w:val="en-IE"/>
              </w:rPr>
              <w:t>Year</w:t>
            </w:r>
          </w:p>
        </w:tc>
        <w:tc>
          <w:tcPr>
            <w:tcW w:w="4226" w:type="dxa"/>
            <w:vMerge/>
            <w:tcBorders>
              <w:top w:val="single" w:color="auto" w:sz="4" w:space="0"/>
              <w:left w:val="single" w:color="auto" w:sz="4" w:space="0"/>
              <w:bottom w:val="single" w:color="auto" w:sz="4" w:space="0"/>
              <w:right w:val="single" w:color="auto" w:sz="4" w:space="0"/>
            </w:tcBorders>
            <w:vAlign w:val="center"/>
          </w:tcPr>
          <w:p w:rsidRPr="00FE48E2" w:rsidR="00D87E44" w:rsidRDefault="00D87E44" w14:paraId="15457CE0"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rsidTr="00BC7231" w14:paraId="15457CEE" w14:textId="77777777">
        <w:trPr>
          <w:trHeight w:val="94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2"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102</w:t>
            </w:r>
          </w:p>
        </w:tc>
        <w:tc>
          <w:tcPr>
            <w:tcW w:w="1266"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1: Improving the energy performance of state buildings </w:t>
            </w: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1827"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Adoption of the model contract by the Ministry of Industry and Trade for the Energy Performance Contracting method services with a guarantee </w:t>
            </w:r>
          </w:p>
        </w:tc>
        <w:tc>
          <w:tcPr>
            <w:tcW w:w="1407"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Publication of the model contract on the Ministry’s website </w:t>
            </w:r>
          </w:p>
        </w:tc>
        <w:tc>
          <w:tcPr>
            <w:tcW w:w="103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7" w14:textId="77777777">
            <w:pPr>
              <w:spacing w:before="0" w:after="0" w:line="240" w:lineRule="auto"/>
              <w:rPr>
                <w:rFonts w:eastAsia="Times New Roman"/>
                <w:noProof/>
                <w:color w:val="004300"/>
                <w:sz w:val="18"/>
                <w:szCs w:val="18"/>
                <w:lang w:val="en-IE" w:eastAsia="en-GB"/>
              </w:rPr>
            </w:pPr>
          </w:p>
        </w:tc>
        <w:tc>
          <w:tcPr>
            <w:tcW w:w="103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8" w14:textId="77777777">
            <w:pPr>
              <w:spacing w:before="0" w:after="0" w:line="240" w:lineRule="auto"/>
              <w:rPr>
                <w:rFonts w:eastAsia="Times New Roman"/>
                <w:noProof/>
                <w:color w:val="004300"/>
                <w:sz w:val="18"/>
                <w:szCs w:val="18"/>
                <w:lang w:val="en-IE" w:eastAsia="en-GB"/>
              </w:rPr>
            </w:pPr>
          </w:p>
        </w:tc>
        <w:tc>
          <w:tcPr>
            <w:tcW w:w="103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9" w14:textId="77777777">
            <w:pPr>
              <w:spacing w:before="0" w:after="0" w:line="240" w:lineRule="auto"/>
              <w:rPr>
                <w:rFonts w:eastAsia="Times New Roman"/>
                <w:noProof/>
                <w:color w:val="004300"/>
                <w:sz w:val="18"/>
                <w:szCs w:val="18"/>
                <w:lang w:val="en-IE" w:eastAsia="en-GB"/>
              </w:rPr>
            </w:pPr>
          </w:p>
        </w:tc>
        <w:tc>
          <w:tcPr>
            <w:tcW w:w="94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706"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2021</w:t>
            </w:r>
          </w:p>
        </w:tc>
        <w:tc>
          <w:tcPr>
            <w:tcW w:w="4226"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7CE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A model contract for the Energy Performance Contracting method services with a guarantee is adopted by the Ministry of Industry and Trade in order to promote the implementation of projects with an emphasis on maximizing the yield of energy savings compared to the funds spent.</w:t>
            </w:r>
          </w:p>
          <w:p w:rsidRPr="00FE48E2" w:rsidR="00D87E44" w:rsidRDefault="00D87E44" w14:paraId="15457CE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The model contract shall be published on the Ministry’s website.  </w:t>
            </w:r>
          </w:p>
        </w:tc>
      </w:tr>
      <w:tr w:rsidRPr="00FE48E2" w:rsidR="00E3458A" w:rsidTr="00BC7231" w14:paraId="15457CFB" w14:textId="77777777">
        <w:trPr>
          <w:trHeight w:val="573"/>
          <w:jc w:val="center"/>
        </w:trPr>
        <w:tc>
          <w:tcPr>
            <w:tcW w:w="709"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EF"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103</w:t>
            </w:r>
          </w:p>
        </w:tc>
        <w:tc>
          <w:tcPr>
            <w:tcW w:w="1266"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1: Improving the energy performance of state buildings </w:t>
            </w:r>
          </w:p>
        </w:tc>
        <w:tc>
          <w:tcPr>
            <w:tcW w:w="992"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Grant decisions signed for 75% of supported building renovation projects achieving at least 30% primary energy savings</w:t>
            </w:r>
          </w:p>
        </w:tc>
        <w:tc>
          <w:tcPr>
            <w:tcW w:w="1407"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3" w14:textId="77777777">
            <w:pPr>
              <w:spacing w:before="0" w:after="0" w:line="240" w:lineRule="auto"/>
              <w:rPr>
                <w:rFonts w:eastAsia="Times New Roman"/>
                <w:noProof/>
                <w:color w:val="004300"/>
                <w:sz w:val="18"/>
                <w:szCs w:val="18"/>
                <w:lang w:val="en-IE" w:eastAsia="en-GB"/>
              </w:rPr>
            </w:pPr>
          </w:p>
        </w:tc>
        <w:tc>
          <w:tcPr>
            <w:tcW w:w="103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Percentage </w:t>
            </w:r>
          </w:p>
        </w:tc>
        <w:tc>
          <w:tcPr>
            <w:tcW w:w="103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75</w:t>
            </w:r>
          </w:p>
        </w:tc>
        <w:tc>
          <w:tcPr>
            <w:tcW w:w="949"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F7" w14:textId="77777777">
            <w:pPr>
              <w:spacing w:before="0" w:after="0" w:line="240" w:lineRule="auto"/>
              <w:rPr>
                <w:rFonts w:eastAsia="Times New Roman"/>
                <w:noProof/>
                <w:color w:val="004300"/>
                <w:sz w:val="18"/>
                <w:szCs w:val="18"/>
                <w:lang w:val="en-IE" w:eastAsia="en-GB"/>
              </w:rPr>
            </w:pPr>
            <w:r w:rsidRPr="00AE76DF">
              <w:rPr>
                <w:rFonts w:eastAsia="Times New Roman"/>
                <w:noProof/>
                <w:color w:val="004300"/>
                <w:sz w:val="18"/>
                <w:szCs w:val="18"/>
                <w:lang w:val="en-IE" w:eastAsia="en-GB"/>
              </w:rPr>
              <w:t>Q4</w:t>
            </w:r>
          </w:p>
        </w:tc>
        <w:tc>
          <w:tcPr>
            <w:tcW w:w="706"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F8" w14:textId="77777777">
            <w:pPr>
              <w:spacing w:before="0" w:after="0" w:line="240" w:lineRule="auto"/>
              <w:rPr>
                <w:rFonts w:eastAsia="Times New Roman"/>
                <w:noProof/>
                <w:color w:val="004300"/>
                <w:sz w:val="18"/>
                <w:szCs w:val="18"/>
                <w:lang w:val="en-IE" w:eastAsia="en-GB"/>
              </w:rPr>
            </w:pPr>
            <w:r w:rsidRPr="00AE76DF">
              <w:rPr>
                <w:rFonts w:eastAsia="Times New Roman"/>
                <w:noProof/>
                <w:color w:val="004300"/>
                <w:sz w:val="18"/>
                <w:szCs w:val="18"/>
                <w:lang w:val="en-IE" w:eastAsia="en-GB"/>
              </w:rPr>
              <w:t>2024</w:t>
            </w:r>
          </w:p>
        </w:tc>
        <w:tc>
          <w:tcPr>
            <w:tcW w:w="4226" w:type="dxa"/>
            <w:tcBorders>
              <w:top w:val="single" w:color="auto" w:sz="4"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CF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 total at least 32 building renovation projects shall be supported under this </w:t>
            </w:r>
            <w:r w:rsidRPr="476E5A7C">
              <w:rPr>
                <w:rFonts w:eastAsia="Times New Roman"/>
                <w:noProof/>
                <w:color w:val="004300"/>
                <w:sz w:val="18"/>
                <w:szCs w:val="18"/>
                <w:lang w:val="en-IE" w:eastAsia="en-GB"/>
              </w:rPr>
              <w:t>measure.</w:t>
            </w:r>
            <w:r w:rsidRPr="00B41A05">
              <w:rPr>
                <w:rFonts w:eastAsia="Times New Roman"/>
                <w:noProof/>
                <w:color w:val="004300"/>
                <w:sz w:val="18"/>
                <w:szCs w:val="18"/>
                <w:lang w:val="en-IE" w:eastAsia="en-GB"/>
              </w:rPr>
              <w:t xml:space="preserve"> The target shall be achieved upon 75% of projects with signed grant decisions (namely at least 24). Projects shall be submitted to the MIT within continuous call and evaluated based on the established criteria, following a transparent selection procedure. </w:t>
            </w:r>
          </w:p>
          <w:p w:rsidRPr="00FE48E2" w:rsidR="00D87E44" w:rsidRDefault="00D87E44" w14:paraId="15457CFA" w14:textId="77777777">
            <w:pPr>
              <w:spacing w:before="0" w:after="0" w:line="240" w:lineRule="auto"/>
              <w:rPr>
                <w:rFonts w:eastAsia="Times New Roman"/>
                <w:noProof/>
                <w:color w:val="004300"/>
                <w:sz w:val="18"/>
                <w:szCs w:val="18"/>
                <w:lang w:val="en-IE" w:eastAsia="en-GB"/>
              </w:rPr>
            </w:pPr>
            <w:bookmarkStart w:name="_Hlk198296970" w:id="9"/>
            <w:r w:rsidRPr="00B41A05">
              <w:rPr>
                <w:rFonts w:eastAsia="Times New Roman"/>
                <w:noProof/>
                <w:color w:val="004300"/>
                <w:sz w:val="18"/>
                <w:szCs w:val="18"/>
                <w:lang w:val="en-IE" w:eastAsia="en-GB"/>
              </w:rPr>
              <w:t>Only projects that achieve, on average, a reduction in primary energy consumption of at least 30 % or a reduction in CO2 emissions of 30 % shall be chosen for implementation</w:t>
            </w:r>
            <w:bookmarkEnd w:id="9"/>
            <w:r w:rsidRPr="00B41A05">
              <w:rPr>
                <w:rFonts w:eastAsia="Times New Roman"/>
                <w:noProof/>
                <w:color w:val="004300"/>
                <w:sz w:val="18"/>
                <w:szCs w:val="18"/>
                <w:lang w:val="en-IE" w:eastAsia="en-GB"/>
              </w:rPr>
              <w:t xml:space="preserve">. The 75 % target refers to projects with signed grant decisions. Investments </w:t>
            </w:r>
            <w:r w:rsidRPr="00FE48E2">
              <w:rPr>
                <w:rFonts w:eastAsia="Times New Roman"/>
                <w:noProof/>
                <w:color w:val="004300"/>
                <w:sz w:val="18"/>
                <w:szCs w:val="18"/>
                <w:lang w:val="en-IE" w:eastAsia="en-GB"/>
              </w:rPr>
              <w:t xml:space="preserve">into boiler replacements  </w:t>
            </w:r>
            <w:r w:rsidRPr="00B41A05">
              <w:rPr>
                <w:rFonts w:eastAsia="Times New Roman"/>
                <w:noProof/>
                <w:color w:val="004300"/>
                <w:sz w:val="18"/>
                <w:szCs w:val="18"/>
                <w:lang w:val="en-IE" w:eastAsia="en-GB"/>
              </w:rPr>
              <w:t>with natural gas as an energy source shall be limited to maximum 20 % of the overall allocation.</w:t>
            </w:r>
          </w:p>
        </w:tc>
      </w:tr>
      <w:tr w:rsidRPr="00FE48E2" w:rsidR="00E3458A" w14:paraId="15457D07"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104</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1: Improving the </w:t>
            </w:r>
            <w:r w:rsidRPr="476E5A7C">
              <w:rPr>
                <w:rFonts w:eastAsia="Times New Roman"/>
                <w:noProof/>
                <w:color w:val="004300"/>
                <w:sz w:val="18"/>
                <w:szCs w:val="18"/>
                <w:lang w:val="en-IE" w:eastAsia="en-GB"/>
              </w:rPr>
              <w:t>energy</w:t>
            </w:r>
            <w:r w:rsidRPr="00FE48E2">
              <w:rPr>
                <w:rFonts w:eastAsia="Times New Roman"/>
                <w:noProof/>
                <w:color w:val="004300"/>
                <w:sz w:val="18"/>
                <w:szCs w:val="18"/>
                <w:lang w:val="en-IE" w:eastAsia="en-GB"/>
              </w:rPr>
              <w:t xml:space="preserve"> performance of state buildings</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CFF"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Submission of Expert Opinion of the Energy Assessment or Energy Performance Certificate</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0"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1"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Expert Opinion of the Energy Assessment</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3" w14:textId="77777777">
            <w:pPr>
              <w:spacing w:before="0" w:after="0" w:line="240" w:lineRule="auto"/>
              <w:rPr>
                <w:rFonts w:eastAsia="Times New Roman"/>
                <w:noProof/>
                <w:color w:val="004300"/>
                <w:sz w:val="18"/>
                <w:szCs w:val="18"/>
                <w:lang w:val="en-IE" w:eastAsia="en-GB"/>
              </w:rPr>
            </w:pPr>
            <w:r w:rsidRPr="00DE73C8">
              <w:rPr>
                <w:rFonts w:eastAsia="Times New Roman"/>
                <w:noProof/>
                <w:color w:val="004300"/>
                <w:sz w:val="18"/>
                <w:szCs w:val="18"/>
                <w:lang w:val="en-IE" w:eastAsia="en-GB"/>
              </w:rPr>
              <w:t>22</w:t>
            </w: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2026</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The target shall be achieved upon</w:t>
            </w:r>
            <w:r>
              <w:rPr>
                <w:rFonts w:eastAsia="Times New Roman"/>
                <w:noProof/>
                <w:color w:val="004300"/>
                <w:sz w:val="18"/>
                <w:szCs w:val="18"/>
                <w:lang w:val="en-IE" w:eastAsia="en-GB"/>
              </w:rPr>
              <w:t xml:space="preserve"> submitting </w:t>
            </w:r>
            <w:r w:rsidRPr="00DE73C8">
              <w:rPr>
                <w:rFonts w:eastAsia="Times New Roman"/>
                <w:noProof/>
                <w:color w:val="004300"/>
                <w:sz w:val="18"/>
                <w:szCs w:val="18"/>
                <w:lang w:val="en-IE" w:eastAsia="en-GB"/>
              </w:rPr>
              <w:t>Expert Opinion of the Energy Assessment</w:t>
            </w:r>
            <w:r>
              <w:rPr>
                <w:rFonts w:eastAsia="Times New Roman"/>
                <w:noProof/>
                <w:color w:val="004300"/>
                <w:sz w:val="18"/>
                <w:szCs w:val="18"/>
                <w:lang w:val="en-IE" w:eastAsia="en-GB"/>
              </w:rPr>
              <w:t xml:space="preserve"> </w:t>
            </w:r>
            <w:r w:rsidRPr="00DE73C8">
              <w:rPr>
                <w:rFonts w:eastAsia="Times New Roman"/>
                <w:noProof/>
                <w:color w:val="004300"/>
                <w:sz w:val="18"/>
                <w:szCs w:val="18"/>
                <w:lang w:val="en-IE" w:eastAsia="en-GB"/>
              </w:rPr>
              <w:t xml:space="preserve">or Energy Performance Certificates </w:t>
            </w:r>
            <w:r>
              <w:rPr>
                <w:rFonts w:eastAsia="Times New Roman"/>
                <w:noProof/>
                <w:color w:val="004300"/>
                <w:sz w:val="18"/>
                <w:szCs w:val="18"/>
                <w:lang w:val="en-IE" w:eastAsia="en-GB"/>
              </w:rPr>
              <w:t xml:space="preserve">for at least </w:t>
            </w:r>
            <w:r w:rsidRPr="00DE73C8">
              <w:rPr>
                <w:rFonts w:eastAsia="Times New Roman"/>
                <w:noProof/>
                <w:color w:val="004300"/>
                <w:sz w:val="18"/>
                <w:szCs w:val="18"/>
                <w:lang w:val="en-IE" w:eastAsia="en-GB"/>
              </w:rPr>
              <w:t>22</w:t>
            </w:r>
            <w:r>
              <w:rPr>
                <w:rFonts w:eastAsia="Times New Roman"/>
                <w:noProof/>
                <w:color w:val="004300"/>
                <w:sz w:val="18"/>
                <w:szCs w:val="18"/>
                <w:lang w:val="en-IE" w:eastAsia="en-GB"/>
              </w:rPr>
              <w:t xml:space="preserve"> supported projects. </w:t>
            </w:r>
          </w:p>
        </w:tc>
      </w:tr>
      <w:tr w:rsidRPr="00FE48E2" w:rsidR="00E3458A" w14:paraId="15457D13"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8"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105</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Improving the energy performance of public lighting systems</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Adoption of programme documentation by the Ministry of Industry and Trade regarding </w:t>
            </w:r>
            <w:r w:rsidRPr="00FE48E2">
              <w:rPr>
                <w:rFonts w:eastAsia="Times New Roman"/>
                <w:noProof/>
                <w:color w:val="004300"/>
                <w:sz w:val="18"/>
                <w:szCs w:val="18"/>
                <w:lang w:val="en-IE" w:eastAsia="en-GB"/>
              </w:rPr>
              <w:t>measures to renovate public lighting systems</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Publication of the programme documentation on the Ministry’s website</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D"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E"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0F" w14:textId="77777777">
            <w:pPr>
              <w:spacing w:before="0" w:after="0" w:line="240" w:lineRule="auto"/>
              <w:rPr>
                <w:rFonts w:eastAsia="Times New Roman"/>
                <w:noProof/>
                <w:color w:val="004300"/>
                <w:sz w:val="18"/>
                <w:szCs w:val="18"/>
                <w:lang w:val="en-IE" w:eastAsia="en-GB"/>
              </w:rPr>
            </w:pP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2021</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2" w14:textId="77777777">
            <w:pPr>
              <w:spacing w:before="0" w:after="0" w:line="259"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Programme documentation is prepared by the Ministry of Industry and Trade and published on the Ministry’s website. It shall establish the timetable and the conditions for support of the measures to renovate public lighting systems, including the smart elements, in view of the objective of achieving at least 30% primary energy savings.</w:t>
            </w:r>
          </w:p>
        </w:tc>
      </w:tr>
      <w:tr w:rsidRPr="00FE48E2" w:rsidR="00E3458A" w14:paraId="15457D20"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4"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lastRenderedPageBreak/>
              <w:t>106</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Improving the energy performance of public lighting systems</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Grant decisions signed for 80% of projects  for renovation of public lighting </w:t>
            </w:r>
            <w:r w:rsidRPr="00B41A05">
              <w:rPr>
                <w:rFonts w:eastAsia="Times New Roman"/>
                <w:noProof/>
                <w:color w:val="004300"/>
                <w:sz w:val="18"/>
                <w:szCs w:val="18"/>
                <w:lang w:val="en-IE" w:eastAsia="en-GB"/>
              </w:rPr>
              <w:t>systems achieving at least 30 % primary energy savings</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8"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Percentage </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80</w:t>
            </w: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Q4 </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1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D1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 total at least 800 projects of renovation of public lighting systems shall be supported under this measure. The target shall be achieved upon signing grant </w:t>
            </w:r>
            <w:r w:rsidRPr="00B41A05">
              <w:rPr>
                <w:rFonts w:eastAsia="Times New Roman"/>
                <w:noProof/>
                <w:color w:val="004300"/>
                <w:sz w:val="18"/>
                <w:szCs w:val="18"/>
                <w:lang w:val="en-IE" w:eastAsia="en-GB"/>
              </w:rPr>
              <w:t>decisions for 80 % of them (namely 640) by 31 December 2024. Projects shall be evaluated and selected every year, based on the established criteria, following a transparent selection procedure.</w:t>
            </w:r>
          </w:p>
          <w:p w:rsidRPr="00FE48E2" w:rsidR="00D87E44" w:rsidRDefault="00D87E44" w14:paraId="15457D1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The 80 % target refers to projects with a grant decision signed.</w:t>
            </w:r>
          </w:p>
        </w:tc>
      </w:tr>
      <w:tr w:rsidRPr="00FE48E2" w:rsidR="00E3458A" w14:paraId="15457D2D" w14:textId="77777777">
        <w:trPr>
          <w:trHeight w:val="945"/>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107</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Improving the energy performance of public lighting systems</w:t>
            </w:r>
          </w:p>
          <w:p w:rsidRPr="00FE48E2" w:rsidR="00D87E44" w:rsidRDefault="00D87E44" w14:paraId="15457D23" w14:textId="77777777">
            <w:pPr>
              <w:spacing w:before="0" w:after="0" w:line="240" w:lineRule="auto"/>
              <w:rPr>
                <w:rFonts w:eastAsia="Times New Roman"/>
                <w:noProof/>
                <w:color w:val="004300"/>
                <w:sz w:val="18"/>
                <w:szCs w:val="18"/>
                <w:lang w:val="en-IE" w:eastAsia="en-GB"/>
              </w:rPr>
            </w:pP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5"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Submission of </w:t>
            </w:r>
            <w:r w:rsidRPr="009A1297">
              <w:rPr>
                <w:rFonts w:eastAsia="Times New Roman"/>
                <w:noProof/>
                <w:color w:val="004300"/>
                <w:sz w:val="18"/>
                <w:szCs w:val="18"/>
                <w:lang w:val="en-IE" w:eastAsia="en-GB"/>
              </w:rPr>
              <w:t>Expert Opinion of the Energy Assessment</w:t>
            </w:r>
            <w:r>
              <w:rPr>
                <w:rFonts w:eastAsia="Times New Roman"/>
                <w:noProof/>
                <w:color w:val="004300"/>
                <w:sz w:val="18"/>
                <w:szCs w:val="18"/>
                <w:lang w:val="en-IE" w:eastAsia="en-GB"/>
              </w:rPr>
              <w:t xml:space="preserve"> or Energy Performance Certificate</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6"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7" w14:textId="77777777">
            <w:pPr>
              <w:spacing w:before="0" w:after="0" w:line="240" w:lineRule="auto"/>
              <w:rPr>
                <w:rFonts w:eastAsia="Times New Roman"/>
                <w:noProof/>
                <w:color w:val="004300"/>
                <w:sz w:val="18"/>
                <w:szCs w:val="18"/>
                <w:lang w:val="en-IE" w:eastAsia="en-GB"/>
              </w:rPr>
            </w:pPr>
            <w:r w:rsidRPr="009A1297">
              <w:rPr>
                <w:rFonts w:eastAsia="Times New Roman"/>
                <w:noProof/>
                <w:color w:val="004300"/>
                <w:sz w:val="18"/>
                <w:szCs w:val="18"/>
                <w:lang w:val="en-IE" w:eastAsia="en-GB"/>
              </w:rPr>
              <w:t>Expert Opinion of the Energy Assessment</w:t>
            </w:r>
            <w:r>
              <w:rPr>
                <w:rFonts w:eastAsia="Times New Roman"/>
                <w:noProof/>
                <w:color w:val="004300"/>
                <w:sz w:val="18"/>
                <w:szCs w:val="18"/>
                <w:lang w:val="en-IE" w:eastAsia="en-GB"/>
              </w:rPr>
              <w:t xml:space="preserve"> </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9"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800</w:t>
            </w: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2026</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The target shall be achieved upon </w:t>
            </w:r>
            <w:r>
              <w:rPr>
                <w:rFonts w:eastAsia="Times New Roman"/>
                <w:noProof/>
                <w:color w:val="004300"/>
                <w:sz w:val="18"/>
                <w:szCs w:val="18"/>
                <w:lang w:val="en-IE" w:eastAsia="en-GB"/>
              </w:rPr>
              <w:t xml:space="preserve">submitting </w:t>
            </w:r>
            <w:r w:rsidRPr="00392911">
              <w:rPr>
                <w:rFonts w:eastAsia="Times New Roman"/>
                <w:noProof/>
                <w:color w:val="004300"/>
                <w:sz w:val="18"/>
                <w:szCs w:val="18"/>
                <w:lang w:val="en-IE" w:eastAsia="en-GB"/>
              </w:rPr>
              <w:t>Expert Opinion of the Energy Assessment</w:t>
            </w:r>
            <w:r>
              <w:rPr>
                <w:rFonts w:eastAsia="Times New Roman"/>
                <w:noProof/>
                <w:color w:val="004300"/>
                <w:sz w:val="18"/>
                <w:szCs w:val="18"/>
                <w:lang w:val="en-IE" w:eastAsia="en-GB"/>
              </w:rPr>
              <w:t xml:space="preserve"> or Energy Performance Certificates for at least 800 projects.</w:t>
            </w:r>
          </w:p>
        </w:tc>
      </w:tr>
      <w:tr w:rsidRPr="00FE48E2" w:rsidR="00E3458A" w14:paraId="15457D3A" w14:textId="77777777">
        <w:trPr>
          <w:trHeight w:val="337"/>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E" w14:textId="77777777">
            <w:pPr>
              <w:spacing w:before="0" w:after="0" w:line="240" w:lineRule="auto"/>
              <w:rPr>
                <w:rFonts w:eastAsia="Times New Roman"/>
                <w:noProof/>
                <w:color w:val="004300"/>
                <w:sz w:val="18"/>
                <w:szCs w:val="18"/>
                <w:lang w:val="en-IE" w:eastAsia="en-GB"/>
              </w:rPr>
            </w:pPr>
            <w:bookmarkStart w:name="_Hlk167256652" w:id="10"/>
            <w:r w:rsidRPr="008C7FAF">
              <w:rPr>
                <w:rFonts w:eastAsia="Times New Roman"/>
                <w:noProof/>
                <w:color w:val="004300"/>
                <w:sz w:val="18"/>
                <w:szCs w:val="18"/>
                <w:lang w:val="en-IE" w:eastAsia="en-GB"/>
              </w:rPr>
              <w:t>108</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2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3: Improving the energy performance of public buildings</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Award of 75 % of public contracts for building renovation projects achieving at least 30 % primary energy savings</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2"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Percentage </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75</w:t>
            </w: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D3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 total at least 220 building renovation projects shall be supported under this measure. The target shall be achieved by75 % of  of 220 projects with issued legal acts (i.e., at least 165 projects) by 31 December 2023. Projects shall be submitted to the State Environmental Fund within continuous call and evaluated based on the established criteria, following a transparent selection procedure. </w:t>
            </w:r>
          </w:p>
          <w:p w:rsidRPr="00B41A05" w:rsidR="00D87E44" w:rsidRDefault="00D87E44" w14:paraId="15457D3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Only projects that achieve, on average, a reduction in primary energy consumption of at least 30 % or a reduction in CO2 emissions of 30% shall be chosen for implementation. The 75 % target refers to projects with issued legal acts. Investments </w:t>
            </w:r>
            <w:r w:rsidRPr="00FE48E2">
              <w:rPr>
                <w:rFonts w:eastAsia="Times New Roman"/>
                <w:noProof/>
                <w:color w:val="004300"/>
                <w:sz w:val="18"/>
                <w:szCs w:val="18"/>
                <w:lang w:val="en-IE" w:eastAsia="en-GB"/>
              </w:rPr>
              <w:t xml:space="preserve">into boiler replacements including those </w:t>
            </w:r>
            <w:r w:rsidRPr="00B41A05">
              <w:rPr>
                <w:rFonts w:eastAsia="Times New Roman"/>
                <w:noProof/>
                <w:color w:val="004300"/>
                <w:sz w:val="18"/>
                <w:szCs w:val="18"/>
                <w:lang w:val="en-IE" w:eastAsia="en-GB"/>
              </w:rPr>
              <w:t xml:space="preserve">with natural gas as an energy source shall be limited to maximum 20 % of the overall allocation. </w:t>
            </w:r>
          </w:p>
        </w:tc>
      </w:tr>
      <w:bookmarkEnd w:id="10"/>
      <w:tr w:rsidRPr="00FE48E2" w:rsidR="00E3458A" w14:paraId="15457D46" w14:textId="77777777">
        <w:trPr>
          <w:trHeight w:val="578"/>
          <w:jc w:val="center"/>
        </w:trPr>
        <w:tc>
          <w:tcPr>
            <w:tcW w:w="7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109</w:t>
            </w:r>
          </w:p>
        </w:tc>
        <w:tc>
          <w:tcPr>
            <w:tcW w:w="126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3: Improving the energy performance of public buildings</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82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Reduction of energy consumption</w:t>
            </w:r>
          </w:p>
        </w:tc>
        <w:tc>
          <w:tcPr>
            <w:tcW w:w="140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3F" w14:textId="77777777">
            <w:pPr>
              <w:spacing w:before="0" w:after="0" w:line="240" w:lineRule="auto"/>
              <w:rPr>
                <w:rFonts w:eastAsia="Times New Roman"/>
                <w:noProof/>
                <w:color w:val="004300"/>
                <w:sz w:val="18"/>
                <w:szCs w:val="18"/>
                <w:lang w:val="en-IE" w:eastAsia="en-GB"/>
              </w:rPr>
            </w:pP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4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Energy savings in terajoules per year</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4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103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42" w14:textId="77777777">
            <w:pPr>
              <w:spacing w:before="0" w:after="0" w:line="240" w:lineRule="auto"/>
              <w:rPr>
                <w:rFonts w:eastAsia="Times New Roman"/>
                <w:noProof/>
                <w:color w:val="004300"/>
                <w:sz w:val="18"/>
                <w:szCs w:val="18"/>
                <w:lang w:val="en-IE" w:eastAsia="en-GB"/>
              </w:rPr>
            </w:pPr>
            <w:r w:rsidRPr="00392911">
              <w:rPr>
                <w:rFonts w:eastAsia="Times New Roman"/>
                <w:noProof/>
                <w:color w:val="004300"/>
                <w:sz w:val="18"/>
                <w:szCs w:val="18"/>
                <w:lang w:val="en-IE" w:eastAsia="en-GB"/>
              </w:rPr>
              <w:t>310</w:t>
            </w:r>
          </w:p>
        </w:tc>
        <w:tc>
          <w:tcPr>
            <w:tcW w:w="94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4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w:t>
            </w:r>
            <w:r>
              <w:rPr>
                <w:rFonts w:eastAsia="Times New Roman"/>
                <w:noProof/>
                <w:color w:val="004300"/>
                <w:sz w:val="18"/>
                <w:szCs w:val="18"/>
                <w:lang w:val="en-IE" w:eastAsia="en-GB"/>
              </w:rPr>
              <w:t>2</w:t>
            </w:r>
          </w:p>
        </w:tc>
        <w:tc>
          <w:tcPr>
            <w:tcW w:w="7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7D4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2026</w:t>
            </w:r>
          </w:p>
        </w:tc>
        <w:tc>
          <w:tcPr>
            <w:tcW w:w="42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7D4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The target shall be achieved upon reducing energy consumption in </w:t>
            </w:r>
            <w:r>
              <w:rPr>
                <w:rFonts w:eastAsia="Times New Roman"/>
                <w:noProof/>
                <w:color w:val="004300"/>
                <w:sz w:val="18"/>
                <w:szCs w:val="18"/>
                <w:lang w:val="en-IE" w:eastAsia="en-GB"/>
              </w:rPr>
              <w:t>public</w:t>
            </w:r>
            <w:r w:rsidRPr="00B41A05">
              <w:rPr>
                <w:rFonts w:eastAsia="Times New Roman"/>
                <w:noProof/>
                <w:color w:val="004300"/>
                <w:sz w:val="18"/>
                <w:szCs w:val="18"/>
                <w:lang w:val="en-IE" w:eastAsia="en-GB"/>
              </w:rPr>
              <w:t xml:space="preserve"> buildings by </w:t>
            </w:r>
            <w:r w:rsidRPr="008C7FAF">
              <w:rPr>
                <w:rFonts w:eastAsia="Times New Roman"/>
                <w:noProof/>
                <w:color w:val="004300"/>
                <w:sz w:val="18"/>
                <w:szCs w:val="18"/>
                <w:lang w:val="en-IE" w:eastAsia="en-GB"/>
              </w:rPr>
              <w:t>310 TJ /per year.</w:t>
            </w:r>
          </w:p>
        </w:tc>
      </w:tr>
    </w:tbl>
    <w:p w:rsidRPr="00FE48E2" w:rsidR="00D87E44" w:rsidP="00D226F4" w:rsidRDefault="00D87E44" w14:paraId="15457D47" w14:textId="77777777">
      <w:pPr>
        <w:pBdr>
          <w:top w:val="nil"/>
          <w:left w:val="nil"/>
          <w:bottom w:val="nil"/>
          <w:right w:val="nil"/>
          <w:between w:val="nil"/>
        </w:pBdr>
        <w:spacing w:line="240" w:lineRule="auto"/>
        <w:rPr>
          <w:noProof/>
          <w:color w:val="006100"/>
          <w:sz w:val="15"/>
          <w:szCs w:val="15"/>
          <w:lang w:val="en-IE"/>
        </w:rPr>
        <w:sectPr w:rsidRPr="00FE48E2" w:rsidR="00C16C1F" w:rsidSect="00D226F4">
          <w:headerReference w:type="even" r:id="R5535bc717d044e53"/>
          <w:headerReference w:type="default" r:id="R4f2aaabe39764f31"/>
          <w:footerReference w:type="even" r:id="Ra0332fbf84484df9"/>
          <w:footerReference w:type="default" r:id="R10da865fe7614802"/>
          <w:headerReference w:type="first" r:id="R2047305a5303484f"/>
          <w:footerReference w:type="first" r:id="R6d8ed6d868584a5d"/>
          <w:pgSz w:w="16839" w:h="11907" w:orient="landscape"/>
          <w:pgMar w:top="1134" w:right="1134" w:bottom="1134" w:left="1134" w:header="567" w:footer="567" w:gutter="0"/>
          <w:cols w:space="720"/>
          <w:docGrid w:linePitch="326"/>
        </w:sectPr>
      </w:pPr>
    </w:p>
    <w:p w:rsidRPr="00FE48E2" w:rsidR="00D87E44" w:rsidP="00D226F4" w:rsidRDefault="00D87E44" w14:paraId="15457D48" w14:textId="77777777">
      <w:pPr>
        <w:keepNext/>
        <w:tabs>
          <w:tab w:val="left" w:pos="850"/>
        </w:tabs>
        <w:spacing w:line="240" w:lineRule="auto"/>
        <w:jc w:val="both"/>
        <w:outlineLvl w:val="0"/>
        <w:rPr>
          <w:b/>
          <w:smallCaps/>
          <w:noProof/>
          <w:lang w:val="en-IE"/>
        </w:rPr>
      </w:pPr>
      <w:r w:rsidRPr="761A1205">
        <w:rPr>
          <w:b/>
          <w:bCs/>
          <w:smallCaps/>
          <w:noProof/>
          <w:lang w:val="en-IE"/>
        </w:rPr>
        <w:lastRenderedPageBreak/>
        <w:t>J</w:t>
      </w:r>
      <w:r w:rsidRPr="00FE48E2">
        <w:rPr>
          <w:b/>
          <w:smallCaps/>
          <w:noProof/>
          <w:lang w:val="en-IE"/>
        </w:rPr>
        <w:t xml:space="preserve">. COMPONENT 2.3: Transition to Cleaner Energy Sources </w:t>
      </w:r>
    </w:p>
    <w:p w:rsidRPr="00FE48E2" w:rsidR="00D87E44" w:rsidP="00D226F4" w:rsidRDefault="00D87E44" w14:paraId="15457D49"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This component of the Czech recovery and resilience plan contributes to addressing the challenge of moving from fossil fuels to low-emission and zero-emission energy sources such as photovoltaic energy. It aims at reducing the emission intensity of the Czech economy and emissions of pollutants, as well as at the modernisation of the distribution network of heat energy, in particular through the replacement of steam by hot water, leading to savings in primary energy sources.</w:t>
      </w:r>
    </w:p>
    <w:p w:rsidRPr="00FE48E2" w:rsidR="00D87E44" w:rsidP="00D226F4" w:rsidRDefault="00D87E44" w14:paraId="15457D4A" w14:textId="77777777">
      <w:pPr>
        <w:spacing w:line="240" w:lineRule="auto"/>
        <w:jc w:val="both"/>
        <w:rPr>
          <w:rFonts w:eastAsia="Times New Roman"/>
          <w:noProof/>
          <w:color w:val="000000"/>
          <w:szCs w:val="24"/>
          <w:lang w:val="en-IE" w:eastAsia="en-GB"/>
        </w:rPr>
      </w:pPr>
      <w:r w:rsidRPr="00FE48E2">
        <w:rPr>
          <w:rFonts w:eastAsia="Times New Roman"/>
          <w:noProof/>
          <w:szCs w:val="24"/>
          <w:lang w:val="en-IE" w:eastAsia="en-GB"/>
        </w:rPr>
        <w:t>The reforms and the investments support addressing c</w:t>
      </w:r>
      <w:r w:rsidRPr="00FE48E2">
        <w:rPr>
          <w:noProof/>
          <w:szCs w:val="24"/>
          <w:lang w:val="en-IE"/>
        </w:rPr>
        <w:t>ountry-specific recommendation</w:t>
      </w:r>
      <w:r w:rsidRPr="00FE48E2">
        <w:rPr>
          <w:rFonts w:eastAsia="Times New Roman"/>
          <w:noProof/>
          <w:szCs w:val="24"/>
          <w:lang w:val="en-IE" w:eastAsia="en-GB"/>
        </w:rPr>
        <w:t xml:space="preserve"> 3 2019, according to which Czechia shall focus investment-related economic policy on low carbon and energy transition, including energy efficiency, taking into account regional disparities and c</w:t>
      </w:r>
      <w:r w:rsidRPr="00FE48E2">
        <w:rPr>
          <w:noProof/>
          <w:szCs w:val="24"/>
          <w:lang w:val="en-IE"/>
        </w:rPr>
        <w:t xml:space="preserve">ountry-specific recommendation </w:t>
      </w:r>
      <w:r w:rsidRPr="00FE48E2">
        <w:rPr>
          <w:rFonts w:eastAsia="Times New Roman"/>
          <w:noProof/>
          <w:szCs w:val="24"/>
          <w:lang w:val="en-IE" w:eastAsia="en-GB"/>
        </w:rPr>
        <w:t>3 2020, according to which Czechia shall focus investment on the green and digital transition, in particular on clean and efficient production and use of energy, including in the coal regions</w:t>
      </w:r>
      <w:r w:rsidRPr="00FE48E2">
        <w:rPr>
          <w:rFonts w:eastAsia="Times New Roman"/>
          <w:noProof/>
          <w:color w:val="000000"/>
          <w:szCs w:val="24"/>
          <w:lang w:val="en-IE" w:eastAsia="en-GB"/>
        </w:rPr>
        <w:t>.</w:t>
      </w:r>
    </w:p>
    <w:p w:rsidRPr="007747A1" w:rsidR="00D87E44" w:rsidP="00D226F4" w:rsidRDefault="00D87E44" w14:paraId="15457D4B"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7D4C" w14:textId="77777777">
      <w:pPr>
        <w:spacing w:line="240" w:lineRule="auto"/>
        <w:jc w:val="both"/>
        <w:rPr>
          <w:rFonts w:eastAsia="Times New Roman"/>
          <w:i/>
          <w:noProof/>
          <w:color w:val="000000"/>
          <w:szCs w:val="24"/>
          <w:lang w:val="en-IE" w:eastAsia="en-GB"/>
        </w:rPr>
      </w:pPr>
    </w:p>
    <w:p w:rsidRPr="00FE48E2" w:rsidR="00D87E44" w:rsidP="00D226F4" w:rsidRDefault="00D87E44" w14:paraId="15457D4D" w14:textId="77777777">
      <w:pPr>
        <w:spacing w:line="240" w:lineRule="auto"/>
        <w:jc w:val="both"/>
        <w:rPr>
          <w:rFonts w:eastAsia="Times New Roman"/>
          <w:b/>
          <w:bCs/>
          <w:i/>
          <w:iCs/>
          <w:noProof/>
          <w:color w:val="4F81BD"/>
          <w:lang w:val="en-IE" w:eastAsia="en-GB"/>
        </w:rPr>
      </w:pPr>
      <w:r w:rsidRPr="1098CA09">
        <w:rPr>
          <w:rFonts w:eastAsia="Times New Roman"/>
          <w:b/>
          <w:bCs/>
          <w:noProof/>
          <w:u w:val="single"/>
          <w:lang w:val="en-IE" w:eastAsia="en-GB"/>
        </w:rPr>
        <w:t>J.1. Description of the reforms and investments for non-repayable financial support</w:t>
      </w:r>
    </w:p>
    <w:p w:rsidRPr="00FE48E2" w:rsidR="00D87E44" w:rsidP="00D226F4" w:rsidRDefault="00D87E44" w14:paraId="15457D4E" w14:textId="77777777">
      <w:pPr>
        <w:spacing w:line="240" w:lineRule="auto"/>
        <w:jc w:val="both"/>
        <w:rPr>
          <w:rFonts w:eastAsia="Times New Roman"/>
          <w:b/>
          <w:noProof/>
          <w:lang w:val="en-IE" w:eastAsia="en-GB"/>
        </w:rPr>
      </w:pPr>
      <w:r w:rsidRPr="008C7FAF">
        <w:rPr>
          <w:rFonts w:eastAsia="Times New Roman"/>
          <w:b/>
          <w:noProof/>
          <w:lang w:val="en-IE" w:eastAsia="en-GB"/>
        </w:rPr>
        <w:t>Reform 1: Modernisation of distribution of heat in district heating systems</w:t>
      </w:r>
      <w:r w:rsidRPr="00FE48E2">
        <w:rPr>
          <w:rFonts w:eastAsia="Times New Roman"/>
          <w:b/>
          <w:noProof/>
          <w:lang w:val="en-IE" w:eastAsia="en-GB"/>
        </w:rPr>
        <w:t xml:space="preserve"> </w:t>
      </w:r>
    </w:p>
    <w:p w:rsidRPr="00FE48E2" w:rsidR="00D87E44" w:rsidP="00D226F4" w:rsidRDefault="00D87E44" w14:paraId="15457D4F" w14:textId="77777777">
      <w:pPr>
        <w:spacing w:line="259" w:lineRule="auto"/>
        <w:jc w:val="both"/>
        <w:rPr>
          <w:rFonts w:ascii="Calibri" w:hAnsi="Calibri"/>
          <w:noProof/>
          <w:szCs w:val="24"/>
          <w:lang w:val="en-IE"/>
        </w:rPr>
      </w:pPr>
      <w:r w:rsidRPr="00FE48E2">
        <w:rPr>
          <w:rFonts w:eastAsia="Times New Roman"/>
          <w:noProof/>
          <w:color w:val="000000"/>
          <w:szCs w:val="24"/>
          <w:lang w:val="en-IE"/>
        </w:rPr>
        <w:t xml:space="preserve">This measure aims at decarbonising district heating, in particular by increasing energy efficiency, switching from coal combustion to renewable energy sources, the combustion of natural gas, biomass and waste, and decreasing greenhouse gas emissions and pollutants. </w:t>
      </w:r>
    </w:p>
    <w:p w:rsidRPr="00FE48E2" w:rsidR="00D87E44" w:rsidP="00D226F4" w:rsidRDefault="00D87E44" w14:paraId="15457D50" w14:textId="77777777">
      <w:pPr>
        <w:spacing w:line="259" w:lineRule="auto"/>
        <w:jc w:val="both"/>
        <w:rPr>
          <w:rFonts w:ascii="Calibri" w:hAnsi="Calibri"/>
          <w:noProof/>
          <w:szCs w:val="24"/>
          <w:lang w:val="en-IE"/>
        </w:rPr>
      </w:pPr>
      <w:r w:rsidRPr="00FE48E2">
        <w:rPr>
          <w:rFonts w:eastAsia="Times New Roman"/>
          <w:noProof/>
          <w:color w:val="000000"/>
          <w:szCs w:val="24"/>
          <w:lang w:val="en-IE"/>
        </w:rPr>
        <w:t>An assessment of the path towards decarbonisation of district heating in Czechia shall be carried out and published. This assessment shall guide the investments financed under this component of the Czech recovery and resilience plan.</w:t>
      </w:r>
    </w:p>
    <w:p w:rsidRPr="00FE48E2" w:rsidR="00D87E44" w:rsidP="00D226F4" w:rsidRDefault="00D87E44" w14:paraId="15457D51" w14:textId="77777777">
      <w:pPr>
        <w:spacing w:line="259" w:lineRule="auto"/>
        <w:jc w:val="both"/>
        <w:rPr>
          <w:rFonts w:eastAsia="Times New Roman"/>
          <w:noProof/>
          <w:szCs w:val="24"/>
          <w:lang w:val="en-IE" w:eastAsia="en-GB"/>
        </w:rPr>
      </w:pPr>
      <w:r w:rsidRPr="00FE48E2">
        <w:rPr>
          <w:rFonts w:eastAsia="Times New Roman"/>
          <w:noProof/>
          <w:color w:val="000000" w:themeColor="text1"/>
          <w:lang w:val="en-IE"/>
        </w:rPr>
        <w:t>The reform shall be implemented by 31 December 2023.</w:t>
      </w:r>
    </w:p>
    <w:p w:rsidRPr="00FE48E2" w:rsidR="00D87E44" w:rsidP="00D226F4" w:rsidRDefault="00D87E44" w14:paraId="15457D52" w14:textId="77777777">
      <w:pPr>
        <w:spacing w:line="240" w:lineRule="auto"/>
        <w:jc w:val="both"/>
        <w:rPr>
          <w:rFonts w:eastAsia="Times New Roman"/>
          <w:b/>
          <w:noProof/>
          <w:lang w:val="en-IE" w:eastAsia="en-GB"/>
        </w:rPr>
      </w:pPr>
      <w:r w:rsidRPr="008C7FAF">
        <w:rPr>
          <w:rFonts w:eastAsia="Times New Roman"/>
          <w:b/>
          <w:noProof/>
          <w:lang w:val="en-IE" w:eastAsia="en-GB"/>
        </w:rPr>
        <w:t>Reform 2: Modernisation of distribution of heat in district heating systems</w:t>
      </w:r>
    </w:p>
    <w:p w:rsidRPr="00FE48E2" w:rsidR="00D87E44" w:rsidP="00D226F4" w:rsidRDefault="00D87E44" w14:paraId="15457D53"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This measure</w:t>
      </w:r>
      <w:r w:rsidRPr="00FE48E2">
        <w:rPr>
          <w:rFonts w:eastAsia="Times New Roman"/>
          <w:b/>
          <w:noProof/>
          <w:szCs w:val="24"/>
          <w:lang w:val="en-IE" w:eastAsia="en-GB"/>
        </w:rPr>
        <w:t xml:space="preserve"> </w:t>
      </w:r>
      <w:r w:rsidRPr="00FE48E2">
        <w:rPr>
          <w:rFonts w:eastAsia="Times New Roman"/>
          <w:noProof/>
          <w:szCs w:val="24"/>
          <w:lang w:val="en-IE" w:eastAsia="en-GB"/>
        </w:rPr>
        <w:t>aims at promoting biomass investment based</w:t>
      </w:r>
      <w:r w:rsidRPr="00FE48E2">
        <w:rPr>
          <w:rFonts w:eastAsia="Times New Roman"/>
          <w:b/>
          <w:noProof/>
          <w:szCs w:val="24"/>
          <w:lang w:val="en-IE" w:eastAsia="en-GB"/>
        </w:rPr>
        <w:t xml:space="preserve"> </w:t>
      </w:r>
      <w:r w:rsidRPr="00FE48E2">
        <w:rPr>
          <w:rFonts w:eastAsia="Times New Roman"/>
          <w:noProof/>
          <w:szCs w:val="24"/>
          <w:lang w:val="en-IE" w:eastAsia="en-GB"/>
        </w:rPr>
        <w:t xml:space="preserve">on biomass waste and residues that can be extracted in a sustainable manner, with accompanying emission-reducing measures. </w:t>
      </w:r>
    </w:p>
    <w:p w:rsidRPr="00FE48E2" w:rsidR="00D87E44" w:rsidP="00D226F4" w:rsidRDefault="00D87E44" w14:paraId="15457D54" w14:textId="77777777">
      <w:pPr>
        <w:spacing w:line="259" w:lineRule="auto"/>
        <w:jc w:val="both"/>
        <w:rPr>
          <w:rFonts w:eastAsia="Times New Roman"/>
          <w:noProof/>
          <w:szCs w:val="24"/>
          <w:lang w:val="en-IE" w:eastAsia="en-GB"/>
        </w:rPr>
      </w:pPr>
      <w:r w:rsidRPr="00FE48E2">
        <w:rPr>
          <w:rFonts w:eastAsia="Times New Roman"/>
          <w:noProof/>
          <w:szCs w:val="24"/>
          <w:lang w:val="en-IE" w:eastAsia="en-GB"/>
        </w:rPr>
        <w:t>An assessment of the trajectories of sustainable use of bioenergy and supply of biomass in Czechia and its impacts on Land Use, Land-Use Change and Forestry sinks and biodiversity as well as its impact on air quality for the period 2020-2030 shall be published. This assessment shall guide bioenergy investments financed under components 2.2, 2.3 and 2.5 of the Czech recovery and resilience plan.</w:t>
      </w:r>
    </w:p>
    <w:p w:rsidRPr="00FE48E2" w:rsidR="00D87E44" w:rsidP="00D226F4" w:rsidRDefault="00D87E44" w14:paraId="15457D55" w14:textId="77777777">
      <w:pPr>
        <w:spacing w:line="259" w:lineRule="auto"/>
        <w:jc w:val="both"/>
        <w:rPr>
          <w:rFonts w:eastAsia="Times New Roman"/>
          <w:noProof/>
          <w:lang w:val="en-IE" w:eastAsia="en-GB"/>
        </w:rPr>
      </w:pPr>
      <w:r w:rsidRPr="00FE48E2">
        <w:rPr>
          <w:rFonts w:eastAsia="Times New Roman"/>
          <w:noProof/>
          <w:lang w:val="en-IE" w:eastAsia="en-GB"/>
        </w:rPr>
        <w:t xml:space="preserve">The reform shall be </w:t>
      </w:r>
      <w:r w:rsidRPr="00FE48E2">
        <w:rPr>
          <w:rFonts w:eastAsia="Times New Roman"/>
          <w:noProof/>
          <w:color w:val="000000" w:themeColor="text1"/>
          <w:lang w:val="en-IE"/>
        </w:rPr>
        <w:t>implemented</w:t>
      </w:r>
      <w:r w:rsidRPr="00FE48E2">
        <w:rPr>
          <w:rFonts w:eastAsia="Times New Roman"/>
          <w:noProof/>
          <w:lang w:val="en-IE" w:eastAsia="en-GB"/>
        </w:rPr>
        <w:t xml:space="preserve"> by 31 December 2023.</w:t>
      </w:r>
      <w:r w:rsidRPr="00FE48E2">
        <w:rPr>
          <w:rFonts w:eastAsia="Times New Roman"/>
          <w:b/>
          <w:noProof/>
          <w:lang w:val="en-IE" w:eastAsia="en-GB"/>
        </w:rPr>
        <w:t xml:space="preserve"> </w:t>
      </w:r>
    </w:p>
    <w:p w:rsidRPr="00FE48E2" w:rsidR="00D87E44" w:rsidP="00D226F4" w:rsidRDefault="00D87E44" w14:paraId="15457D56" w14:textId="77777777">
      <w:pPr>
        <w:spacing w:line="259" w:lineRule="auto"/>
        <w:jc w:val="both"/>
        <w:rPr>
          <w:rFonts w:eastAsia="Times New Roman"/>
          <w:noProof/>
          <w:szCs w:val="24"/>
          <w:lang w:val="en-IE" w:eastAsia="en-GB"/>
        </w:rPr>
      </w:pPr>
      <w:r w:rsidRPr="00FE48E2">
        <w:rPr>
          <w:rFonts w:eastAsia="Times New Roman"/>
          <w:b/>
          <w:noProof/>
          <w:sz w:val="22"/>
          <w:lang w:val="en-IE" w:eastAsia="en-GB"/>
        </w:rPr>
        <w:br w:type="page"/>
      </w:r>
      <w:r w:rsidRPr="008C7FAF">
        <w:rPr>
          <w:rFonts w:eastAsia="Times New Roman"/>
          <w:b/>
          <w:noProof/>
          <w:szCs w:val="24"/>
          <w:lang w:val="en-IE" w:eastAsia="en-GB"/>
        </w:rPr>
        <w:lastRenderedPageBreak/>
        <w:t>Investment 1: Development of new photovoltaic energy sources</w:t>
      </w:r>
      <w:r w:rsidRPr="00FE48E2">
        <w:rPr>
          <w:rFonts w:eastAsia="Times New Roman"/>
          <w:noProof/>
          <w:szCs w:val="24"/>
          <w:lang w:val="en-IE" w:eastAsia="en-GB"/>
        </w:rPr>
        <w:t xml:space="preserve"> </w:t>
      </w:r>
    </w:p>
    <w:p w:rsidRPr="00FE48E2" w:rsidR="00D87E44" w:rsidP="00D226F4" w:rsidRDefault="00D87E44" w14:paraId="15457D57"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This measure aims at replacing at least a part of the coal-fired energy sources by sources of photovoltaic energy. </w:t>
      </w:r>
    </w:p>
    <w:p w:rsidRPr="00FE48E2" w:rsidR="00D87E44" w:rsidP="00D226F4" w:rsidRDefault="00D87E44" w14:paraId="15457D58" w14:textId="77777777">
      <w:pPr>
        <w:pBdr>
          <w:top w:val="nil"/>
          <w:left w:val="nil"/>
          <w:bottom w:val="nil"/>
          <w:right w:val="nil"/>
          <w:between w:val="nil"/>
        </w:pBdr>
        <w:spacing w:line="240" w:lineRule="auto"/>
        <w:jc w:val="both"/>
        <w:rPr>
          <w:rFonts w:eastAsia="Times New Roman"/>
          <w:noProof/>
          <w:color w:val="000000"/>
          <w:lang w:val="en-IE"/>
        </w:rPr>
      </w:pPr>
      <w:r w:rsidRPr="10248DD1">
        <w:rPr>
          <w:rFonts w:eastAsia="Times New Roman"/>
          <w:noProof/>
          <w:color w:val="000000" w:themeColor="text1"/>
          <w:lang w:val="en-IE"/>
        </w:rPr>
        <w:t xml:space="preserve">New </w:t>
      </w:r>
      <w:r w:rsidRPr="10248DD1">
        <w:rPr>
          <w:rFonts w:eastAsia="Times New Roman"/>
          <w:noProof/>
          <w:color w:val="000000" w:themeColor="text1"/>
          <w:lang w:val="en-IE"/>
        </w:rPr>
        <w:t>capacity of sources of photovoltaic energy of 270 MWp shall be installed and put into operation. Projects shall include the construction of photovoltaic power plants on the roofs of companies’ buildings including shelters (</w:t>
      </w:r>
      <w:r>
        <w:rPr>
          <w:rFonts w:eastAsia="Times New Roman"/>
          <w:noProof/>
          <w:color w:val="000000" w:themeColor="text1"/>
          <w:lang w:val="en-IE"/>
        </w:rPr>
        <w:t>which may include but is not limited to</w:t>
      </w:r>
      <w:r w:rsidRPr="10248DD1">
        <w:rPr>
          <w:rFonts w:eastAsia="Times New Roman"/>
          <w:noProof/>
          <w:color w:val="000000" w:themeColor="text1"/>
          <w:lang w:val="en-IE"/>
        </w:rPr>
        <w:t xml:space="preserve"> shelters for cars, construction machines or storage of material</w:t>
      </w:r>
      <w:r w:rsidRPr="15DC4BCE">
        <w:rPr>
          <w:rFonts w:eastAsia="Times New Roman"/>
          <w:noProof/>
          <w:color w:val="000000" w:themeColor="text1"/>
          <w:lang w:val="en-IE"/>
        </w:rPr>
        <w:t>). Accumulation of energy may also be supported</w:t>
      </w:r>
      <w:r w:rsidRPr="10248DD1">
        <w:rPr>
          <w:rFonts w:eastAsia="Times New Roman"/>
          <w:noProof/>
          <w:color w:val="000000" w:themeColor="text1"/>
          <w:lang w:val="en-IE"/>
        </w:rPr>
        <w:t xml:space="preserve">. </w:t>
      </w:r>
    </w:p>
    <w:p w:rsidRPr="00FE48E2" w:rsidR="00D87E44" w:rsidP="00D226F4" w:rsidRDefault="00D87E44" w14:paraId="15457D59" w14:textId="77777777">
      <w:pPr>
        <w:pBdr>
          <w:top w:val="nil"/>
          <w:left w:val="nil"/>
          <w:bottom w:val="nil"/>
          <w:right w:val="nil"/>
          <w:between w:val="nil"/>
        </w:pBdr>
        <w:spacing w:line="240" w:lineRule="auto"/>
        <w:jc w:val="both"/>
        <w:rPr>
          <w:rFonts w:eastAsia="Times New Roman"/>
          <w:noProof/>
          <w:color w:val="000000"/>
          <w:lang w:val="en-IE"/>
        </w:rPr>
      </w:pPr>
      <w:r w:rsidRPr="007F7E74">
        <w:rPr>
          <w:noProof/>
          <w:color w:val="000000" w:themeColor="text1"/>
          <w:lang w:val="en-IE"/>
        </w:rPr>
        <w:t xml:space="preserve">This investment shall be implemented by 31 </w:t>
      </w:r>
      <w:r w:rsidRPr="0A4DE686">
        <w:rPr>
          <w:rFonts w:eastAsia="Times New Roman"/>
          <w:noProof/>
          <w:color w:val="000000" w:themeColor="text1"/>
          <w:lang w:val="en-IE"/>
        </w:rPr>
        <w:t xml:space="preserve">December </w:t>
      </w:r>
      <w:r w:rsidRPr="007F7E74">
        <w:rPr>
          <w:noProof/>
          <w:color w:val="000000" w:themeColor="text1"/>
          <w:lang w:val="en-IE"/>
        </w:rPr>
        <w:t>202</w:t>
      </w:r>
      <w:r w:rsidRPr="0A4DE686">
        <w:rPr>
          <w:rFonts w:eastAsia="Times New Roman"/>
          <w:noProof/>
          <w:color w:val="000000" w:themeColor="text1"/>
          <w:lang w:val="en-IE"/>
        </w:rPr>
        <w:t>4</w:t>
      </w:r>
      <w:r w:rsidRPr="007F7E74">
        <w:rPr>
          <w:noProof/>
          <w:color w:val="000000" w:themeColor="text1"/>
          <w:lang w:val="en-IE"/>
        </w:rPr>
        <w:t>.</w:t>
      </w:r>
    </w:p>
    <w:p w:rsidRPr="00FE48E2" w:rsidR="00D87E44" w:rsidP="00D226F4" w:rsidRDefault="00D87E44" w14:paraId="15457D5A" w14:textId="77777777">
      <w:pPr>
        <w:jc w:val="both"/>
        <w:rPr>
          <w:rFonts w:eastAsia="Times New Roman"/>
          <w:b/>
          <w:noProof/>
          <w:szCs w:val="24"/>
          <w:lang w:val="en-IE" w:eastAsia="en-GB"/>
        </w:rPr>
      </w:pPr>
      <w:r w:rsidRPr="00FE48E2">
        <w:rPr>
          <w:rFonts w:eastAsia="Times New Roman"/>
          <w:b/>
          <w:noProof/>
          <w:szCs w:val="24"/>
          <w:lang w:val="en-IE" w:eastAsia="en-GB"/>
        </w:rPr>
        <w:t>Investment 2: Modernisation of distribution of heat in district heating systems</w:t>
      </w:r>
    </w:p>
    <w:p w:rsidRPr="00FE48E2" w:rsidR="00D87E44" w:rsidP="00D226F4" w:rsidRDefault="00D87E44" w14:paraId="15457D5B" w14:textId="77777777">
      <w:pPr>
        <w:spacing w:line="240" w:lineRule="auto"/>
        <w:jc w:val="both"/>
        <w:rPr>
          <w:rFonts w:eastAsia="Times New Roman"/>
          <w:noProof/>
          <w:lang w:val="en-IE" w:eastAsia="en-GB"/>
        </w:rPr>
      </w:pPr>
      <w:r w:rsidRPr="0DE284EA">
        <w:rPr>
          <w:rFonts w:eastAsia="Times New Roman"/>
          <w:noProof/>
          <w:lang w:val="en-IE" w:eastAsia="en-GB"/>
        </w:rPr>
        <w:t>The objective of the measure is to sup</w:t>
      </w:r>
      <w:r w:rsidRPr="0DE284EA">
        <w:rPr>
          <w:rFonts w:eastAsia="Times New Roman"/>
          <w:noProof/>
          <w:szCs w:val="24"/>
          <w:lang w:val="en-IE"/>
        </w:rPr>
        <w:t xml:space="preserve">port the transition to a cleaner, more efficient district heating system that aligns with Czechia’s broader decarbonisation and climate goals. </w:t>
      </w:r>
    </w:p>
    <w:p w:rsidRPr="00FE48E2" w:rsidR="00D87E44" w:rsidP="00D226F4" w:rsidRDefault="00D87E44" w14:paraId="15457D5C" w14:textId="77777777">
      <w:pPr>
        <w:spacing w:line="240" w:lineRule="auto"/>
        <w:jc w:val="both"/>
        <w:rPr>
          <w:rFonts w:eastAsia="Times New Roman"/>
          <w:noProof/>
          <w:lang w:val="en-IE" w:eastAsia="en-GB"/>
        </w:rPr>
      </w:pPr>
      <w:r w:rsidRPr="35A1111F">
        <w:rPr>
          <w:rFonts w:eastAsia="Times New Roman"/>
          <w:noProof/>
          <w:lang w:val="en-IE" w:eastAsia="en-GB"/>
        </w:rPr>
        <w:t xml:space="preserve">The investment </w:t>
      </w:r>
      <w:r w:rsidRPr="4F512F7C">
        <w:rPr>
          <w:rFonts w:eastAsia="Times New Roman"/>
          <w:noProof/>
          <w:lang w:val="en-IE" w:eastAsia="en-GB"/>
        </w:rPr>
        <w:t>consists</w:t>
      </w:r>
      <w:r w:rsidRPr="35A1111F">
        <w:rPr>
          <w:rFonts w:eastAsia="Times New Roman"/>
          <w:noProof/>
          <w:lang w:val="en-IE" w:eastAsia="en-GB"/>
        </w:rPr>
        <w:t xml:space="preserve"> of the following measures:</w:t>
      </w:r>
    </w:p>
    <w:p w:rsidRPr="00FE48E2" w:rsidR="00D87E44" w:rsidP="00D226F4" w:rsidRDefault="00D87E44" w14:paraId="15457D5D" w14:textId="77777777">
      <w:pPr>
        <w:numPr>
          <w:ilvl w:val="0"/>
          <w:numId w:val="48"/>
        </w:numPr>
        <w:spacing w:line="240" w:lineRule="auto"/>
        <w:ind w:left="360"/>
        <w:jc w:val="both"/>
        <w:rPr>
          <w:rFonts w:eastAsia="Times New Roman"/>
          <w:noProof/>
          <w:szCs w:val="24"/>
          <w:lang w:val="en-IE" w:eastAsia="en-GB"/>
        </w:rPr>
      </w:pPr>
      <w:r>
        <w:rPr>
          <w:rFonts w:eastAsia="Times New Roman"/>
          <w:noProof/>
          <w:szCs w:val="24"/>
          <w:lang w:val="en-IE" w:eastAsia="en-GB"/>
        </w:rPr>
        <w:t xml:space="preserve">A </w:t>
      </w:r>
      <w:r w:rsidRPr="00FE48E2">
        <w:rPr>
          <w:rFonts w:eastAsia="Times New Roman"/>
          <w:noProof/>
          <w:szCs w:val="24"/>
          <w:lang w:val="en-IE" w:eastAsia="en-GB"/>
        </w:rPr>
        <w:t>concrete plan for investment in heat and power generation facilities.</w:t>
      </w:r>
    </w:p>
    <w:p w:rsidRPr="00FE48E2" w:rsidR="00D87E44" w:rsidP="00D226F4" w:rsidRDefault="00D87E44" w14:paraId="15457D5E" w14:textId="77777777">
      <w:pPr>
        <w:numPr>
          <w:ilvl w:val="0"/>
          <w:numId w:val="48"/>
        </w:numPr>
        <w:spacing w:line="240" w:lineRule="auto"/>
        <w:ind w:left="360"/>
        <w:jc w:val="both"/>
        <w:rPr>
          <w:rFonts w:eastAsia="Times New Roman"/>
          <w:noProof/>
          <w:lang w:val="en-IE" w:eastAsia="en-GB"/>
        </w:rPr>
      </w:pPr>
      <w:r w:rsidRPr="7D334136">
        <w:rPr>
          <w:rFonts w:eastAsia="Times New Roman"/>
          <w:noProof/>
          <w:lang w:val="en-IE" w:eastAsia="en-GB"/>
        </w:rPr>
        <w:t xml:space="preserve">Achieving </w:t>
      </w:r>
      <w:r>
        <w:rPr>
          <w:rFonts w:eastAsia="Times New Roman"/>
          <w:noProof/>
          <w:lang w:val="en-IE" w:eastAsia="en-GB"/>
        </w:rPr>
        <w:t xml:space="preserve">estimated </w:t>
      </w:r>
      <w:r w:rsidRPr="7D334136">
        <w:rPr>
          <w:rFonts w:eastAsia="Times New Roman"/>
          <w:noProof/>
          <w:lang w:val="en-IE" w:eastAsia="en-GB"/>
        </w:rPr>
        <w:t>primary energy savings of 245 327 GJ resulting from the moderni</w:t>
      </w:r>
      <w:r>
        <w:rPr>
          <w:rFonts w:eastAsia="Times New Roman"/>
          <w:noProof/>
          <w:lang w:val="en-IE" w:eastAsia="en-GB"/>
        </w:rPr>
        <w:t>s</w:t>
      </w:r>
      <w:r w:rsidRPr="7D334136">
        <w:rPr>
          <w:rFonts w:eastAsia="Times New Roman"/>
          <w:noProof/>
          <w:lang w:val="en-IE" w:eastAsia="en-GB"/>
        </w:rPr>
        <w:t>ation of heat distribution networks.</w:t>
      </w:r>
    </w:p>
    <w:p w:rsidRPr="00FE48E2" w:rsidR="00D87E44" w:rsidP="00D226F4" w:rsidRDefault="00D87E44" w14:paraId="15457D5F" w14:textId="77777777">
      <w:pPr>
        <w:spacing w:before="0" w:after="160" w:line="259" w:lineRule="auto"/>
        <w:jc w:val="both"/>
        <w:rPr>
          <w:rFonts w:eastAsia="Times New Roman"/>
          <w:noProof/>
          <w:szCs w:val="24"/>
          <w:lang w:val="en-IE" w:eastAsia="en-GB"/>
        </w:rPr>
        <w:sectPr w:rsidRPr="00FE48E2" w:rsidR="00C16C1F" w:rsidSect="00D226F4">
          <w:headerReference w:type="even" r:id="Rca539ab2aa2d481d"/>
          <w:headerReference w:type="default" r:id="Rb47fe49d6ce642b8"/>
          <w:footerReference w:type="even" r:id="R7f08e3aeac284a18"/>
          <w:footerReference w:type="default" r:id="R18ad2f133e094d83"/>
          <w:headerReference w:type="first" r:id="R0b47ccf80dc1484f"/>
          <w:footerReference w:type="first" r:id="R7502639f338a4513"/>
          <w:pgSz w:w="11907" w:h="16839"/>
          <w:pgMar w:top="1134" w:right="1134" w:bottom="1134" w:left="1134" w:header="567" w:footer="567" w:gutter="0"/>
          <w:cols w:space="720"/>
          <w:docGrid w:linePitch="326"/>
        </w:sectPr>
      </w:pPr>
    </w:p>
    <w:p w:rsidRPr="00FE48E2" w:rsidR="00D87E44" w:rsidP="00D226F4" w:rsidRDefault="00D87E44" w14:paraId="15457D60" w14:textId="77777777">
      <w:pPr>
        <w:pBdr>
          <w:top w:val="nil"/>
          <w:left w:val="nil"/>
          <w:bottom w:val="nil"/>
          <w:right w:val="nil"/>
          <w:between w:val="nil"/>
        </w:pBdr>
        <w:tabs>
          <w:tab w:val="left" w:pos="993"/>
        </w:tabs>
        <w:spacing w:line="240" w:lineRule="auto"/>
        <w:jc w:val="both"/>
        <w:rPr>
          <w:rFonts w:eastAsia="Times New Roman"/>
          <w:noProof/>
          <w:color w:val="000000"/>
          <w:lang w:val="en-IE" w:eastAsia="en-GB"/>
        </w:rPr>
      </w:pPr>
      <w:r w:rsidRPr="1098CA09">
        <w:rPr>
          <w:rFonts w:eastAsia="Times New Roman"/>
          <w:b/>
          <w:bCs/>
          <w:noProof/>
          <w:color w:val="000000" w:themeColor="text1"/>
          <w:u w:val="single"/>
          <w:lang w:val="en-IE" w:eastAsia="en-GB"/>
        </w:rPr>
        <w:lastRenderedPageBreak/>
        <w:t xml:space="preserve">J.2. Milestones, targets, indicators, and timetable for monitoring and implementation for non-repayable financial support </w:t>
      </w:r>
    </w:p>
    <w:tbl>
      <w:tblPr>
        <w:tblW w:w="15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276"/>
        <w:gridCol w:w="992"/>
        <w:gridCol w:w="1559"/>
        <w:gridCol w:w="1134"/>
        <w:gridCol w:w="1362"/>
        <w:gridCol w:w="906"/>
        <w:gridCol w:w="993"/>
        <w:gridCol w:w="850"/>
        <w:gridCol w:w="731"/>
        <w:gridCol w:w="5087"/>
      </w:tblGrid>
      <w:tr w:rsidRPr="00FE48E2" w:rsidR="00E3458A" w:rsidTr="009F3A8B" w14:paraId="15457D69" w14:textId="77777777">
        <w:trPr>
          <w:trHeight w:val="75"/>
          <w:tblHeader/>
          <w:jc w:val="center"/>
        </w:trPr>
        <w:tc>
          <w:tcPr>
            <w:tcW w:w="704" w:type="dxa"/>
            <w:vMerge w:val="restart"/>
            <w:shd w:val="clear" w:color="auto" w:fill="BDD7EE"/>
            <w:vAlign w:val="center"/>
          </w:tcPr>
          <w:p w:rsidRPr="00FE48E2" w:rsidR="00D87E44" w:rsidRDefault="00D87E44" w14:paraId="15457D61"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Seq. Num.</w:t>
            </w:r>
          </w:p>
        </w:tc>
        <w:tc>
          <w:tcPr>
            <w:tcW w:w="1276" w:type="dxa"/>
            <w:vMerge w:val="restart"/>
            <w:shd w:val="clear" w:color="auto" w:fill="BDD7EE"/>
            <w:vAlign w:val="center"/>
          </w:tcPr>
          <w:p w:rsidRPr="00FE48E2" w:rsidR="00D87E44" w:rsidRDefault="00D87E44" w14:paraId="15457D62"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Related measure (Reform or Investment)</w:t>
            </w:r>
          </w:p>
        </w:tc>
        <w:tc>
          <w:tcPr>
            <w:tcW w:w="992" w:type="dxa"/>
            <w:vMerge w:val="restart"/>
            <w:shd w:val="clear" w:color="auto" w:fill="BDD7EE"/>
            <w:vAlign w:val="center"/>
          </w:tcPr>
          <w:p w:rsidRPr="00FE48E2" w:rsidR="00D87E44" w:rsidRDefault="00D87E44" w14:paraId="15457D63"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 xml:space="preserve">Milestone / Target </w:t>
            </w:r>
          </w:p>
        </w:tc>
        <w:tc>
          <w:tcPr>
            <w:tcW w:w="1559" w:type="dxa"/>
            <w:vMerge w:val="restart"/>
            <w:shd w:val="clear" w:color="auto" w:fill="BDD7EE"/>
            <w:vAlign w:val="center"/>
          </w:tcPr>
          <w:p w:rsidRPr="00FE48E2" w:rsidR="00D87E44" w:rsidRDefault="00D87E44" w14:paraId="15457D64"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 xml:space="preserve">Name </w:t>
            </w:r>
          </w:p>
        </w:tc>
        <w:tc>
          <w:tcPr>
            <w:tcW w:w="1134" w:type="dxa"/>
            <w:vMerge w:val="restart"/>
            <w:shd w:val="clear" w:color="auto" w:fill="BDD7EE"/>
            <w:vAlign w:val="center"/>
          </w:tcPr>
          <w:p w:rsidRPr="00FE48E2" w:rsidR="00D87E44" w:rsidRDefault="00D87E44" w14:paraId="15457D65"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Qualitative indicators</w:t>
            </w:r>
            <w:r w:rsidRPr="00FE48E2">
              <w:rPr>
                <w:rFonts w:eastAsia="Times New Roman"/>
                <w:noProof/>
                <w:sz w:val="18"/>
                <w:szCs w:val="18"/>
                <w:lang w:val="en-IE" w:eastAsia="en-GB"/>
              </w:rPr>
              <w:br/>
            </w:r>
            <w:r w:rsidRPr="00FE48E2">
              <w:rPr>
                <w:rFonts w:eastAsia="Times New Roman"/>
                <w:b/>
                <w:noProof/>
                <w:sz w:val="18"/>
                <w:szCs w:val="18"/>
                <w:lang w:val="en-IE" w:eastAsia="en-GB"/>
              </w:rPr>
              <w:t xml:space="preserve"> (for milestones)</w:t>
            </w:r>
          </w:p>
        </w:tc>
        <w:tc>
          <w:tcPr>
            <w:tcW w:w="3261" w:type="dxa"/>
            <w:gridSpan w:val="3"/>
            <w:shd w:val="clear" w:color="auto" w:fill="BDD7EE"/>
            <w:vAlign w:val="center"/>
          </w:tcPr>
          <w:p w:rsidRPr="00FE48E2" w:rsidR="00D87E44" w:rsidRDefault="00D87E44" w14:paraId="15457D66"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Quantitative indicators</w:t>
            </w:r>
            <w:r w:rsidRPr="00FE48E2">
              <w:rPr>
                <w:rFonts w:eastAsia="Times New Roman"/>
                <w:noProof/>
                <w:sz w:val="18"/>
                <w:szCs w:val="18"/>
                <w:lang w:val="en-IE" w:eastAsia="en-GB"/>
              </w:rPr>
              <w:br/>
            </w:r>
            <w:r w:rsidRPr="00FE48E2">
              <w:rPr>
                <w:rFonts w:eastAsia="Times New Roman"/>
                <w:b/>
                <w:noProof/>
                <w:sz w:val="18"/>
                <w:szCs w:val="18"/>
                <w:lang w:val="en-IE" w:eastAsia="en-GB"/>
              </w:rPr>
              <w:t xml:space="preserve"> (for targets)</w:t>
            </w:r>
          </w:p>
        </w:tc>
        <w:tc>
          <w:tcPr>
            <w:tcW w:w="1581" w:type="dxa"/>
            <w:gridSpan w:val="2"/>
            <w:shd w:val="clear" w:color="auto" w:fill="BDD7EE"/>
            <w:vAlign w:val="center"/>
          </w:tcPr>
          <w:p w:rsidRPr="00FE48E2" w:rsidR="00D87E44" w:rsidRDefault="00D87E44" w14:paraId="15457D67"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 xml:space="preserve">Indicative timeline for completion </w:t>
            </w:r>
          </w:p>
        </w:tc>
        <w:tc>
          <w:tcPr>
            <w:tcW w:w="5087" w:type="dxa"/>
            <w:vMerge w:val="restart"/>
            <w:shd w:val="clear" w:color="auto" w:fill="BDD7EE"/>
            <w:vAlign w:val="center"/>
          </w:tcPr>
          <w:p w:rsidRPr="00FE48E2" w:rsidR="00D87E44" w:rsidRDefault="00D87E44" w14:paraId="15457D68" w14:textId="77777777">
            <w:pPr>
              <w:spacing w:line="240" w:lineRule="auto"/>
              <w:jc w:val="center"/>
              <w:rPr>
                <w:rFonts w:eastAsia="Times New Roman"/>
                <w:noProof/>
                <w:sz w:val="18"/>
                <w:szCs w:val="18"/>
                <w:lang w:val="en-IE" w:eastAsia="en-GB"/>
              </w:rPr>
            </w:pPr>
            <w:r w:rsidRPr="00FE48E2">
              <w:rPr>
                <w:rFonts w:eastAsia="Times New Roman"/>
                <w:b/>
                <w:noProof/>
                <w:sz w:val="18"/>
                <w:szCs w:val="18"/>
                <w:lang w:val="en-IE" w:eastAsia="en-GB"/>
              </w:rPr>
              <w:t>Description and clear definition of each milestone and target</w:t>
            </w:r>
          </w:p>
        </w:tc>
      </w:tr>
      <w:tr w:rsidRPr="00FE48E2" w:rsidR="00E3458A" w:rsidTr="009F3A8B" w14:paraId="15457D75" w14:textId="77777777">
        <w:trPr>
          <w:trHeight w:val="600"/>
          <w:tblHeader/>
          <w:jc w:val="center"/>
        </w:trPr>
        <w:tc>
          <w:tcPr>
            <w:tcW w:w="704" w:type="dxa"/>
            <w:vMerge/>
            <w:vAlign w:val="center"/>
          </w:tcPr>
          <w:p w:rsidRPr="00FE48E2" w:rsidR="00D87E44" w:rsidRDefault="00D87E44" w14:paraId="15457D6A" w14:textId="77777777">
            <w:pPr>
              <w:spacing w:line="240" w:lineRule="auto"/>
              <w:jc w:val="center"/>
              <w:rPr>
                <w:rFonts w:eastAsia="Times New Roman"/>
                <w:noProof/>
                <w:sz w:val="18"/>
                <w:szCs w:val="18"/>
                <w:lang w:val="en-IE" w:eastAsia="en-GB"/>
              </w:rPr>
            </w:pPr>
          </w:p>
        </w:tc>
        <w:tc>
          <w:tcPr>
            <w:tcW w:w="1276" w:type="dxa"/>
            <w:vMerge/>
            <w:vAlign w:val="center"/>
          </w:tcPr>
          <w:p w:rsidRPr="00FE48E2" w:rsidR="00D87E44" w:rsidRDefault="00D87E44" w14:paraId="15457D6B" w14:textId="77777777">
            <w:pPr>
              <w:spacing w:line="240" w:lineRule="auto"/>
              <w:jc w:val="center"/>
              <w:rPr>
                <w:rFonts w:eastAsia="Times New Roman"/>
                <w:noProof/>
                <w:sz w:val="18"/>
                <w:szCs w:val="18"/>
                <w:lang w:val="en-IE" w:eastAsia="en-GB"/>
              </w:rPr>
            </w:pPr>
          </w:p>
        </w:tc>
        <w:tc>
          <w:tcPr>
            <w:tcW w:w="992" w:type="dxa"/>
            <w:vMerge/>
            <w:vAlign w:val="center"/>
          </w:tcPr>
          <w:p w:rsidRPr="00FE48E2" w:rsidR="00D87E44" w:rsidRDefault="00D87E44" w14:paraId="15457D6C" w14:textId="77777777">
            <w:pPr>
              <w:spacing w:line="240" w:lineRule="auto"/>
              <w:jc w:val="center"/>
              <w:rPr>
                <w:rFonts w:eastAsia="Times New Roman"/>
                <w:noProof/>
                <w:sz w:val="18"/>
                <w:szCs w:val="18"/>
                <w:lang w:val="en-IE" w:eastAsia="en-GB"/>
              </w:rPr>
            </w:pPr>
          </w:p>
        </w:tc>
        <w:tc>
          <w:tcPr>
            <w:tcW w:w="1559" w:type="dxa"/>
            <w:vMerge/>
            <w:vAlign w:val="center"/>
          </w:tcPr>
          <w:p w:rsidRPr="00FE48E2" w:rsidR="00D87E44" w:rsidRDefault="00D87E44" w14:paraId="15457D6D" w14:textId="77777777">
            <w:pPr>
              <w:spacing w:line="240" w:lineRule="auto"/>
              <w:jc w:val="center"/>
              <w:rPr>
                <w:rFonts w:eastAsia="Times New Roman"/>
                <w:noProof/>
                <w:sz w:val="18"/>
                <w:szCs w:val="18"/>
                <w:lang w:val="en-IE" w:eastAsia="en-GB"/>
              </w:rPr>
            </w:pPr>
          </w:p>
        </w:tc>
        <w:tc>
          <w:tcPr>
            <w:tcW w:w="1134" w:type="dxa"/>
            <w:vMerge/>
            <w:vAlign w:val="center"/>
          </w:tcPr>
          <w:p w:rsidRPr="00FE48E2" w:rsidR="00D87E44" w:rsidRDefault="00D87E44" w14:paraId="15457D6E" w14:textId="77777777">
            <w:pPr>
              <w:spacing w:line="240" w:lineRule="auto"/>
              <w:jc w:val="center"/>
              <w:rPr>
                <w:rFonts w:eastAsia="Times New Roman"/>
                <w:noProof/>
                <w:sz w:val="18"/>
                <w:szCs w:val="18"/>
                <w:lang w:val="en-IE" w:eastAsia="en-GB"/>
              </w:rPr>
            </w:pPr>
          </w:p>
        </w:tc>
        <w:tc>
          <w:tcPr>
            <w:tcW w:w="1362" w:type="dxa"/>
            <w:shd w:val="clear" w:color="auto" w:fill="BDD7EE"/>
            <w:vAlign w:val="center"/>
          </w:tcPr>
          <w:p w:rsidRPr="002F2ABF" w:rsidR="00D87E44" w:rsidRDefault="00D87E44" w14:paraId="15457D6F" w14:textId="77777777">
            <w:pPr>
              <w:spacing w:line="240" w:lineRule="auto"/>
              <w:jc w:val="center"/>
              <w:rPr>
                <w:rFonts w:eastAsia="Times New Roman"/>
                <w:noProof/>
                <w:sz w:val="18"/>
                <w:szCs w:val="18"/>
                <w:lang w:val="en-IE" w:eastAsia="en-GB"/>
              </w:rPr>
            </w:pPr>
            <w:r w:rsidRPr="002F2ABF">
              <w:rPr>
                <w:rFonts w:eastAsia="Times New Roman"/>
                <w:b/>
                <w:noProof/>
                <w:sz w:val="18"/>
                <w:szCs w:val="18"/>
                <w:lang w:val="en-IE" w:eastAsia="en-GB"/>
              </w:rPr>
              <w:t>Unit of measure</w:t>
            </w:r>
          </w:p>
        </w:tc>
        <w:tc>
          <w:tcPr>
            <w:tcW w:w="906" w:type="dxa"/>
            <w:shd w:val="clear" w:color="auto" w:fill="BDD7EE"/>
            <w:vAlign w:val="center"/>
          </w:tcPr>
          <w:p w:rsidRPr="002F2ABF" w:rsidR="00D87E44" w:rsidRDefault="00D87E44" w14:paraId="15457D70" w14:textId="77777777">
            <w:pPr>
              <w:spacing w:line="240" w:lineRule="auto"/>
              <w:jc w:val="center"/>
              <w:rPr>
                <w:rFonts w:eastAsia="Times New Roman"/>
                <w:noProof/>
                <w:sz w:val="18"/>
                <w:szCs w:val="18"/>
                <w:lang w:val="en-IE" w:eastAsia="en-GB"/>
              </w:rPr>
            </w:pPr>
            <w:r w:rsidRPr="002F2ABF">
              <w:rPr>
                <w:rFonts w:eastAsia="Times New Roman"/>
                <w:b/>
                <w:noProof/>
                <w:sz w:val="18"/>
                <w:szCs w:val="18"/>
                <w:lang w:val="en-IE" w:eastAsia="en-GB"/>
              </w:rPr>
              <w:t>Baseline</w:t>
            </w:r>
          </w:p>
        </w:tc>
        <w:tc>
          <w:tcPr>
            <w:tcW w:w="993" w:type="dxa"/>
            <w:shd w:val="clear" w:color="auto" w:fill="BDD7EE"/>
            <w:vAlign w:val="center"/>
          </w:tcPr>
          <w:p w:rsidRPr="002F2ABF" w:rsidR="00D87E44" w:rsidRDefault="00D87E44" w14:paraId="15457D71" w14:textId="77777777">
            <w:pPr>
              <w:spacing w:line="240" w:lineRule="auto"/>
              <w:jc w:val="center"/>
              <w:rPr>
                <w:rFonts w:eastAsia="Times New Roman"/>
                <w:noProof/>
                <w:sz w:val="18"/>
                <w:szCs w:val="18"/>
                <w:lang w:val="en-IE" w:eastAsia="en-GB"/>
              </w:rPr>
            </w:pPr>
            <w:r w:rsidRPr="002F2ABF">
              <w:rPr>
                <w:rFonts w:eastAsia="Times New Roman"/>
                <w:b/>
                <w:noProof/>
                <w:sz w:val="18"/>
                <w:szCs w:val="18"/>
                <w:lang w:val="en-IE" w:eastAsia="en-GB"/>
              </w:rPr>
              <w:t>Goal</w:t>
            </w:r>
          </w:p>
        </w:tc>
        <w:tc>
          <w:tcPr>
            <w:tcW w:w="850" w:type="dxa"/>
            <w:shd w:val="clear" w:color="auto" w:fill="BDD7EE"/>
            <w:vAlign w:val="center"/>
          </w:tcPr>
          <w:p w:rsidRPr="002F2ABF" w:rsidR="00D87E44" w:rsidRDefault="00D87E44" w14:paraId="15457D72" w14:textId="77777777">
            <w:pPr>
              <w:spacing w:line="240" w:lineRule="auto"/>
              <w:jc w:val="center"/>
              <w:rPr>
                <w:rFonts w:eastAsia="Times New Roman"/>
                <w:noProof/>
                <w:sz w:val="18"/>
                <w:szCs w:val="18"/>
                <w:lang w:val="en-IE" w:eastAsia="en-GB"/>
              </w:rPr>
            </w:pPr>
            <w:r w:rsidRPr="002F2ABF">
              <w:rPr>
                <w:rFonts w:eastAsia="Times New Roman"/>
                <w:b/>
                <w:noProof/>
                <w:sz w:val="18"/>
                <w:szCs w:val="18"/>
                <w:lang w:val="en-IE" w:eastAsia="en-GB"/>
              </w:rPr>
              <w:t>Quarter</w:t>
            </w:r>
          </w:p>
        </w:tc>
        <w:tc>
          <w:tcPr>
            <w:tcW w:w="731" w:type="dxa"/>
            <w:shd w:val="clear" w:color="auto" w:fill="BDD7EE"/>
            <w:vAlign w:val="center"/>
          </w:tcPr>
          <w:p w:rsidRPr="002F2ABF" w:rsidR="00D87E44" w:rsidRDefault="00D87E44" w14:paraId="15457D73" w14:textId="77777777">
            <w:pPr>
              <w:spacing w:line="240" w:lineRule="auto"/>
              <w:jc w:val="center"/>
              <w:rPr>
                <w:rFonts w:eastAsia="Times New Roman"/>
                <w:noProof/>
                <w:sz w:val="18"/>
                <w:szCs w:val="18"/>
                <w:lang w:val="en-IE" w:eastAsia="en-GB"/>
              </w:rPr>
            </w:pPr>
            <w:r w:rsidRPr="002F2ABF">
              <w:rPr>
                <w:rFonts w:eastAsia="Times New Roman"/>
                <w:b/>
                <w:noProof/>
                <w:sz w:val="18"/>
                <w:szCs w:val="18"/>
                <w:lang w:val="en-IE" w:eastAsia="en-GB"/>
              </w:rPr>
              <w:t>Year</w:t>
            </w:r>
          </w:p>
        </w:tc>
        <w:tc>
          <w:tcPr>
            <w:tcW w:w="5087" w:type="dxa"/>
            <w:vMerge/>
            <w:vAlign w:val="center"/>
          </w:tcPr>
          <w:p w:rsidRPr="00FE48E2" w:rsidR="00D87E44" w:rsidRDefault="00D87E44" w14:paraId="15457D74" w14:textId="77777777">
            <w:pPr>
              <w:spacing w:line="240" w:lineRule="auto"/>
              <w:jc w:val="center"/>
              <w:rPr>
                <w:rFonts w:eastAsia="Times New Roman"/>
                <w:noProof/>
                <w:sz w:val="18"/>
                <w:szCs w:val="18"/>
                <w:lang w:val="en-IE" w:eastAsia="en-GB"/>
              </w:rPr>
            </w:pPr>
          </w:p>
        </w:tc>
      </w:tr>
      <w:tr w:rsidRPr="00FE48E2" w:rsidR="00E3458A" w:rsidTr="009F3A8B" w14:paraId="15457D82" w14:textId="77777777">
        <w:trPr>
          <w:trHeight w:val="945"/>
          <w:jc w:val="center"/>
        </w:trPr>
        <w:tc>
          <w:tcPr>
            <w:tcW w:w="704" w:type="dxa"/>
            <w:shd w:val="clear" w:color="auto" w:fill="C6EFCE"/>
          </w:tcPr>
          <w:p w:rsidRPr="00B41A05" w:rsidR="00D87E44" w:rsidRDefault="00D87E44" w14:paraId="15457D7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110</w:t>
            </w:r>
          </w:p>
        </w:tc>
        <w:tc>
          <w:tcPr>
            <w:tcW w:w="1276" w:type="dxa"/>
            <w:shd w:val="clear" w:color="auto" w:fill="C6EFCE"/>
          </w:tcPr>
          <w:p w:rsidRPr="00B41A05" w:rsidR="00D87E44" w:rsidRDefault="00D87E44" w14:paraId="15457D7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Reform 1: Modernisation of distribution of heat in </w:t>
            </w:r>
            <w:r w:rsidRPr="00B41A05">
              <w:rPr>
                <w:rFonts w:eastAsia="Times New Roman"/>
                <w:noProof/>
                <w:color w:val="004300"/>
                <w:sz w:val="18"/>
                <w:szCs w:val="18"/>
                <w:lang w:val="en-IE" w:eastAsia="en-GB"/>
              </w:rPr>
              <w:t>district heating systems</w:t>
            </w:r>
          </w:p>
        </w:tc>
        <w:tc>
          <w:tcPr>
            <w:tcW w:w="992" w:type="dxa"/>
            <w:shd w:val="clear" w:color="auto" w:fill="C6EFCE"/>
          </w:tcPr>
          <w:p w:rsidRPr="00B41A05" w:rsidR="00D87E44" w:rsidRDefault="00D87E44" w14:paraId="15457D7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559" w:type="dxa"/>
            <w:shd w:val="clear" w:color="auto" w:fill="C6EFCE"/>
          </w:tcPr>
          <w:p w:rsidRPr="00B41A05" w:rsidR="00D87E44" w:rsidRDefault="00D87E44" w14:paraId="15457D7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Assessment of decarbonisation of district heating in Czechia</w:t>
            </w:r>
          </w:p>
        </w:tc>
        <w:tc>
          <w:tcPr>
            <w:tcW w:w="1134" w:type="dxa"/>
            <w:shd w:val="clear" w:color="auto" w:fill="C6EFCE"/>
          </w:tcPr>
          <w:p w:rsidRPr="00B41A05" w:rsidR="00D87E44" w:rsidRDefault="00D87E44" w14:paraId="15457D7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Publication of the assessment</w:t>
            </w:r>
          </w:p>
        </w:tc>
        <w:tc>
          <w:tcPr>
            <w:tcW w:w="1362" w:type="dxa"/>
            <w:shd w:val="clear" w:color="auto" w:fill="C6EFCE"/>
          </w:tcPr>
          <w:p w:rsidRPr="00B41A05" w:rsidR="00D87E44" w:rsidRDefault="00D87E44" w14:paraId="15457D7B" w14:textId="77777777">
            <w:pPr>
              <w:spacing w:before="0" w:after="0" w:line="240" w:lineRule="auto"/>
              <w:rPr>
                <w:rFonts w:eastAsia="Times New Roman"/>
                <w:noProof/>
                <w:color w:val="004300"/>
                <w:sz w:val="18"/>
                <w:szCs w:val="18"/>
                <w:lang w:val="en-IE" w:eastAsia="en-GB"/>
              </w:rPr>
            </w:pPr>
          </w:p>
        </w:tc>
        <w:tc>
          <w:tcPr>
            <w:tcW w:w="906" w:type="dxa"/>
            <w:shd w:val="clear" w:color="auto" w:fill="C6EFCE"/>
          </w:tcPr>
          <w:p w:rsidRPr="00B41A05" w:rsidR="00D87E44" w:rsidRDefault="00D87E44" w14:paraId="15457D7C" w14:textId="77777777">
            <w:pPr>
              <w:spacing w:before="0" w:after="0" w:line="240" w:lineRule="auto"/>
              <w:rPr>
                <w:rFonts w:eastAsia="Times New Roman"/>
                <w:noProof/>
                <w:color w:val="004300"/>
                <w:sz w:val="18"/>
                <w:szCs w:val="18"/>
                <w:lang w:val="en-IE" w:eastAsia="en-GB"/>
              </w:rPr>
            </w:pPr>
          </w:p>
        </w:tc>
        <w:tc>
          <w:tcPr>
            <w:tcW w:w="993" w:type="dxa"/>
            <w:shd w:val="clear" w:color="auto" w:fill="C6EFCE"/>
          </w:tcPr>
          <w:p w:rsidRPr="00B41A05" w:rsidR="00D87E44" w:rsidRDefault="00D87E44" w14:paraId="15457D7D"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B41A05" w:rsidR="00D87E44" w:rsidRDefault="00D87E44" w14:paraId="15457D7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731" w:type="dxa"/>
            <w:shd w:val="clear" w:color="auto" w:fill="C6EFCE"/>
          </w:tcPr>
          <w:p w:rsidRPr="00B41A05" w:rsidR="00D87E44" w:rsidRDefault="00D87E44" w14:paraId="15457D7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5087" w:type="dxa"/>
            <w:shd w:val="clear" w:color="auto" w:fill="C6EFCE"/>
          </w:tcPr>
          <w:p w:rsidRPr="00B41A05" w:rsidR="00D87E44" w:rsidRDefault="00D87E44" w14:paraId="15457D8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Assessment of the path towards decarbonisation of district heating in Czechia compliant with EU legal requirements including the requirements contained in the Guidance ‘Do no significant harm’ Technical Guidance (2021/C58/01) shall be carried out and published by the Ministry of Industry and Trade.</w:t>
            </w:r>
          </w:p>
          <w:p w:rsidRPr="00B41A05" w:rsidR="00D87E44" w:rsidRDefault="00D87E44" w14:paraId="15457D8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This assessment shall guide investments financed under this component of the Czech recovery and resilience plan as well as investment in the field of decarbonisation of district heating financed by other EU funds or national sources in full compliance with the legal requirements including on do not significant harm.</w:t>
            </w:r>
          </w:p>
        </w:tc>
      </w:tr>
      <w:tr w:rsidRPr="00FE48E2" w:rsidR="00E3458A" w:rsidTr="009F3A8B" w14:paraId="15457D8F" w14:textId="77777777">
        <w:trPr>
          <w:trHeight w:val="945"/>
          <w:jc w:val="center"/>
        </w:trPr>
        <w:tc>
          <w:tcPr>
            <w:tcW w:w="704" w:type="dxa"/>
            <w:shd w:val="clear" w:color="auto" w:fill="C6EFCE"/>
          </w:tcPr>
          <w:p w:rsidRPr="00B41A05" w:rsidR="00D87E44" w:rsidRDefault="00D87E44" w14:paraId="15457D8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111</w:t>
            </w:r>
          </w:p>
        </w:tc>
        <w:tc>
          <w:tcPr>
            <w:tcW w:w="1276" w:type="dxa"/>
            <w:shd w:val="clear" w:color="auto" w:fill="C6EFCE"/>
          </w:tcPr>
          <w:p w:rsidRPr="00B41A05" w:rsidR="00D87E44" w:rsidRDefault="00D87E44" w14:paraId="15457D8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2: Modernisation of distribution of heat in district heating systems</w:t>
            </w:r>
          </w:p>
        </w:tc>
        <w:tc>
          <w:tcPr>
            <w:tcW w:w="992" w:type="dxa"/>
            <w:shd w:val="clear" w:color="auto" w:fill="C6EFCE"/>
          </w:tcPr>
          <w:p w:rsidRPr="00B41A05" w:rsidR="00D87E44" w:rsidRDefault="00D87E44" w14:paraId="15457D8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559" w:type="dxa"/>
            <w:shd w:val="clear" w:color="auto" w:fill="C6EFCE"/>
          </w:tcPr>
          <w:p w:rsidRPr="00B41A05" w:rsidR="00D87E44" w:rsidRDefault="00D87E44" w14:paraId="15457D8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Assessment of the trajectories of sustainable supply of </w:t>
            </w:r>
            <w:r w:rsidRPr="00B41A05">
              <w:rPr>
                <w:rFonts w:eastAsia="Times New Roman"/>
                <w:noProof/>
                <w:color w:val="004300"/>
                <w:sz w:val="18"/>
                <w:szCs w:val="18"/>
                <w:lang w:val="en-IE" w:eastAsia="en-GB"/>
              </w:rPr>
              <w:t>biomass in Czechia</w:t>
            </w:r>
          </w:p>
        </w:tc>
        <w:tc>
          <w:tcPr>
            <w:tcW w:w="1134" w:type="dxa"/>
            <w:shd w:val="clear" w:color="auto" w:fill="C6EFCE"/>
          </w:tcPr>
          <w:p w:rsidRPr="00B41A05" w:rsidR="00D87E44" w:rsidRDefault="00D87E44" w14:paraId="15457D8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Publication of the assessment</w:t>
            </w:r>
          </w:p>
        </w:tc>
        <w:tc>
          <w:tcPr>
            <w:tcW w:w="1362" w:type="dxa"/>
            <w:shd w:val="clear" w:color="auto" w:fill="C6EFCE"/>
          </w:tcPr>
          <w:p w:rsidRPr="00B41A05" w:rsidR="00D87E44" w:rsidRDefault="00D87E44" w14:paraId="15457D88" w14:textId="77777777">
            <w:pPr>
              <w:spacing w:before="0" w:after="0" w:line="240" w:lineRule="auto"/>
              <w:rPr>
                <w:rFonts w:eastAsia="Times New Roman"/>
                <w:noProof/>
                <w:color w:val="004300"/>
                <w:sz w:val="18"/>
                <w:szCs w:val="18"/>
                <w:lang w:val="en-IE" w:eastAsia="en-GB"/>
              </w:rPr>
            </w:pPr>
          </w:p>
        </w:tc>
        <w:tc>
          <w:tcPr>
            <w:tcW w:w="906" w:type="dxa"/>
            <w:shd w:val="clear" w:color="auto" w:fill="C6EFCE"/>
          </w:tcPr>
          <w:p w:rsidRPr="00B41A05" w:rsidR="00D87E44" w:rsidRDefault="00D87E44" w14:paraId="15457D89" w14:textId="77777777">
            <w:pPr>
              <w:spacing w:before="0" w:after="0" w:line="240" w:lineRule="auto"/>
              <w:rPr>
                <w:rFonts w:eastAsia="Times New Roman"/>
                <w:noProof/>
                <w:color w:val="004300"/>
                <w:sz w:val="18"/>
                <w:szCs w:val="18"/>
                <w:lang w:val="en-IE" w:eastAsia="en-GB"/>
              </w:rPr>
            </w:pPr>
          </w:p>
        </w:tc>
        <w:tc>
          <w:tcPr>
            <w:tcW w:w="993" w:type="dxa"/>
            <w:shd w:val="clear" w:color="auto" w:fill="C6EFCE"/>
          </w:tcPr>
          <w:p w:rsidRPr="00B41A05" w:rsidR="00D87E44" w:rsidRDefault="00D87E44" w14:paraId="15457D8A"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B41A05" w:rsidR="00D87E44" w:rsidRDefault="00D87E44" w14:paraId="15457D8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731" w:type="dxa"/>
            <w:shd w:val="clear" w:color="auto" w:fill="C6EFCE"/>
          </w:tcPr>
          <w:p w:rsidRPr="00B41A05" w:rsidR="00D87E44" w:rsidRDefault="00D87E44" w14:paraId="15457D8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5087" w:type="dxa"/>
            <w:shd w:val="clear" w:color="auto" w:fill="C6EFCE"/>
          </w:tcPr>
          <w:p w:rsidRPr="00B41A05" w:rsidR="00D87E44" w:rsidRDefault="00D87E44" w14:paraId="15457D8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Assessment of the trajectories of sustainable use of bioenergy and supply of biomass in Czechia and its impacts on the Land Use, Land-Use Change and Forestry sinks and biodiversity as well as </w:t>
            </w:r>
            <w:r w:rsidRPr="00B41A05">
              <w:rPr>
                <w:rFonts w:eastAsia="Times New Roman"/>
                <w:noProof/>
                <w:color w:val="004300"/>
                <w:sz w:val="18"/>
                <w:szCs w:val="18"/>
                <w:lang w:val="en-IE" w:eastAsia="en-GB"/>
              </w:rPr>
              <w:t>impact on air quality for period 2020-2030, compliant with EU legal requirements including the requirements included in the Guidance ‘Do no significant harm’ Technical Guidance (2021/C58/01), shall be carried out and published by the Ministry of Environment in cooperation with the Ministry of Industry and Trade and the Ministry of Agriculture.</w:t>
            </w:r>
          </w:p>
          <w:p w:rsidRPr="00B41A05" w:rsidR="00D87E44" w:rsidRDefault="00D87E44" w14:paraId="15457D8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This assessment shall guide bioenergy investments financed under components 2.2, 2.3 and 2.5 of the Czech recovery and resilience plan as well as bioenergy investment in the fields of energy, transport, environment, climate change, forestry or agriculture financed by other EU funds or national sources in full compliance with the legal requirements including on do not significant harm.</w:t>
            </w:r>
          </w:p>
        </w:tc>
      </w:tr>
      <w:tr w:rsidRPr="00FE48E2" w:rsidR="00E3458A" w:rsidTr="009F3A8B" w14:paraId="15457D9B" w14:textId="77777777">
        <w:trPr>
          <w:trHeight w:val="354"/>
          <w:jc w:val="center"/>
        </w:trPr>
        <w:tc>
          <w:tcPr>
            <w:tcW w:w="704" w:type="dxa"/>
            <w:shd w:val="clear" w:color="auto" w:fill="C6EFCE"/>
          </w:tcPr>
          <w:p w:rsidRPr="00B41A05" w:rsidR="00D87E44" w:rsidRDefault="00D87E44" w14:paraId="15457D9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112</w:t>
            </w:r>
          </w:p>
        </w:tc>
        <w:tc>
          <w:tcPr>
            <w:tcW w:w="1276" w:type="dxa"/>
            <w:shd w:val="clear" w:color="auto" w:fill="C6EFCE"/>
          </w:tcPr>
          <w:p w:rsidRPr="00B41A05" w:rsidR="00D87E44" w:rsidRDefault="00D87E44" w14:paraId="15457D9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1: </w:t>
            </w:r>
            <w:r w:rsidRPr="00B41A05">
              <w:rPr>
                <w:rFonts w:eastAsia="Times New Roman"/>
                <w:noProof/>
                <w:color w:val="004300"/>
                <w:sz w:val="18"/>
                <w:szCs w:val="18"/>
                <w:lang w:val="en-IE" w:eastAsia="en-GB"/>
              </w:rPr>
              <w:t>Development of new photovoltaic energy sources</w:t>
            </w:r>
          </w:p>
        </w:tc>
        <w:tc>
          <w:tcPr>
            <w:tcW w:w="992" w:type="dxa"/>
            <w:shd w:val="clear" w:color="auto" w:fill="C6EFCE"/>
          </w:tcPr>
          <w:p w:rsidRPr="00B41A05" w:rsidR="00D87E44" w:rsidRDefault="00D87E44" w14:paraId="15457D9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559" w:type="dxa"/>
            <w:shd w:val="clear" w:color="auto" w:fill="C6EFCE"/>
          </w:tcPr>
          <w:p w:rsidRPr="00B41A05" w:rsidR="00D87E44" w:rsidRDefault="00D87E44" w14:paraId="15457D9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Increase of installed capacity of FVE sources</w:t>
            </w:r>
          </w:p>
        </w:tc>
        <w:tc>
          <w:tcPr>
            <w:tcW w:w="1134" w:type="dxa"/>
            <w:shd w:val="clear" w:color="auto" w:fill="C6EFCE"/>
          </w:tcPr>
          <w:p w:rsidRPr="00B41A05" w:rsidR="00D87E44" w:rsidRDefault="00D87E44" w14:paraId="15457D94" w14:textId="77777777">
            <w:pPr>
              <w:spacing w:before="0" w:after="0" w:line="240" w:lineRule="auto"/>
              <w:rPr>
                <w:rFonts w:eastAsia="Times New Roman"/>
                <w:noProof/>
                <w:color w:val="004300"/>
                <w:sz w:val="18"/>
                <w:szCs w:val="18"/>
                <w:lang w:val="en-IE" w:eastAsia="en-GB"/>
              </w:rPr>
            </w:pPr>
          </w:p>
        </w:tc>
        <w:tc>
          <w:tcPr>
            <w:tcW w:w="1362" w:type="dxa"/>
            <w:shd w:val="clear" w:color="auto" w:fill="C6EFCE"/>
          </w:tcPr>
          <w:p w:rsidRPr="00B41A05" w:rsidR="00D87E44" w:rsidRDefault="00D87E44" w14:paraId="15457D9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MWp</w:t>
            </w:r>
          </w:p>
        </w:tc>
        <w:tc>
          <w:tcPr>
            <w:tcW w:w="906" w:type="dxa"/>
            <w:shd w:val="clear" w:color="auto" w:fill="C6EFCE"/>
          </w:tcPr>
          <w:p w:rsidRPr="00B41A05" w:rsidR="00D87E44" w:rsidRDefault="00D87E44" w14:paraId="15457D9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993" w:type="dxa"/>
            <w:shd w:val="clear" w:color="auto" w:fill="C6EFCE"/>
          </w:tcPr>
          <w:p w:rsidRPr="00B41A05" w:rsidR="00D87E44" w:rsidRDefault="00D87E44" w14:paraId="15457D9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270</w:t>
            </w:r>
          </w:p>
        </w:tc>
        <w:tc>
          <w:tcPr>
            <w:tcW w:w="850" w:type="dxa"/>
            <w:shd w:val="clear" w:color="auto" w:fill="C6EFCE"/>
          </w:tcPr>
          <w:p w:rsidRPr="00B41A05" w:rsidR="00D87E44" w:rsidRDefault="00D87E44" w14:paraId="15457D9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731" w:type="dxa"/>
            <w:shd w:val="clear" w:color="auto" w:fill="C6EFCE"/>
          </w:tcPr>
          <w:p w:rsidRPr="00B41A05" w:rsidR="00D87E44" w:rsidRDefault="00D87E44" w14:paraId="15457D9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5087" w:type="dxa"/>
            <w:shd w:val="clear" w:color="auto" w:fill="C6EFCE"/>
          </w:tcPr>
          <w:p w:rsidRPr="00B41A05" w:rsidR="00D87E44" w:rsidRDefault="00D87E44" w14:paraId="15457D9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New capacity of photovoltaic energy sources of 270 MWp shall be installed and put into operation.</w:t>
            </w:r>
          </w:p>
        </w:tc>
      </w:tr>
      <w:tr w:rsidRPr="00FE48E2" w:rsidR="00E3458A" w:rsidTr="009F3A8B" w14:paraId="15457DAB" w14:textId="77777777">
        <w:trPr>
          <w:trHeight w:val="746"/>
          <w:jc w:val="center"/>
        </w:trPr>
        <w:tc>
          <w:tcPr>
            <w:tcW w:w="704" w:type="dxa"/>
            <w:shd w:val="clear" w:color="auto" w:fill="C6EFCE"/>
          </w:tcPr>
          <w:p w:rsidRPr="00B41A05" w:rsidR="00D87E44" w:rsidRDefault="00D87E44" w14:paraId="15457D9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113</w:t>
            </w:r>
          </w:p>
        </w:tc>
        <w:tc>
          <w:tcPr>
            <w:tcW w:w="1276" w:type="dxa"/>
            <w:shd w:val="clear" w:color="auto" w:fill="C6EFCE"/>
          </w:tcPr>
          <w:p w:rsidRPr="00B41A05" w:rsidR="00D87E44" w:rsidRDefault="00D87E44" w14:paraId="15457D9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2: </w:t>
            </w:r>
            <w:r w:rsidRPr="00B41A05">
              <w:rPr>
                <w:rFonts w:eastAsia="Times New Roman"/>
                <w:noProof/>
                <w:color w:val="004300"/>
                <w:sz w:val="18"/>
                <w:szCs w:val="18"/>
                <w:lang w:val="en-IE" w:eastAsia="en-GB"/>
              </w:rPr>
              <w:t>Modernisation of distribution of heat in district heating systems</w:t>
            </w:r>
          </w:p>
        </w:tc>
        <w:tc>
          <w:tcPr>
            <w:tcW w:w="992" w:type="dxa"/>
            <w:shd w:val="clear" w:color="auto" w:fill="C6EFCE"/>
          </w:tcPr>
          <w:p w:rsidRPr="00B41A05" w:rsidR="00D87E44" w:rsidRDefault="00D87E44" w14:paraId="15457D9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559" w:type="dxa"/>
            <w:shd w:val="clear" w:color="auto" w:fill="C6EFCE"/>
          </w:tcPr>
          <w:p w:rsidRPr="00B41A05" w:rsidR="00D87E44" w:rsidRDefault="00D87E44" w14:paraId="15457D9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Plan for investment in heat/power generation facilities</w:t>
            </w:r>
          </w:p>
        </w:tc>
        <w:tc>
          <w:tcPr>
            <w:tcW w:w="1134" w:type="dxa"/>
            <w:shd w:val="clear" w:color="auto" w:fill="C6EFCE"/>
          </w:tcPr>
          <w:p w:rsidRPr="00B41A05" w:rsidR="00D87E44" w:rsidRDefault="00D87E44" w14:paraId="15457DA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Submission to the Commission</w:t>
            </w:r>
          </w:p>
        </w:tc>
        <w:tc>
          <w:tcPr>
            <w:tcW w:w="1362" w:type="dxa"/>
            <w:shd w:val="clear" w:color="auto" w:fill="C6EFCE"/>
          </w:tcPr>
          <w:p w:rsidRPr="00B41A05" w:rsidR="00D87E44" w:rsidRDefault="00D87E44" w14:paraId="15457DA1" w14:textId="77777777">
            <w:pPr>
              <w:spacing w:before="0" w:after="0" w:line="240" w:lineRule="auto"/>
              <w:rPr>
                <w:rFonts w:eastAsia="Times New Roman"/>
                <w:noProof/>
                <w:color w:val="004300"/>
                <w:sz w:val="18"/>
                <w:szCs w:val="18"/>
                <w:lang w:val="en-IE" w:eastAsia="en-GB"/>
              </w:rPr>
            </w:pPr>
          </w:p>
        </w:tc>
        <w:tc>
          <w:tcPr>
            <w:tcW w:w="906" w:type="dxa"/>
            <w:shd w:val="clear" w:color="auto" w:fill="C6EFCE"/>
          </w:tcPr>
          <w:p w:rsidRPr="00B41A05" w:rsidR="00D87E44" w:rsidRDefault="00D87E44" w14:paraId="15457DA2" w14:textId="77777777">
            <w:pPr>
              <w:spacing w:before="0" w:after="0" w:line="240" w:lineRule="auto"/>
              <w:rPr>
                <w:rFonts w:eastAsia="Times New Roman"/>
                <w:noProof/>
                <w:color w:val="004300"/>
                <w:sz w:val="18"/>
                <w:szCs w:val="18"/>
                <w:lang w:val="en-IE" w:eastAsia="en-GB"/>
              </w:rPr>
            </w:pPr>
          </w:p>
        </w:tc>
        <w:tc>
          <w:tcPr>
            <w:tcW w:w="993" w:type="dxa"/>
            <w:shd w:val="clear" w:color="auto" w:fill="C6EFCE"/>
          </w:tcPr>
          <w:p w:rsidRPr="00B41A05" w:rsidR="00D87E44" w:rsidRDefault="00D87E44" w14:paraId="15457DA3"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B41A05" w:rsidR="00D87E44" w:rsidRDefault="00D87E44" w14:paraId="15457DA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Q2</w:t>
            </w:r>
          </w:p>
        </w:tc>
        <w:tc>
          <w:tcPr>
            <w:tcW w:w="731" w:type="dxa"/>
            <w:shd w:val="clear" w:color="auto" w:fill="C6EFCE"/>
          </w:tcPr>
          <w:p w:rsidRPr="00B41A05" w:rsidR="00D87E44" w:rsidRDefault="00D87E44" w14:paraId="15457DA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5087" w:type="dxa"/>
            <w:shd w:val="clear" w:color="auto" w:fill="C6EFCE"/>
          </w:tcPr>
          <w:p w:rsidRPr="00B41A05" w:rsidR="00D87E44" w:rsidRDefault="00D87E44" w14:paraId="15457DA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Czechia shall provide, before the network investment is completed, a concrete plan for investment in heat/power generation facilitiesthat do no use solid fuels as a heat source, except those compliant with the following criteria for natural gas-based heat generation:</w:t>
            </w:r>
          </w:p>
          <w:p w:rsidRPr="00E3458A" w:rsidR="00D87E44" w:rsidP="00D226F4" w:rsidRDefault="00D87E44" w14:paraId="15457DA7" w14:textId="77777777">
            <w:pPr>
              <w:pStyle w:val="ListParagraph"/>
              <w:numPr>
                <w:ilvl w:val="0"/>
                <w:numId w:val="49"/>
              </w:numPr>
              <w:spacing w:before="0" w:after="0" w:line="240" w:lineRule="auto"/>
              <w:rPr>
                <w:color w:val="004300"/>
                <w:sz w:val="18"/>
                <w:lang w:val="en-IE"/>
              </w:rPr>
            </w:pPr>
            <w:r w:rsidRPr="00E3458A">
              <w:rPr>
                <w:color w:val="004300"/>
                <w:sz w:val="18"/>
                <w:lang w:val="en-IE"/>
              </w:rPr>
              <w:lastRenderedPageBreak/>
              <w:t>The networks are part of ’efficient district heating and cooling’ systems (as defined in Article 2(41) of the Directive 2012/27/EU); and</w:t>
            </w:r>
          </w:p>
          <w:p w:rsidRPr="00E3458A" w:rsidR="00D87E44" w:rsidP="00D226F4" w:rsidRDefault="00D87E44" w14:paraId="15457DA8" w14:textId="77777777">
            <w:pPr>
              <w:pStyle w:val="ListParagraph"/>
              <w:numPr>
                <w:ilvl w:val="0"/>
                <w:numId w:val="49"/>
              </w:numPr>
              <w:spacing w:before="0" w:after="0" w:line="240" w:lineRule="auto"/>
              <w:rPr>
                <w:color w:val="004300"/>
                <w:sz w:val="18"/>
                <w:lang w:val="en-IE"/>
              </w:rPr>
            </w:pPr>
            <w:r w:rsidRPr="00E3458A">
              <w:rPr>
                <w:color w:val="004300"/>
                <w:sz w:val="18"/>
                <w:lang w:val="en-IE"/>
              </w:rPr>
              <w:t>They obtain heat/cool from facilities that are future-proof, flexible and efficient gas-fired heat production with GHG emission lower than 250 gCO2e/kWh over the economic life-time of the facility;</w:t>
            </w:r>
          </w:p>
          <w:p w:rsidRPr="00B41A05" w:rsidR="00D87E44" w:rsidRDefault="00D87E44" w14:paraId="15457DA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including through contractual obligations taken up by the Czech government to commission the relevant work.</w:t>
            </w:r>
          </w:p>
          <w:p w:rsidRPr="00B41A05" w:rsidR="00D87E44" w:rsidRDefault="00D87E44" w14:paraId="15457DA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Refurbishment of the heat and power generation </w:t>
            </w:r>
            <w:r w:rsidRPr="00B41A05">
              <w:rPr>
                <w:rFonts w:eastAsia="Times New Roman"/>
                <w:noProof/>
                <w:color w:val="004300"/>
                <w:sz w:val="18"/>
                <w:szCs w:val="18"/>
                <w:lang w:val="en-IE" w:eastAsia="en-GB"/>
              </w:rPr>
              <w:t>facility shall start within three years of the modernisation of the network, in order to comply with the definition of ‘efficient district heating and cooling’ in Article 2(41) of the Directive 2012/27/EU (“a district heating or cooling system using at least 50 % renewable energy, 50 % waste heat, 75 % cogenerated heat or 50 % of a combination of such energy and heat”).</w:t>
            </w:r>
          </w:p>
        </w:tc>
      </w:tr>
      <w:tr w:rsidRPr="00FE48E2" w:rsidR="00E3458A" w:rsidTr="009F3A8B" w14:paraId="15457DB7" w14:textId="77777777">
        <w:trPr>
          <w:trHeight w:val="945"/>
          <w:jc w:val="center"/>
        </w:trPr>
        <w:tc>
          <w:tcPr>
            <w:tcW w:w="704" w:type="dxa"/>
            <w:shd w:val="clear" w:color="auto" w:fill="C6EFCE"/>
          </w:tcPr>
          <w:p w:rsidRPr="00B41A05" w:rsidR="00D87E44" w:rsidRDefault="00D87E44" w14:paraId="15457DA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114</w:t>
            </w:r>
          </w:p>
        </w:tc>
        <w:tc>
          <w:tcPr>
            <w:tcW w:w="1276" w:type="dxa"/>
            <w:shd w:val="clear" w:color="auto" w:fill="C6EFCE"/>
          </w:tcPr>
          <w:p w:rsidRPr="00B41A05" w:rsidR="00D87E44" w:rsidRDefault="00D87E44" w14:paraId="15457DA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Modernisation of distribution of heat in district heating systems</w:t>
            </w:r>
          </w:p>
        </w:tc>
        <w:tc>
          <w:tcPr>
            <w:tcW w:w="992" w:type="dxa"/>
            <w:shd w:val="clear" w:color="auto" w:fill="C6EFCE"/>
          </w:tcPr>
          <w:p w:rsidRPr="00B41A05" w:rsidR="00D87E44" w:rsidRDefault="00D87E44" w14:paraId="15457DA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559" w:type="dxa"/>
            <w:shd w:val="clear" w:color="auto" w:fill="C6EFCE"/>
          </w:tcPr>
          <w:p w:rsidRPr="00B41A05" w:rsidR="00D87E44" w:rsidRDefault="00D87E44" w14:paraId="15457DAF" w14:textId="77777777">
            <w:pPr>
              <w:spacing w:before="0" w:after="0" w:line="240" w:lineRule="auto"/>
              <w:rPr>
                <w:rFonts w:eastAsia="Times New Roman"/>
                <w:noProof/>
                <w:color w:val="004300"/>
                <w:sz w:val="18"/>
                <w:szCs w:val="18"/>
                <w:lang w:val="en-IE" w:eastAsia="en-GB"/>
              </w:rPr>
            </w:pPr>
            <w:r w:rsidRPr="4867D82C">
              <w:rPr>
                <w:rFonts w:eastAsia="Times New Roman"/>
                <w:noProof/>
                <w:color w:val="004300"/>
                <w:sz w:val="18"/>
                <w:szCs w:val="18"/>
                <w:lang w:val="en-IE" w:eastAsia="en-GB"/>
              </w:rPr>
              <w:t>Estimated primary</w:t>
            </w:r>
            <w:r w:rsidRPr="00B41A05">
              <w:rPr>
                <w:rFonts w:eastAsia="Times New Roman"/>
                <w:noProof/>
                <w:color w:val="004300"/>
                <w:sz w:val="18"/>
                <w:szCs w:val="18"/>
                <w:lang w:val="en-IE" w:eastAsia="en-GB"/>
              </w:rPr>
              <w:t xml:space="preserve"> energy savings </w:t>
            </w:r>
          </w:p>
        </w:tc>
        <w:tc>
          <w:tcPr>
            <w:tcW w:w="1134" w:type="dxa"/>
            <w:shd w:val="clear" w:color="auto" w:fill="C6EFCE"/>
          </w:tcPr>
          <w:p w:rsidRPr="00B41A05" w:rsidR="00D87E44" w:rsidRDefault="00D87E44" w14:paraId="15457DB0" w14:textId="77777777">
            <w:pPr>
              <w:spacing w:before="0" w:after="0" w:line="240" w:lineRule="auto"/>
              <w:rPr>
                <w:rFonts w:eastAsia="Times New Roman"/>
                <w:noProof/>
                <w:color w:val="004300"/>
                <w:sz w:val="18"/>
                <w:szCs w:val="18"/>
                <w:lang w:val="en-IE" w:eastAsia="en-GB"/>
              </w:rPr>
            </w:pPr>
          </w:p>
        </w:tc>
        <w:tc>
          <w:tcPr>
            <w:tcW w:w="1362" w:type="dxa"/>
            <w:shd w:val="clear" w:color="auto" w:fill="C6EFCE"/>
          </w:tcPr>
          <w:p w:rsidRPr="00B41A05" w:rsidR="00D87E44" w:rsidRDefault="00D87E44" w14:paraId="15457DB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Primary energy savings in gigajoules</w:t>
            </w:r>
          </w:p>
        </w:tc>
        <w:tc>
          <w:tcPr>
            <w:tcW w:w="906" w:type="dxa"/>
            <w:shd w:val="clear" w:color="auto" w:fill="C6EFCE"/>
          </w:tcPr>
          <w:p w:rsidRPr="00B41A05" w:rsidR="00D87E44" w:rsidRDefault="00D87E44" w14:paraId="15457DB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993" w:type="dxa"/>
            <w:shd w:val="clear" w:color="auto" w:fill="C6EFCE"/>
          </w:tcPr>
          <w:p w:rsidRPr="00B41A05" w:rsidR="00D87E44" w:rsidRDefault="00D87E44" w14:paraId="15457DB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245 327</w:t>
            </w:r>
          </w:p>
        </w:tc>
        <w:tc>
          <w:tcPr>
            <w:tcW w:w="850" w:type="dxa"/>
            <w:shd w:val="clear" w:color="auto" w:fill="C6EFCE"/>
          </w:tcPr>
          <w:p w:rsidRPr="00B41A05" w:rsidR="00D87E44" w:rsidRDefault="00D87E44" w14:paraId="15457DB4" w14:textId="77777777">
            <w:pPr>
              <w:spacing w:before="0" w:after="0" w:line="240" w:lineRule="auto"/>
              <w:rPr>
                <w:rFonts w:eastAsia="Times New Roman"/>
                <w:noProof/>
                <w:color w:val="004300"/>
                <w:sz w:val="18"/>
                <w:szCs w:val="18"/>
                <w:lang w:val="en-IE" w:eastAsia="en-GB"/>
              </w:rPr>
            </w:pPr>
            <w:r w:rsidRPr="344336DB">
              <w:rPr>
                <w:rFonts w:eastAsia="Times New Roman"/>
                <w:noProof/>
                <w:color w:val="004300"/>
                <w:sz w:val="18"/>
                <w:szCs w:val="18"/>
                <w:lang w:val="en-IE" w:eastAsia="en-GB"/>
              </w:rPr>
              <w:t>Q4</w:t>
            </w:r>
          </w:p>
        </w:tc>
        <w:tc>
          <w:tcPr>
            <w:tcW w:w="731" w:type="dxa"/>
            <w:shd w:val="clear" w:color="auto" w:fill="C6EFCE"/>
          </w:tcPr>
          <w:p w:rsidRPr="00B41A05" w:rsidR="00D87E44" w:rsidRDefault="00D87E44" w14:paraId="15457DB5" w14:textId="77777777">
            <w:pPr>
              <w:spacing w:before="0" w:after="0" w:line="240" w:lineRule="auto"/>
              <w:rPr>
                <w:rFonts w:eastAsia="Times New Roman"/>
                <w:noProof/>
                <w:color w:val="004300"/>
                <w:sz w:val="18"/>
                <w:szCs w:val="18"/>
                <w:lang w:val="en-IE" w:eastAsia="en-GB"/>
              </w:rPr>
            </w:pPr>
            <w:r w:rsidRPr="344336DB">
              <w:rPr>
                <w:rFonts w:eastAsia="Times New Roman"/>
                <w:noProof/>
                <w:color w:val="004300"/>
                <w:sz w:val="18"/>
                <w:szCs w:val="18"/>
                <w:lang w:val="en-IE" w:eastAsia="en-GB"/>
              </w:rPr>
              <w:t>2025</w:t>
            </w:r>
          </w:p>
        </w:tc>
        <w:tc>
          <w:tcPr>
            <w:tcW w:w="5087" w:type="dxa"/>
            <w:shd w:val="clear" w:color="auto" w:fill="C6EFCE"/>
          </w:tcPr>
          <w:p w:rsidRPr="00FF1320" w:rsidR="00D87E44" w:rsidRDefault="00D87E44" w14:paraId="15457DB6" w14:textId="77777777">
            <w:pPr>
              <w:spacing w:before="0" w:after="0" w:line="240" w:lineRule="auto"/>
              <w:rPr>
                <w:sz w:val="18"/>
                <w:lang w:val="en-IE"/>
              </w:rPr>
            </w:pPr>
            <w:r w:rsidRPr="00302C20">
              <w:rPr>
                <w:rFonts w:eastAsia="Times New Roman"/>
                <w:noProof/>
                <w:color w:val="004300"/>
                <w:sz w:val="18"/>
                <w:szCs w:val="18"/>
                <w:lang w:val="en-IE" w:eastAsia="en-GB"/>
              </w:rPr>
              <w:t>Estimated primary energy savings of 245</w:t>
            </w:r>
            <w:r>
              <w:rPr>
                <w:rFonts w:eastAsia="Times New Roman"/>
                <w:noProof/>
                <w:color w:val="004300"/>
                <w:sz w:val="18"/>
                <w:szCs w:val="18"/>
                <w:lang w:val="en-IE" w:eastAsia="en-GB"/>
              </w:rPr>
              <w:t> </w:t>
            </w:r>
            <w:r w:rsidRPr="00302C20">
              <w:rPr>
                <w:rFonts w:eastAsia="Times New Roman"/>
                <w:noProof/>
                <w:color w:val="004300"/>
                <w:sz w:val="18"/>
                <w:szCs w:val="18"/>
                <w:lang w:val="en-IE" w:eastAsia="en-GB"/>
              </w:rPr>
              <w:t xml:space="preserve">327 GJ shall be demonstrated through project-specific energy audits. </w:t>
            </w:r>
          </w:p>
        </w:tc>
      </w:tr>
    </w:tbl>
    <w:p w:rsidRPr="00FE48E2" w:rsidR="00D87E44" w:rsidP="00D226F4" w:rsidRDefault="00D87E44" w14:paraId="15457DB8" w14:textId="77777777">
      <w:pPr>
        <w:pBdr>
          <w:top w:val="nil"/>
          <w:left w:val="nil"/>
          <w:bottom w:val="nil"/>
          <w:right w:val="nil"/>
          <w:between w:val="nil"/>
        </w:pBdr>
        <w:spacing w:line="240" w:lineRule="auto"/>
        <w:jc w:val="both"/>
        <w:rPr>
          <w:rFonts w:eastAsia="Times New Roman"/>
          <w:noProof/>
          <w:color w:val="000000"/>
          <w:szCs w:val="24"/>
          <w:lang w:val="en-IE" w:eastAsia="en-GB"/>
        </w:rPr>
        <w:sectPr w:rsidRPr="00FE48E2" w:rsidR="00C16C1F" w:rsidSect="00D226F4">
          <w:headerReference w:type="even" r:id="Rb81883aa7c234c3f"/>
          <w:headerReference w:type="default" r:id="Rfd2857bc77b44c0f"/>
          <w:footerReference w:type="even" r:id="R193a0e3c6ed544bc"/>
          <w:footerReference w:type="default" r:id="R1fdd8fd27e024f2d"/>
          <w:headerReference w:type="first" r:id="Rb119b129b5ab4c6e"/>
          <w:footerReference w:type="first" r:id="Rd0ad81ee5e8c437b"/>
          <w:pgSz w:w="16839" w:h="11907" w:orient="landscape"/>
          <w:pgMar w:top="1134" w:right="1134" w:bottom="1134" w:left="1134" w:header="567" w:footer="567" w:gutter="0"/>
          <w:cols w:space="720"/>
          <w:docGrid w:linePitch="326"/>
        </w:sectPr>
      </w:pPr>
    </w:p>
    <w:p w:rsidRPr="00FE48E2" w:rsidR="00D87E44" w:rsidP="00D226F4" w:rsidRDefault="00D87E44" w14:paraId="15457DB9" w14:textId="77777777">
      <w:pPr>
        <w:keepNext/>
        <w:tabs>
          <w:tab w:val="left" w:pos="850"/>
        </w:tabs>
        <w:spacing w:line="240" w:lineRule="auto"/>
        <w:jc w:val="both"/>
        <w:outlineLvl w:val="0"/>
        <w:rPr>
          <w:b/>
          <w:bCs/>
          <w:smallCaps/>
          <w:noProof/>
          <w:lang w:val="en-IE"/>
        </w:rPr>
      </w:pPr>
      <w:r w:rsidRPr="1098CA09">
        <w:rPr>
          <w:b/>
          <w:bCs/>
          <w:smallCaps/>
          <w:noProof/>
          <w:lang w:val="en-IE"/>
        </w:rPr>
        <w:lastRenderedPageBreak/>
        <w:t xml:space="preserve">K. COMPONENT 2.4: </w:t>
      </w:r>
      <w:r w:rsidRPr="00F93FA2">
        <w:rPr>
          <w:b/>
          <w:bCs/>
          <w:smallCaps/>
          <w:noProof/>
          <w:lang w:val="en-IE"/>
        </w:rPr>
        <w:t>Clean</w:t>
      </w:r>
      <w:r w:rsidRPr="1098CA09">
        <w:rPr>
          <w:b/>
          <w:bCs/>
          <w:smallCaps/>
          <w:noProof/>
          <w:lang w:val="en-IE"/>
        </w:rPr>
        <w:t xml:space="preserve"> Mobility </w:t>
      </w:r>
    </w:p>
    <w:p w:rsidRPr="00FE48E2" w:rsidR="00D87E44" w:rsidP="00D226F4" w:rsidRDefault="00D87E44" w14:paraId="15457DBA"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This component of the Czech recovery and resilience plan aims at supporting the objectives of the Updated National Action Plan for Clean Mobility of Czech Republic based on </w:t>
      </w:r>
      <w:r w:rsidRPr="00FE48E2">
        <w:rPr>
          <w:rFonts w:eastAsia="Times New Roman"/>
          <w:noProof/>
          <w:color w:val="000000"/>
          <w:szCs w:val="24"/>
          <w:lang w:val="en-IE"/>
        </w:rPr>
        <w:t>the Directive 2014/94/EU. One of the main strategic goals of the Action Plan is to achieve the operation of between 220</w:t>
      </w:r>
      <w:r>
        <w:rPr>
          <w:rFonts w:eastAsia="Times New Roman"/>
          <w:noProof/>
          <w:color w:val="000000"/>
          <w:szCs w:val="24"/>
          <w:lang w:val="en-IE"/>
        </w:rPr>
        <w:t> </w:t>
      </w:r>
      <w:r w:rsidRPr="00FE48E2">
        <w:rPr>
          <w:rFonts w:eastAsia="Times New Roman"/>
          <w:noProof/>
          <w:color w:val="000000"/>
          <w:szCs w:val="24"/>
          <w:lang w:val="en-IE"/>
        </w:rPr>
        <w:t>000 and 500</w:t>
      </w:r>
      <w:r>
        <w:rPr>
          <w:rFonts w:eastAsia="Times New Roman"/>
          <w:noProof/>
          <w:color w:val="000000"/>
          <w:szCs w:val="24"/>
          <w:lang w:val="en-IE"/>
        </w:rPr>
        <w:t> </w:t>
      </w:r>
      <w:r w:rsidRPr="00FE48E2">
        <w:rPr>
          <w:rFonts w:eastAsia="Times New Roman"/>
          <w:noProof/>
          <w:color w:val="000000"/>
          <w:szCs w:val="24"/>
          <w:lang w:val="en-IE"/>
        </w:rPr>
        <w:t>000 electric vehicles in Czechia by 2030. This objective is to be reached by stimulating demand through subsidies, favouring electric vehicles on the road, supporting the construction of charging infrastructures and providing information to the public. In addition to the subsidy programme for businesses, the same initiative has been announced for municipalities, regions, and ot</w:t>
      </w:r>
      <w:r w:rsidRPr="00FE48E2">
        <w:rPr>
          <w:rFonts w:eastAsia="Times New Roman"/>
          <w:noProof/>
          <w:color w:val="000000"/>
          <w:szCs w:val="24"/>
          <w:lang w:val="en-IE"/>
        </w:rPr>
        <w:t xml:space="preserve">her public entities. </w:t>
      </w:r>
    </w:p>
    <w:p w:rsidRPr="00FE48E2" w:rsidR="00D87E44" w:rsidP="00D226F4" w:rsidRDefault="00D87E44" w14:paraId="15457DBB" w14:textId="77777777">
      <w:pPr>
        <w:pBdr>
          <w:top w:val="nil"/>
          <w:left w:val="nil"/>
          <w:bottom w:val="nil"/>
          <w:right w:val="nil"/>
          <w:between w:val="nil"/>
        </w:pBdr>
        <w:spacing w:line="240" w:lineRule="auto"/>
        <w:jc w:val="both"/>
        <w:rPr>
          <w:rFonts w:eastAsia="Times New Roman"/>
          <w:noProof/>
          <w:szCs w:val="24"/>
          <w:lang w:val="en-IE"/>
        </w:rPr>
      </w:pPr>
      <w:r w:rsidRPr="00FE48E2">
        <w:rPr>
          <w:rFonts w:eastAsia="Times New Roman"/>
          <w:noProof/>
          <w:color w:val="000000"/>
          <w:szCs w:val="24"/>
          <w:lang w:val="en-IE"/>
        </w:rPr>
        <w:t xml:space="preserve">The component supports addressing country-specific recommendation 3, 2019, according to which Czechia shall </w:t>
      </w:r>
      <w:r w:rsidRPr="00FE48E2">
        <w:rPr>
          <w:rFonts w:eastAsia="Times New Roman"/>
          <w:noProof/>
          <w:szCs w:val="24"/>
          <w:lang w:val="en-IE"/>
        </w:rPr>
        <w:t>focus investment on the green and digital transition, in particular on high-capacity digital infrastructure and technologies, clean and efficient production and use of energy, and sustainable transport infrastructure, including in the coal regions, and country-specific recommendation 3, 2020, according to which Czechia shall focus investment-related economic policy on transport, notably on its sustainability, digital infrastructure, and low carbon and energy transition, including energy efficiency, taking i</w:t>
      </w:r>
      <w:r w:rsidRPr="00FE48E2">
        <w:rPr>
          <w:rFonts w:eastAsia="Times New Roman"/>
          <w:noProof/>
          <w:szCs w:val="24"/>
          <w:lang w:val="en-IE"/>
        </w:rPr>
        <w:t xml:space="preserve">nto account regional disparities. </w:t>
      </w:r>
    </w:p>
    <w:p w:rsidRPr="007747A1" w:rsidR="00D87E44" w:rsidP="00D226F4" w:rsidRDefault="00D87E44" w14:paraId="15457DBC"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7DBD"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ascii="Calibri" w:hAnsi="Calibri"/>
          <w:noProof/>
          <w:sz w:val="22"/>
          <w:lang w:val="en-IE"/>
        </w:rPr>
        <w:t xml:space="preserve">  </w:t>
      </w:r>
    </w:p>
    <w:p w:rsidRPr="00FE48E2" w:rsidR="00D87E44" w:rsidP="00D226F4" w:rsidRDefault="00D87E44" w14:paraId="15457DBE" w14:textId="77777777">
      <w:pPr>
        <w:pBdr>
          <w:top w:val="nil"/>
          <w:left w:val="nil"/>
          <w:bottom w:val="nil"/>
          <w:right w:val="nil"/>
          <w:between w:val="nil"/>
        </w:pBdr>
        <w:spacing w:line="240" w:lineRule="auto"/>
        <w:jc w:val="both"/>
        <w:rPr>
          <w:rFonts w:eastAsia="Times New Roman"/>
          <w:b/>
          <w:bCs/>
          <w:i/>
          <w:iCs/>
          <w:noProof/>
          <w:lang w:val="en-IE"/>
        </w:rPr>
      </w:pPr>
      <w:r w:rsidRPr="1098CA09">
        <w:rPr>
          <w:rFonts w:eastAsia="Times New Roman"/>
          <w:b/>
          <w:bCs/>
          <w:noProof/>
          <w:color w:val="000000" w:themeColor="text1"/>
          <w:u w:val="single"/>
          <w:lang w:val="en-IE"/>
        </w:rPr>
        <w:t>K.1. Description of the reforms and investments for non-repayable financial support</w:t>
      </w:r>
    </w:p>
    <w:p w:rsidRPr="00FE48E2" w:rsidR="00D87E44" w:rsidP="00D226F4" w:rsidRDefault="00D87E44" w14:paraId="15457DBF"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Investment 1: Building infrastructure for public transport in the city of Prague</w:t>
      </w:r>
    </w:p>
    <w:p w:rsidRPr="00FE48E2" w:rsidR="00D87E44" w:rsidP="00D226F4" w:rsidRDefault="00D87E44" w14:paraId="15457DC0" w14:textId="77777777">
      <w:pPr>
        <w:spacing w:line="240" w:lineRule="auto"/>
        <w:jc w:val="both"/>
        <w:rPr>
          <w:rFonts w:eastAsia="Times New Roman"/>
          <w:noProof/>
          <w:color w:val="000000"/>
          <w:lang w:val="en-IE"/>
        </w:rPr>
      </w:pPr>
      <w:r w:rsidRPr="176ACC06">
        <w:rPr>
          <w:rFonts w:eastAsia="Times New Roman"/>
          <w:noProof/>
          <w:color w:val="000000" w:themeColor="text1"/>
          <w:lang w:val="en-IE"/>
        </w:rPr>
        <w:t xml:space="preserve">The </w:t>
      </w:r>
      <w:r w:rsidRPr="00FF1320">
        <w:rPr>
          <w:color w:val="000000" w:themeColor="text1"/>
          <w:lang w:val="en-IE"/>
        </w:rPr>
        <w:t xml:space="preserve">objective of this </w:t>
      </w:r>
      <w:r w:rsidRPr="176ACC06">
        <w:rPr>
          <w:rFonts w:eastAsia="Times New Roman"/>
          <w:noProof/>
          <w:color w:val="000000" w:themeColor="text1"/>
          <w:lang w:val="en-IE"/>
        </w:rPr>
        <w:t>investment</w:t>
      </w:r>
      <w:r w:rsidRPr="00FF1320">
        <w:rPr>
          <w:color w:val="000000" w:themeColor="text1"/>
          <w:lang w:val="en-IE"/>
        </w:rPr>
        <w:t xml:space="preserve"> is to renew and decarbonise the public transport fleet in Prague. </w:t>
      </w:r>
      <w:r w:rsidRPr="176ACC06">
        <w:rPr>
          <w:rFonts w:eastAsia="Times New Roman"/>
          <w:noProof/>
          <w:color w:val="000000" w:themeColor="text1"/>
          <w:lang w:val="en-IE"/>
        </w:rPr>
        <w:t>The investment consists of</w:t>
      </w:r>
      <w:r w:rsidRPr="00FF1320">
        <w:rPr>
          <w:color w:val="000000" w:themeColor="text1"/>
          <w:lang w:val="en-IE"/>
        </w:rPr>
        <w:t xml:space="preserve"> increasing the number of charging points </w:t>
      </w:r>
      <w:r w:rsidRPr="176ACC06">
        <w:rPr>
          <w:rFonts w:eastAsia="Times New Roman"/>
          <w:noProof/>
          <w:color w:val="000000" w:themeColor="text1"/>
          <w:lang w:val="en-IE"/>
        </w:rPr>
        <w:t xml:space="preserve">and </w:t>
      </w:r>
      <w:r w:rsidRPr="00FF1320">
        <w:rPr>
          <w:color w:val="000000" w:themeColor="text1"/>
          <w:lang w:val="en-IE"/>
        </w:rPr>
        <w:t>increasing the section</w:t>
      </w:r>
      <w:r w:rsidRPr="176ACC06">
        <w:rPr>
          <w:rFonts w:eastAsia="Times New Roman"/>
          <w:noProof/>
          <w:color w:val="000000" w:themeColor="text1"/>
          <w:lang w:val="en-IE"/>
        </w:rPr>
        <w:t>s</w:t>
      </w:r>
      <w:r w:rsidRPr="00FF1320">
        <w:rPr>
          <w:color w:val="000000" w:themeColor="text1"/>
          <w:lang w:val="en-IE"/>
        </w:rPr>
        <w:t xml:space="preserve"> of dynamic charging roads </w:t>
      </w:r>
      <w:r w:rsidRPr="176ACC06">
        <w:rPr>
          <w:rFonts w:eastAsia="Times New Roman"/>
          <w:noProof/>
          <w:color w:val="000000" w:themeColor="text1"/>
          <w:lang w:val="en-IE"/>
        </w:rPr>
        <w:t>for Prague public transport fleet</w:t>
      </w:r>
      <w:r w:rsidRPr="00FF1320">
        <w:rPr>
          <w:color w:val="000000" w:themeColor="text1"/>
          <w:lang w:val="en-IE"/>
        </w:rPr>
        <w:t xml:space="preserve">. </w:t>
      </w:r>
    </w:p>
    <w:p w:rsidRPr="008C7FAF" w:rsidR="00D87E44" w:rsidP="00D226F4" w:rsidRDefault="00D87E44" w14:paraId="15457DC1" w14:textId="77777777">
      <w:pPr>
        <w:pBdr>
          <w:top w:val="nil"/>
          <w:left w:val="nil"/>
          <w:bottom w:val="nil"/>
          <w:right w:val="nil"/>
          <w:between w:val="nil"/>
        </w:pBdr>
        <w:spacing w:line="240" w:lineRule="auto"/>
        <w:jc w:val="both"/>
        <w:rPr>
          <w:rFonts w:eastAsia="Times New Roman"/>
          <w:b/>
          <w:noProof/>
          <w:color w:val="000000"/>
          <w:lang w:val="en-IE"/>
        </w:rPr>
      </w:pPr>
      <w:r w:rsidRPr="00FF1320">
        <w:rPr>
          <w:b/>
          <w:color w:val="000000" w:themeColor="text1"/>
          <w:lang w:val="en-IE"/>
        </w:rPr>
        <w:t>Investment 2: Building infrastructure – Recharging points for private companies</w:t>
      </w:r>
    </w:p>
    <w:p w:rsidRPr="00FF1320" w:rsidR="00D87E44" w:rsidP="00FF1320" w:rsidRDefault="00D87E44" w14:paraId="15457DC2" w14:textId="77777777">
      <w:pPr>
        <w:spacing w:after="0" w:line="240" w:lineRule="auto"/>
        <w:jc w:val="both"/>
        <w:rPr>
          <w:color w:val="000000"/>
          <w:lang w:val="en-IE"/>
        </w:rPr>
      </w:pPr>
      <w:r w:rsidRPr="008C7FAF">
        <w:rPr>
          <w:noProof/>
          <w:color w:val="000000" w:themeColor="text1"/>
          <w:lang w:val="en-IE"/>
        </w:rPr>
        <w:t>The objective of this investment is to stimulate zero-emission mobility in Czechia. The investment consists of increasing the number of recharging points for private companies and self-employed persons</w:t>
      </w:r>
      <w:r w:rsidRPr="17B29258">
        <w:rPr>
          <w:noProof/>
          <w:color w:val="000000" w:themeColor="text1"/>
          <w:lang w:val="en-IE"/>
        </w:rPr>
        <w:t xml:space="preserve">. </w:t>
      </w:r>
    </w:p>
    <w:p w:rsidRPr="00FE48E2" w:rsidR="00D87E44" w:rsidP="00D226F4" w:rsidRDefault="00D87E44" w14:paraId="15457DC3" w14:textId="77777777">
      <w:pPr>
        <w:spacing w:line="240" w:lineRule="auto"/>
        <w:rPr>
          <w:rFonts w:eastAsia="Times New Roman"/>
          <w:b/>
          <w:noProof/>
          <w:color w:val="000000"/>
          <w:szCs w:val="24"/>
          <w:lang w:val="en-IE"/>
        </w:rPr>
      </w:pPr>
      <w:r w:rsidRPr="00FE48E2">
        <w:rPr>
          <w:rFonts w:eastAsia="Times New Roman"/>
          <w:b/>
          <w:noProof/>
          <w:color w:val="000000"/>
          <w:szCs w:val="24"/>
          <w:lang w:val="en-IE"/>
        </w:rPr>
        <w:t>Investment 3: Building infrastructure – Recharging points for residential buildings</w:t>
      </w:r>
    </w:p>
    <w:p w:rsidRPr="00FE48E2" w:rsidR="00D87E44" w:rsidP="00D226F4" w:rsidRDefault="00D87E44" w14:paraId="15457DC4" w14:textId="77777777">
      <w:pPr>
        <w:pBdr>
          <w:top w:val="nil"/>
          <w:left w:val="nil"/>
          <w:bottom w:val="nil"/>
          <w:right w:val="nil"/>
          <w:between w:val="nil"/>
        </w:pBdr>
        <w:spacing w:line="240" w:lineRule="auto"/>
        <w:jc w:val="both"/>
        <w:rPr>
          <w:rFonts w:eastAsia="Times New Roman"/>
          <w:noProof/>
          <w:color w:val="000000"/>
          <w:lang w:val="en-IE"/>
        </w:rPr>
      </w:pPr>
      <w:r w:rsidRPr="17B29258">
        <w:rPr>
          <w:rFonts w:eastAsia="Times New Roman"/>
          <w:noProof/>
          <w:color w:val="000000" w:themeColor="text1"/>
          <w:lang w:val="en-IE"/>
        </w:rPr>
        <w:t>The</w:t>
      </w:r>
      <w:r w:rsidRPr="00FF1320">
        <w:rPr>
          <w:color w:val="000000" w:themeColor="text1"/>
          <w:lang w:val="en-IE"/>
        </w:rPr>
        <w:t xml:space="preserve"> objective </w:t>
      </w:r>
      <w:r w:rsidRPr="17B29258">
        <w:rPr>
          <w:rFonts w:eastAsia="Times New Roman"/>
          <w:noProof/>
          <w:color w:val="000000" w:themeColor="text1"/>
          <w:lang w:val="en-IE"/>
        </w:rPr>
        <w:t xml:space="preserve">of this investment is </w:t>
      </w:r>
      <w:r w:rsidRPr="00FF1320">
        <w:rPr>
          <w:color w:val="000000" w:themeColor="text1"/>
          <w:lang w:val="en-IE"/>
        </w:rPr>
        <w:t xml:space="preserve">to contribute to the </w:t>
      </w:r>
      <w:r>
        <w:rPr>
          <w:rFonts w:eastAsia="Times New Roman"/>
          <w:noProof/>
          <w:color w:val="000000" w:themeColor="text1"/>
          <w:lang w:val="en-IE"/>
        </w:rPr>
        <w:t>uptake</w:t>
      </w:r>
      <w:r w:rsidRPr="00FF1320">
        <w:rPr>
          <w:color w:val="000000" w:themeColor="text1"/>
          <w:lang w:val="en-IE"/>
        </w:rPr>
        <w:t xml:space="preserve"> of </w:t>
      </w:r>
      <w:r>
        <w:rPr>
          <w:rFonts w:eastAsia="Times New Roman"/>
          <w:noProof/>
          <w:color w:val="000000" w:themeColor="text1"/>
          <w:lang w:val="en-IE"/>
        </w:rPr>
        <w:t>zero-emission mobility</w:t>
      </w:r>
      <w:r w:rsidRPr="17B29258">
        <w:rPr>
          <w:rFonts w:eastAsia="Times New Roman"/>
          <w:noProof/>
          <w:color w:val="000000" w:themeColor="text1"/>
          <w:lang w:val="en-IE"/>
        </w:rPr>
        <w:t xml:space="preserve"> by supporting the </w:t>
      </w:r>
      <w:r>
        <w:rPr>
          <w:rFonts w:eastAsia="Times New Roman"/>
          <w:noProof/>
          <w:color w:val="000000" w:themeColor="text1"/>
          <w:lang w:val="en-IE"/>
        </w:rPr>
        <w:t>installation</w:t>
      </w:r>
      <w:r w:rsidRPr="17B29258">
        <w:rPr>
          <w:rFonts w:eastAsia="Times New Roman"/>
          <w:noProof/>
          <w:color w:val="000000" w:themeColor="text1"/>
          <w:lang w:val="en-IE"/>
        </w:rPr>
        <w:t xml:space="preserve"> of recharging points. The</w:t>
      </w:r>
      <w:r w:rsidRPr="00FF1320">
        <w:rPr>
          <w:color w:val="000000" w:themeColor="text1"/>
          <w:lang w:val="en-IE"/>
        </w:rPr>
        <w:t xml:space="preserve"> investment </w:t>
      </w:r>
      <w:r w:rsidRPr="17B29258">
        <w:rPr>
          <w:rFonts w:eastAsia="Times New Roman"/>
          <w:noProof/>
          <w:color w:val="000000" w:themeColor="text1"/>
          <w:lang w:val="en-IE"/>
        </w:rPr>
        <w:t>consists</w:t>
      </w:r>
      <w:r w:rsidRPr="00FF1320">
        <w:rPr>
          <w:color w:val="000000" w:themeColor="text1"/>
          <w:lang w:val="en-IE"/>
        </w:rPr>
        <w:t xml:space="preserve"> of increasing the number of recharging points in residential buildings.</w:t>
      </w:r>
    </w:p>
    <w:p w:rsidRPr="008C7FAF" w:rsidR="00D87E44" w:rsidP="00D226F4" w:rsidRDefault="00D87E44" w14:paraId="15457DC5" w14:textId="77777777">
      <w:pPr>
        <w:pBdr>
          <w:top w:val="nil"/>
          <w:left w:val="nil"/>
          <w:bottom w:val="nil"/>
          <w:right w:val="nil"/>
          <w:between w:val="nil"/>
        </w:pBdr>
        <w:spacing w:line="240" w:lineRule="auto"/>
        <w:jc w:val="both"/>
        <w:rPr>
          <w:rFonts w:eastAsia="Times New Roman"/>
          <w:b/>
          <w:noProof/>
          <w:color w:val="000000"/>
          <w:lang w:val="en-IE"/>
        </w:rPr>
      </w:pPr>
      <w:r w:rsidRPr="00FF1320">
        <w:rPr>
          <w:b/>
          <w:color w:val="000000" w:themeColor="text1"/>
          <w:lang w:val="en-IE"/>
        </w:rPr>
        <w:t xml:space="preserve">Investment 4: Aid for purchase of vehicles – </w:t>
      </w:r>
      <w:r w:rsidRPr="008C7FAF">
        <w:rPr>
          <w:rFonts w:eastAsia="Times New Roman"/>
          <w:b/>
          <w:noProof/>
          <w:color w:val="000000" w:themeColor="text1"/>
          <w:lang w:val="en-IE"/>
        </w:rPr>
        <w:t>zero-emission vehicles for private companies</w:t>
      </w:r>
    </w:p>
    <w:p w:rsidRPr="008C7FAF" w:rsidR="00D87E44" w:rsidP="00D226F4" w:rsidRDefault="00D87E44" w14:paraId="15457DC6" w14:textId="77777777">
      <w:pPr>
        <w:pBdr>
          <w:top w:val="nil"/>
          <w:left w:val="nil"/>
          <w:bottom w:val="nil"/>
          <w:right w:val="nil"/>
          <w:between w:val="nil"/>
        </w:pBdr>
        <w:spacing w:line="240" w:lineRule="auto"/>
        <w:jc w:val="both"/>
        <w:rPr>
          <w:rFonts w:eastAsia="Times New Roman"/>
          <w:noProof/>
          <w:color w:val="000000"/>
          <w:lang w:val="en-IE"/>
        </w:rPr>
      </w:pPr>
      <w:r w:rsidRPr="008C7FAF">
        <w:rPr>
          <w:rFonts w:eastAsia="Times New Roman"/>
          <w:noProof/>
          <w:color w:val="000000" w:themeColor="text1"/>
          <w:lang w:val="en-IE"/>
        </w:rPr>
        <w:t xml:space="preserve">The objective of this investment is to stimulate demand for zero-emission </w:t>
      </w:r>
      <w:r w:rsidRPr="00FF1320">
        <w:rPr>
          <w:color w:val="000000" w:themeColor="text1"/>
          <w:lang w:val="en-IE"/>
        </w:rPr>
        <w:t>vehicles</w:t>
      </w:r>
      <w:r w:rsidRPr="008C7FAF">
        <w:rPr>
          <w:rFonts w:eastAsia="Times New Roman"/>
          <w:noProof/>
          <w:color w:val="000000" w:themeColor="text1"/>
          <w:lang w:val="en-IE"/>
        </w:rPr>
        <w:t xml:space="preserve">. </w:t>
      </w:r>
      <w:r w:rsidRPr="009F2AAF">
        <w:rPr>
          <w:rFonts w:eastAsia="Times New Roman"/>
          <w:noProof/>
          <w:color w:val="000000" w:themeColor="text1"/>
          <w:lang w:val="en-IE"/>
        </w:rPr>
        <w:t>The investment consists of increasing the number of zero-emission cars and vans</w:t>
      </w:r>
      <w:r w:rsidRPr="00FF1320">
        <w:rPr>
          <w:color w:val="000000" w:themeColor="text1"/>
          <w:lang w:val="en-IE"/>
        </w:rPr>
        <w:t xml:space="preserve"> for private companies</w:t>
      </w:r>
      <w:r w:rsidRPr="009F2AAF">
        <w:rPr>
          <w:rFonts w:eastAsia="Times New Roman"/>
          <w:noProof/>
          <w:color w:val="000000" w:themeColor="text1"/>
          <w:lang w:val="en-IE"/>
        </w:rPr>
        <w:t xml:space="preserve"> and self-employed persons</w:t>
      </w:r>
      <w:r>
        <w:rPr>
          <w:rFonts w:eastAsia="Times New Roman"/>
          <w:noProof/>
          <w:color w:val="000000" w:themeColor="text1"/>
          <w:lang w:val="en-IE"/>
        </w:rPr>
        <w:t>.</w:t>
      </w:r>
      <w:r w:rsidRPr="00FF1320">
        <w:rPr>
          <w:lang w:val="en-IE"/>
        </w:rPr>
        <w:t xml:space="preserve"> </w:t>
      </w:r>
    </w:p>
    <w:p w:rsidRPr="00FE48E2" w:rsidR="00D87E44" w:rsidP="00D226F4" w:rsidRDefault="00D87E44" w14:paraId="15457DC7" w14:textId="77777777">
      <w:pPr>
        <w:pBdr>
          <w:top w:val="nil"/>
          <w:left w:val="nil"/>
          <w:bottom w:val="nil"/>
          <w:right w:val="nil"/>
          <w:between w:val="nil"/>
        </w:pBdr>
        <w:spacing w:line="240" w:lineRule="auto"/>
        <w:jc w:val="both"/>
        <w:rPr>
          <w:rFonts w:eastAsia="Times New Roman"/>
          <w:b/>
          <w:noProof/>
          <w:color w:val="000000"/>
          <w:lang w:val="en-IE"/>
        </w:rPr>
      </w:pPr>
      <w:r w:rsidRPr="75076D49">
        <w:rPr>
          <w:rFonts w:eastAsia="Times New Roman"/>
          <w:b/>
          <w:noProof/>
          <w:color w:val="000000" w:themeColor="text1"/>
          <w:lang w:val="en-IE"/>
        </w:rPr>
        <w:lastRenderedPageBreak/>
        <w:t xml:space="preserve">Investment 5: Aid for purchase of </w:t>
      </w:r>
      <w:r>
        <w:rPr>
          <w:rFonts w:eastAsia="Times New Roman"/>
          <w:b/>
          <w:noProof/>
          <w:color w:val="000000" w:themeColor="text1"/>
          <w:lang w:val="en-IE"/>
        </w:rPr>
        <w:t xml:space="preserve">zero-emission </w:t>
      </w:r>
      <w:r w:rsidRPr="75076D49">
        <w:rPr>
          <w:rFonts w:eastAsia="Times New Roman"/>
          <w:b/>
          <w:noProof/>
          <w:color w:val="000000" w:themeColor="text1"/>
          <w:lang w:val="en-IE"/>
        </w:rPr>
        <w:t xml:space="preserve">vehicles and infrastructure for municipalities, regions, state administration and other public entities </w:t>
      </w:r>
    </w:p>
    <w:p w:rsidRPr="00FF1320" w:rsidR="00D87E44" w:rsidP="4A45BCA2" w:rsidRDefault="00D87E44" w14:paraId="15457DC8" w14:textId="77777777">
      <w:pPr>
        <w:pBdr>
          <w:top w:val="nil"/>
          <w:left w:val="nil"/>
          <w:bottom w:val="nil"/>
          <w:right w:val="nil"/>
          <w:between w:val="nil"/>
        </w:pBdr>
        <w:spacing w:line="240" w:lineRule="auto"/>
        <w:jc w:val="both"/>
        <w:rPr>
          <w:color w:val="000000" w:themeColor="text1"/>
          <w:lang w:val="en-IE"/>
        </w:rPr>
      </w:pPr>
      <w:r w:rsidRPr="4A45BCA2">
        <w:rPr>
          <w:rFonts w:eastAsia="Times New Roman"/>
          <w:noProof/>
          <w:color w:val="000000" w:themeColor="text1"/>
          <w:lang w:val="en-IE"/>
        </w:rPr>
        <w:t>The objective of this investment</w:t>
      </w:r>
      <w:r w:rsidRPr="4A45BCA2">
        <w:rPr>
          <w:rFonts w:eastAsia="Times New Roman"/>
          <w:noProof/>
          <w:lang w:val="en-IE"/>
        </w:rPr>
        <w:t xml:space="preserve"> </w:t>
      </w:r>
      <w:r w:rsidRPr="4A45BCA2">
        <w:rPr>
          <w:rFonts w:eastAsia="Times New Roman"/>
          <w:noProof/>
          <w:color w:val="000000" w:themeColor="text1"/>
          <w:lang w:val="en-IE"/>
        </w:rPr>
        <w:t>is to increase zero-emission mobility in the Czech public admini</w:t>
      </w:r>
      <w:r w:rsidRPr="4A45BCA2">
        <w:rPr>
          <w:rFonts w:eastAsia="Times New Roman"/>
          <w:noProof/>
          <w:color w:val="000000" w:themeColor="text1"/>
          <w:lang w:val="en-IE"/>
        </w:rPr>
        <w:t xml:space="preserve">stration. The investment consists of increasing the number of zero-emission vehicles and recharging points. </w:t>
      </w:r>
    </w:p>
    <w:p w:rsidRPr="00FF1320" w:rsidR="00D87E44" w:rsidP="00D226F4" w:rsidRDefault="00D87E44" w14:paraId="15457DC9" w14:textId="77777777">
      <w:pPr>
        <w:pBdr>
          <w:top w:val="nil"/>
          <w:left w:val="nil"/>
          <w:bottom w:val="nil"/>
          <w:right w:val="nil"/>
          <w:between w:val="nil"/>
        </w:pBdr>
        <w:spacing w:line="240" w:lineRule="auto"/>
        <w:jc w:val="both"/>
        <w:rPr>
          <w:color w:val="000000"/>
          <w:lang w:val="en-IE"/>
        </w:rPr>
      </w:pPr>
    </w:p>
    <w:p w:rsidRPr="00FE48E2" w:rsidR="00D87E44" w:rsidP="00D226F4" w:rsidRDefault="00D87E44" w14:paraId="15457DCA"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Investment 6: Aid for purchase of vehicles (battery trolleybuses and low-floor tramways) for public transport in the city of Prague</w:t>
      </w:r>
    </w:p>
    <w:p w:rsidRPr="00FE48E2" w:rsidR="00D87E44" w:rsidP="7CB0B9A9" w:rsidRDefault="00D87E44" w14:paraId="15457DCB" w14:textId="77777777">
      <w:pPr>
        <w:pBdr>
          <w:top w:val="nil"/>
          <w:left w:val="nil"/>
          <w:bottom w:val="nil"/>
          <w:right w:val="nil"/>
          <w:between w:val="nil"/>
        </w:pBdr>
        <w:spacing w:line="240" w:lineRule="auto"/>
        <w:jc w:val="both"/>
        <w:rPr>
          <w:rFonts w:eastAsia="Times New Roman"/>
          <w:noProof/>
          <w:color w:val="000000"/>
          <w:lang w:val="en-IE"/>
        </w:rPr>
      </w:pPr>
      <w:r w:rsidRPr="7CB0B9A9">
        <w:rPr>
          <w:rFonts w:eastAsia="Times New Roman"/>
          <w:noProof/>
          <w:color w:val="000000" w:themeColor="text1"/>
          <w:lang w:val="en-IE"/>
        </w:rPr>
        <w:t>The objective of this</w:t>
      </w:r>
      <w:r w:rsidRPr="00FF1320">
        <w:rPr>
          <w:color w:val="000000" w:themeColor="text1"/>
          <w:lang w:val="en-IE"/>
        </w:rPr>
        <w:t xml:space="preserve"> investment </w:t>
      </w:r>
      <w:r w:rsidRPr="7CB0B9A9">
        <w:rPr>
          <w:rFonts w:eastAsia="Times New Roman"/>
          <w:noProof/>
          <w:color w:val="000000" w:themeColor="text1"/>
          <w:lang w:val="en-IE"/>
        </w:rPr>
        <w:t xml:space="preserve">is to support zero-emission public transport in Prague. The investment consists of </w:t>
      </w:r>
      <w:r w:rsidRPr="00FF1320">
        <w:rPr>
          <w:color w:val="000000" w:themeColor="text1"/>
          <w:lang w:val="en-IE"/>
        </w:rPr>
        <w:t xml:space="preserve">purchase of trolleybuses and trams for the city of Prague. </w:t>
      </w:r>
    </w:p>
    <w:p w:rsidRPr="00FE48E2" w:rsidR="00D87E44" w:rsidP="00D226F4" w:rsidRDefault="00D87E44" w14:paraId="15457DCC" w14:textId="77777777">
      <w:pPr>
        <w:pBdr>
          <w:top w:val="nil"/>
          <w:left w:val="nil"/>
          <w:bottom w:val="nil"/>
          <w:right w:val="nil"/>
          <w:between w:val="nil"/>
        </w:pBdr>
        <w:spacing w:line="240" w:lineRule="auto"/>
        <w:rPr>
          <w:rFonts w:eastAsia="Times New Roman"/>
          <w:noProof/>
          <w:color w:val="000000"/>
          <w:u w:val="single"/>
          <w:lang w:val="en-IE" w:eastAsia="en-GB"/>
        </w:rPr>
        <w:sectPr w:rsidRPr="00FE48E2" w:rsidR="00C16C1F" w:rsidSect="00D226F4">
          <w:headerReference w:type="even" r:id="Rc7e577fa843049a3"/>
          <w:headerReference w:type="default" r:id="Rf7d9815030124db9"/>
          <w:footerReference w:type="even" r:id="R6aecad931e424433"/>
          <w:footerReference w:type="default" r:id="Rfecd6deee01a412e"/>
          <w:headerReference w:type="first" r:id="R039c970512014278"/>
          <w:footerReference w:type="first" r:id="R8ed56c8fd2b74077"/>
          <w:pgSz w:w="11907" w:h="16839"/>
          <w:pgMar w:top="1134" w:right="1134" w:bottom="1134" w:left="1134" w:header="567" w:footer="567" w:gutter="0"/>
          <w:cols w:space="720"/>
          <w:docGrid w:linePitch="326"/>
        </w:sectPr>
      </w:pPr>
    </w:p>
    <w:p w:rsidRPr="00FE48E2" w:rsidR="00D87E44" w:rsidP="00D226F4" w:rsidRDefault="00D87E44" w14:paraId="15457DCD" w14:textId="77777777">
      <w:pPr>
        <w:pBdr>
          <w:top w:val="nil"/>
          <w:left w:val="nil"/>
          <w:bottom w:val="nil"/>
          <w:right w:val="nil"/>
          <w:between w:val="nil"/>
        </w:pBdr>
        <w:spacing w:line="240" w:lineRule="auto"/>
        <w:ind w:firstLine="142"/>
        <w:jc w:val="both"/>
        <w:rPr>
          <w:rFonts w:ascii="Calibri" w:hAnsi="Calibri"/>
          <w:noProof/>
          <w:sz w:val="22"/>
          <w:lang w:val="en-IE"/>
        </w:rPr>
      </w:pPr>
      <w:r w:rsidRPr="1098CA09">
        <w:rPr>
          <w:rFonts w:eastAsia="Times New Roman"/>
          <w:b/>
          <w:bCs/>
          <w:noProof/>
          <w:color w:val="000000" w:themeColor="text1"/>
          <w:u w:val="single"/>
          <w:lang w:val="en-IE" w:eastAsia="en-GB"/>
        </w:rPr>
        <w:lastRenderedPageBreak/>
        <w:t>K.2. Milestones, targets, indicators, and timetable for monitoring and implementation for non-repayable financial support</w:t>
      </w:r>
    </w:p>
    <w:tbl>
      <w:tblPr>
        <w:tblW w:w="15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10"/>
        <w:gridCol w:w="2206"/>
        <w:gridCol w:w="1124"/>
        <w:gridCol w:w="1587"/>
        <w:gridCol w:w="1124"/>
        <w:gridCol w:w="1064"/>
        <w:gridCol w:w="1064"/>
        <w:gridCol w:w="672"/>
        <w:gridCol w:w="956"/>
        <w:gridCol w:w="717"/>
        <w:gridCol w:w="3948"/>
      </w:tblGrid>
      <w:tr w:rsidRPr="00FE48E2" w:rsidR="00E3458A" w:rsidTr="4A45BCA2" w14:paraId="15457DD6" w14:textId="77777777">
        <w:trPr>
          <w:trHeight w:val="540"/>
          <w:tblHeader/>
          <w:jc w:val="center"/>
        </w:trPr>
        <w:tc>
          <w:tcPr>
            <w:tcW w:w="710" w:type="dxa"/>
            <w:vMerge w:val="restart"/>
            <w:shd w:val="clear" w:color="auto" w:fill="BDD7EE"/>
            <w:vAlign w:val="center"/>
          </w:tcPr>
          <w:p w:rsidRPr="00FE48E2" w:rsidR="00D87E44" w:rsidRDefault="00D87E44" w14:paraId="15457DCE"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Seq. Num. </w:t>
            </w:r>
          </w:p>
        </w:tc>
        <w:tc>
          <w:tcPr>
            <w:tcW w:w="2206" w:type="dxa"/>
            <w:vMerge w:val="restart"/>
            <w:shd w:val="clear" w:color="auto" w:fill="BDD7EE"/>
            <w:vAlign w:val="center"/>
          </w:tcPr>
          <w:p w:rsidRPr="00FE48E2" w:rsidR="00D87E44" w:rsidRDefault="00D87E44" w14:paraId="15457DCF"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Related Measure (Reform or Investment)</w:t>
            </w:r>
          </w:p>
        </w:tc>
        <w:tc>
          <w:tcPr>
            <w:tcW w:w="1124" w:type="dxa"/>
            <w:vMerge w:val="restart"/>
            <w:shd w:val="clear" w:color="auto" w:fill="BDD7EE"/>
            <w:vAlign w:val="center"/>
          </w:tcPr>
          <w:p w:rsidRPr="00FE48E2" w:rsidR="00D87E44" w:rsidRDefault="00D87E44" w14:paraId="15457DD0"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Milestone / Target</w:t>
            </w:r>
          </w:p>
        </w:tc>
        <w:tc>
          <w:tcPr>
            <w:tcW w:w="1587" w:type="dxa"/>
            <w:vMerge w:val="restart"/>
            <w:shd w:val="clear" w:color="auto" w:fill="BDD7EE"/>
            <w:vAlign w:val="center"/>
          </w:tcPr>
          <w:p w:rsidRPr="00FE48E2" w:rsidR="00D87E44" w:rsidRDefault="00D87E44" w14:paraId="15457DD1"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Name</w:t>
            </w:r>
          </w:p>
        </w:tc>
        <w:tc>
          <w:tcPr>
            <w:tcW w:w="1124" w:type="dxa"/>
            <w:vMerge w:val="restart"/>
            <w:shd w:val="clear" w:color="auto" w:fill="BDD7EE"/>
            <w:vAlign w:val="center"/>
          </w:tcPr>
          <w:p w:rsidRPr="00FE48E2" w:rsidR="00D87E44" w:rsidRDefault="00D87E44" w14:paraId="15457DD2"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Qualitative indicators </w:t>
            </w:r>
            <w:r w:rsidRPr="00FE48E2">
              <w:rPr>
                <w:rFonts w:ascii="Calibri" w:hAnsi="Calibri"/>
                <w:noProof/>
                <w:sz w:val="18"/>
                <w:szCs w:val="18"/>
                <w:lang w:val="en-IE"/>
              </w:rPr>
              <w:br/>
            </w:r>
            <w:r w:rsidRPr="00FE48E2">
              <w:rPr>
                <w:rFonts w:eastAsia="Times New Roman"/>
                <w:b/>
                <w:noProof/>
                <w:sz w:val="18"/>
                <w:szCs w:val="18"/>
                <w:lang w:val="en-IE"/>
              </w:rPr>
              <w:t>(for milestones)</w:t>
            </w:r>
          </w:p>
        </w:tc>
        <w:tc>
          <w:tcPr>
            <w:tcW w:w="2800" w:type="dxa"/>
            <w:gridSpan w:val="3"/>
            <w:shd w:val="clear" w:color="auto" w:fill="BDD7EE"/>
            <w:vAlign w:val="center"/>
          </w:tcPr>
          <w:p w:rsidRPr="00FE48E2" w:rsidR="00D87E44" w:rsidRDefault="00D87E44" w14:paraId="15457DD3"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Quantitative indicators </w:t>
            </w:r>
            <w:r w:rsidRPr="00FE48E2">
              <w:rPr>
                <w:rFonts w:ascii="Calibri" w:hAnsi="Calibri"/>
                <w:noProof/>
                <w:sz w:val="18"/>
                <w:szCs w:val="18"/>
                <w:lang w:val="en-IE"/>
              </w:rPr>
              <w:br/>
            </w:r>
            <w:r w:rsidRPr="00FE48E2">
              <w:rPr>
                <w:rFonts w:eastAsia="Times New Roman"/>
                <w:b/>
                <w:noProof/>
                <w:sz w:val="18"/>
                <w:szCs w:val="18"/>
                <w:lang w:val="en-IE"/>
              </w:rPr>
              <w:t>(for targets)</w:t>
            </w:r>
          </w:p>
        </w:tc>
        <w:tc>
          <w:tcPr>
            <w:tcW w:w="1673" w:type="dxa"/>
            <w:gridSpan w:val="2"/>
            <w:shd w:val="clear" w:color="auto" w:fill="BDD7EE"/>
            <w:vAlign w:val="center"/>
          </w:tcPr>
          <w:p w:rsidRPr="00FE48E2" w:rsidR="00D87E44" w:rsidRDefault="00D87E44" w14:paraId="15457DD4"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Indicative timeline for completion </w:t>
            </w:r>
          </w:p>
        </w:tc>
        <w:tc>
          <w:tcPr>
            <w:tcW w:w="3948" w:type="dxa"/>
            <w:vMerge w:val="restart"/>
            <w:shd w:val="clear" w:color="auto" w:fill="BDD7EE"/>
            <w:vAlign w:val="center"/>
          </w:tcPr>
          <w:p w:rsidRPr="00FE48E2" w:rsidR="00D87E44" w:rsidRDefault="00D87E44" w14:paraId="15457DD5"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Description of each milestone and target</w:t>
            </w:r>
          </w:p>
        </w:tc>
      </w:tr>
      <w:tr w:rsidRPr="00FE48E2" w:rsidR="00E3458A" w:rsidTr="4A45BCA2" w14:paraId="15457DE2" w14:textId="77777777">
        <w:trPr>
          <w:trHeight w:val="420"/>
          <w:tblHeader/>
          <w:jc w:val="center"/>
        </w:trPr>
        <w:tc>
          <w:tcPr>
            <w:tcW w:w="710" w:type="dxa"/>
            <w:vMerge/>
            <w:vAlign w:val="center"/>
          </w:tcPr>
          <w:p w:rsidRPr="00FE48E2" w:rsidR="00D87E44" w:rsidRDefault="00D87E44" w14:paraId="15457DD7" w14:textId="77777777">
            <w:pPr>
              <w:spacing w:line="240" w:lineRule="auto"/>
              <w:rPr>
                <w:rFonts w:ascii="Calibri" w:hAnsi="Calibri"/>
                <w:noProof/>
                <w:sz w:val="18"/>
                <w:szCs w:val="18"/>
                <w:lang w:val="en-IE"/>
              </w:rPr>
            </w:pPr>
          </w:p>
        </w:tc>
        <w:tc>
          <w:tcPr>
            <w:tcW w:w="2206" w:type="dxa"/>
            <w:vMerge/>
            <w:vAlign w:val="center"/>
          </w:tcPr>
          <w:p w:rsidRPr="00FE48E2" w:rsidR="00D87E44" w:rsidRDefault="00D87E44" w14:paraId="15457DD8" w14:textId="77777777">
            <w:pPr>
              <w:spacing w:line="240" w:lineRule="auto"/>
              <w:rPr>
                <w:rFonts w:ascii="Calibri" w:hAnsi="Calibri"/>
                <w:noProof/>
                <w:sz w:val="18"/>
                <w:szCs w:val="18"/>
                <w:lang w:val="en-IE"/>
              </w:rPr>
            </w:pPr>
          </w:p>
        </w:tc>
        <w:tc>
          <w:tcPr>
            <w:tcW w:w="1124" w:type="dxa"/>
            <w:vMerge/>
            <w:vAlign w:val="center"/>
          </w:tcPr>
          <w:p w:rsidRPr="00FE48E2" w:rsidR="00D87E44" w:rsidRDefault="00D87E44" w14:paraId="15457DD9" w14:textId="77777777">
            <w:pPr>
              <w:spacing w:line="240" w:lineRule="auto"/>
              <w:rPr>
                <w:rFonts w:ascii="Calibri" w:hAnsi="Calibri"/>
                <w:noProof/>
                <w:sz w:val="18"/>
                <w:szCs w:val="18"/>
                <w:lang w:val="en-IE"/>
              </w:rPr>
            </w:pPr>
          </w:p>
        </w:tc>
        <w:tc>
          <w:tcPr>
            <w:tcW w:w="1587" w:type="dxa"/>
            <w:vMerge/>
            <w:vAlign w:val="center"/>
          </w:tcPr>
          <w:p w:rsidRPr="00FE48E2" w:rsidR="00D87E44" w:rsidRDefault="00D87E44" w14:paraId="15457DDA" w14:textId="77777777">
            <w:pPr>
              <w:spacing w:line="240" w:lineRule="auto"/>
              <w:rPr>
                <w:rFonts w:ascii="Calibri" w:hAnsi="Calibri"/>
                <w:noProof/>
                <w:sz w:val="18"/>
                <w:szCs w:val="18"/>
                <w:lang w:val="en-IE"/>
              </w:rPr>
            </w:pPr>
          </w:p>
        </w:tc>
        <w:tc>
          <w:tcPr>
            <w:tcW w:w="1124" w:type="dxa"/>
            <w:vMerge/>
            <w:vAlign w:val="center"/>
          </w:tcPr>
          <w:p w:rsidRPr="00FE48E2" w:rsidR="00D87E44" w:rsidRDefault="00D87E44" w14:paraId="15457DDB" w14:textId="77777777">
            <w:pPr>
              <w:spacing w:line="240" w:lineRule="auto"/>
              <w:rPr>
                <w:rFonts w:ascii="Calibri" w:hAnsi="Calibri"/>
                <w:noProof/>
                <w:sz w:val="18"/>
                <w:szCs w:val="18"/>
                <w:lang w:val="en-IE"/>
              </w:rPr>
            </w:pPr>
          </w:p>
        </w:tc>
        <w:tc>
          <w:tcPr>
            <w:tcW w:w="1064" w:type="dxa"/>
            <w:shd w:val="clear" w:color="auto" w:fill="BDD7EE"/>
            <w:vAlign w:val="center"/>
          </w:tcPr>
          <w:p w:rsidRPr="002F2ABF" w:rsidR="00D87E44" w:rsidRDefault="00D87E44" w14:paraId="15457DDC" w14:textId="77777777">
            <w:pPr>
              <w:spacing w:line="240" w:lineRule="auto"/>
              <w:jc w:val="center"/>
              <w:rPr>
                <w:rFonts w:ascii="Calibri" w:hAnsi="Calibri"/>
                <w:noProof/>
                <w:sz w:val="18"/>
                <w:szCs w:val="18"/>
                <w:lang w:val="en-IE"/>
              </w:rPr>
            </w:pPr>
            <w:r w:rsidRPr="002F2ABF">
              <w:rPr>
                <w:rFonts w:eastAsia="Times New Roman"/>
                <w:b/>
                <w:noProof/>
                <w:sz w:val="18"/>
                <w:szCs w:val="18"/>
                <w:lang w:val="en-IE"/>
              </w:rPr>
              <w:t>Unit of measure</w:t>
            </w:r>
          </w:p>
        </w:tc>
        <w:tc>
          <w:tcPr>
            <w:tcW w:w="1064" w:type="dxa"/>
            <w:shd w:val="clear" w:color="auto" w:fill="BDD7EE"/>
            <w:vAlign w:val="center"/>
          </w:tcPr>
          <w:p w:rsidRPr="002F2ABF" w:rsidR="00D87E44" w:rsidRDefault="00D87E44" w14:paraId="15457DDD" w14:textId="77777777">
            <w:pPr>
              <w:spacing w:line="240" w:lineRule="auto"/>
              <w:jc w:val="center"/>
              <w:rPr>
                <w:rFonts w:ascii="Calibri" w:hAnsi="Calibri"/>
                <w:noProof/>
                <w:sz w:val="18"/>
                <w:szCs w:val="18"/>
                <w:lang w:val="en-IE"/>
              </w:rPr>
            </w:pPr>
            <w:r w:rsidRPr="002F2ABF">
              <w:rPr>
                <w:rFonts w:eastAsia="Times New Roman"/>
                <w:b/>
                <w:noProof/>
                <w:sz w:val="18"/>
                <w:szCs w:val="18"/>
                <w:lang w:val="en-IE"/>
              </w:rPr>
              <w:t xml:space="preserve">Baseline </w:t>
            </w:r>
          </w:p>
        </w:tc>
        <w:tc>
          <w:tcPr>
            <w:tcW w:w="672" w:type="dxa"/>
            <w:shd w:val="clear" w:color="auto" w:fill="BDD7EE"/>
            <w:vAlign w:val="center"/>
          </w:tcPr>
          <w:p w:rsidRPr="002F2ABF" w:rsidR="00D87E44" w:rsidRDefault="00D87E44" w14:paraId="15457DDE" w14:textId="77777777">
            <w:pPr>
              <w:spacing w:line="240" w:lineRule="auto"/>
              <w:jc w:val="center"/>
              <w:rPr>
                <w:rFonts w:ascii="Calibri" w:hAnsi="Calibri"/>
                <w:noProof/>
                <w:sz w:val="18"/>
                <w:szCs w:val="18"/>
                <w:lang w:val="en-IE"/>
              </w:rPr>
            </w:pPr>
            <w:r w:rsidRPr="002F2ABF">
              <w:rPr>
                <w:rFonts w:eastAsia="Times New Roman"/>
                <w:b/>
                <w:noProof/>
                <w:sz w:val="18"/>
                <w:szCs w:val="18"/>
                <w:lang w:val="en-IE"/>
              </w:rPr>
              <w:t xml:space="preserve">Goal </w:t>
            </w:r>
          </w:p>
        </w:tc>
        <w:tc>
          <w:tcPr>
            <w:tcW w:w="956" w:type="dxa"/>
            <w:shd w:val="clear" w:color="auto" w:fill="BDD7EE"/>
            <w:vAlign w:val="center"/>
          </w:tcPr>
          <w:p w:rsidRPr="002F2ABF" w:rsidR="00D87E44" w:rsidRDefault="00D87E44" w14:paraId="15457DDF" w14:textId="77777777">
            <w:pPr>
              <w:spacing w:line="240" w:lineRule="auto"/>
              <w:jc w:val="center"/>
              <w:rPr>
                <w:rFonts w:ascii="Calibri" w:hAnsi="Calibri"/>
                <w:noProof/>
                <w:sz w:val="18"/>
                <w:szCs w:val="18"/>
                <w:lang w:val="en-IE"/>
              </w:rPr>
            </w:pPr>
            <w:r w:rsidRPr="002F2ABF">
              <w:rPr>
                <w:rFonts w:eastAsia="Times New Roman"/>
                <w:b/>
                <w:noProof/>
                <w:sz w:val="18"/>
                <w:szCs w:val="18"/>
                <w:lang w:val="en-IE"/>
              </w:rPr>
              <w:t>Quarter</w:t>
            </w:r>
          </w:p>
        </w:tc>
        <w:tc>
          <w:tcPr>
            <w:tcW w:w="717" w:type="dxa"/>
            <w:shd w:val="clear" w:color="auto" w:fill="BDD7EE"/>
            <w:vAlign w:val="center"/>
          </w:tcPr>
          <w:p w:rsidRPr="002F2ABF" w:rsidR="00D87E44" w:rsidRDefault="00D87E44" w14:paraId="15457DE0" w14:textId="77777777">
            <w:pPr>
              <w:spacing w:line="240" w:lineRule="auto"/>
              <w:jc w:val="center"/>
              <w:rPr>
                <w:rFonts w:ascii="Calibri" w:hAnsi="Calibri"/>
                <w:noProof/>
                <w:sz w:val="18"/>
                <w:szCs w:val="18"/>
                <w:lang w:val="en-IE"/>
              </w:rPr>
            </w:pPr>
            <w:r w:rsidRPr="002F2ABF">
              <w:rPr>
                <w:rFonts w:eastAsia="Times New Roman"/>
                <w:b/>
                <w:noProof/>
                <w:sz w:val="18"/>
                <w:szCs w:val="18"/>
                <w:lang w:val="en-IE"/>
              </w:rPr>
              <w:t>Year</w:t>
            </w:r>
          </w:p>
        </w:tc>
        <w:tc>
          <w:tcPr>
            <w:tcW w:w="3948" w:type="dxa"/>
            <w:vMerge/>
            <w:vAlign w:val="center"/>
          </w:tcPr>
          <w:p w:rsidRPr="00FE48E2" w:rsidR="00D87E44" w:rsidRDefault="00D87E44" w14:paraId="15457DE1" w14:textId="77777777">
            <w:pPr>
              <w:spacing w:line="240" w:lineRule="auto"/>
              <w:rPr>
                <w:rFonts w:ascii="Calibri" w:hAnsi="Calibri"/>
                <w:noProof/>
                <w:sz w:val="18"/>
                <w:szCs w:val="18"/>
                <w:lang w:val="en-IE"/>
              </w:rPr>
            </w:pPr>
          </w:p>
        </w:tc>
      </w:tr>
      <w:tr w:rsidRPr="00FE48E2" w:rsidR="00E3458A" w:rsidTr="4A45BCA2" w14:paraId="15457DEE" w14:textId="77777777">
        <w:trPr>
          <w:trHeight w:val="300"/>
          <w:jc w:val="center"/>
        </w:trPr>
        <w:tc>
          <w:tcPr>
            <w:tcW w:w="710" w:type="dxa"/>
            <w:shd w:val="clear" w:color="auto" w:fill="C6EFCE"/>
          </w:tcPr>
          <w:p w:rsidRPr="00ED1730" w:rsidR="00D87E44" w:rsidRDefault="00D87E44" w14:paraId="15457DE3"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115</w:t>
            </w:r>
          </w:p>
        </w:tc>
        <w:tc>
          <w:tcPr>
            <w:tcW w:w="2206" w:type="dxa"/>
            <w:shd w:val="clear" w:color="auto" w:fill="C6EFCE"/>
          </w:tcPr>
          <w:p w:rsidRPr="00ED1730" w:rsidR="00D87E44" w:rsidRDefault="00D87E44" w14:paraId="15457DE4"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Investment 1: Building infrastructure for public transport in the city of Prague</w:t>
            </w:r>
            <w:r w:rsidRPr="00FE48E2">
              <w:rPr>
                <w:rFonts w:eastAsia="Times New Roman"/>
                <w:noProof/>
                <w:color w:val="004300"/>
                <w:sz w:val="18"/>
                <w:szCs w:val="18"/>
                <w:lang w:val="en-IE" w:eastAsia="en-GB"/>
              </w:rPr>
              <w:t xml:space="preserve"> </w:t>
            </w:r>
          </w:p>
        </w:tc>
        <w:tc>
          <w:tcPr>
            <w:tcW w:w="1124" w:type="dxa"/>
            <w:shd w:val="clear" w:color="auto" w:fill="C6EFCE"/>
          </w:tcPr>
          <w:p w:rsidRPr="00ED1730" w:rsidR="00D87E44" w:rsidRDefault="00D87E44" w14:paraId="15457DE5"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Target</w:t>
            </w:r>
          </w:p>
        </w:tc>
        <w:tc>
          <w:tcPr>
            <w:tcW w:w="1587" w:type="dxa"/>
            <w:shd w:val="clear" w:color="auto" w:fill="C6EFCE"/>
          </w:tcPr>
          <w:p w:rsidRPr="00ED1730" w:rsidR="00D87E44" w:rsidRDefault="00D87E44" w14:paraId="15457DE6"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 xml:space="preserve">Number of recharging points </w:t>
            </w:r>
            <w:r w:rsidRPr="00ED1730" w:rsidDel="00706665">
              <w:rPr>
                <w:rFonts w:eastAsia="Times New Roman"/>
                <w:noProof/>
                <w:color w:val="004300"/>
                <w:sz w:val="18"/>
                <w:szCs w:val="18"/>
                <w:lang w:val="en-IE" w:eastAsia="en-GB"/>
              </w:rPr>
              <w:t xml:space="preserve">for </w:t>
            </w:r>
            <w:r w:rsidRPr="00ED1730">
              <w:rPr>
                <w:rFonts w:eastAsia="Times New Roman"/>
                <w:noProof/>
                <w:color w:val="004300"/>
                <w:sz w:val="18"/>
                <w:szCs w:val="18"/>
                <w:lang w:val="en-IE" w:eastAsia="en-GB"/>
              </w:rPr>
              <w:t>the city of Prague</w:t>
            </w:r>
          </w:p>
        </w:tc>
        <w:tc>
          <w:tcPr>
            <w:tcW w:w="1124" w:type="dxa"/>
            <w:shd w:val="clear" w:color="auto" w:fill="C6EFCE"/>
          </w:tcPr>
          <w:p w:rsidRPr="00ED1730" w:rsidR="00D87E44" w:rsidRDefault="00D87E44" w14:paraId="15457DE7"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 xml:space="preserve"> </w:t>
            </w:r>
          </w:p>
        </w:tc>
        <w:tc>
          <w:tcPr>
            <w:tcW w:w="1064" w:type="dxa"/>
            <w:shd w:val="clear" w:color="auto" w:fill="C6EFCE"/>
          </w:tcPr>
          <w:p w:rsidRPr="00ED1730" w:rsidR="00D87E44" w:rsidRDefault="00D87E44" w14:paraId="15457DE8"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Number</w:t>
            </w:r>
          </w:p>
        </w:tc>
        <w:tc>
          <w:tcPr>
            <w:tcW w:w="1064" w:type="dxa"/>
            <w:shd w:val="clear" w:color="auto" w:fill="C6EFCE"/>
          </w:tcPr>
          <w:p w:rsidRPr="00ED1730" w:rsidR="00D87E44" w:rsidRDefault="00D87E44" w14:paraId="15457DE9"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0</w:t>
            </w:r>
          </w:p>
        </w:tc>
        <w:tc>
          <w:tcPr>
            <w:tcW w:w="672" w:type="dxa"/>
            <w:shd w:val="clear" w:color="auto" w:fill="C6EFCE"/>
          </w:tcPr>
          <w:p w:rsidRPr="00ED1730" w:rsidR="00D87E44" w:rsidRDefault="00D87E44" w14:paraId="15457DEA"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52</w:t>
            </w:r>
          </w:p>
        </w:tc>
        <w:tc>
          <w:tcPr>
            <w:tcW w:w="956" w:type="dxa"/>
            <w:shd w:val="clear" w:color="auto" w:fill="C6EFCE"/>
          </w:tcPr>
          <w:p w:rsidRPr="00ED1730" w:rsidR="00D87E44" w:rsidRDefault="00D87E44" w14:paraId="15457DEB"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Q4</w:t>
            </w:r>
          </w:p>
        </w:tc>
        <w:tc>
          <w:tcPr>
            <w:tcW w:w="717" w:type="dxa"/>
            <w:shd w:val="clear" w:color="auto" w:fill="C6EFCE"/>
          </w:tcPr>
          <w:p w:rsidRPr="00ED1730" w:rsidR="00D87E44" w:rsidRDefault="00D87E44" w14:paraId="15457DEC"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2025</w:t>
            </w:r>
          </w:p>
        </w:tc>
        <w:tc>
          <w:tcPr>
            <w:tcW w:w="3948" w:type="dxa"/>
            <w:shd w:val="clear" w:color="auto" w:fill="C6EFCE"/>
          </w:tcPr>
          <w:p w:rsidRPr="00ED1730" w:rsidR="00D87E44" w:rsidRDefault="00D87E44" w14:paraId="15457DE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Installation of a</w:t>
            </w:r>
            <w:r w:rsidRPr="00ED1730" w:rsidDel="00B37794">
              <w:rPr>
                <w:rFonts w:eastAsia="Times New Roman"/>
                <w:noProof/>
                <w:color w:val="004300"/>
                <w:sz w:val="18"/>
                <w:szCs w:val="18"/>
                <w:lang w:val="en-IE" w:eastAsia="en-GB"/>
              </w:rPr>
              <w:t xml:space="preserve">t least 52 </w:t>
            </w:r>
            <w:r w:rsidRPr="00ED1730">
              <w:rPr>
                <w:rFonts w:eastAsia="Times New Roman"/>
                <w:noProof/>
                <w:color w:val="004300"/>
                <w:sz w:val="18"/>
                <w:szCs w:val="18"/>
                <w:lang w:val="en-IE" w:eastAsia="en-GB"/>
              </w:rPr>
              <w:t xml:space="preserve">new </w:t>
            </w:r>
            <w:r w:rsidRPr="00ED1730" w:rsidDel="00B37794">
              <w:rPr>
                <w:rFonts w:eastAsia="Times New Roman"/>
                <w:noProof/>
                <w:color w:val="004300"/>
                <w:sz w:val="18"/>
                <w:szCs w:val="18"/>
                <w:lang w:val="en-IE" w:eastAsia="en-GB"/>
              </w:rPr>
              <w:t xml:space="preserve">recharging points </w:t>
            </w:r>
            <w:r>
              <w:rPr>
                <w:rFonts w:eastAsia="Times New Roman"/>
                <w:noProof/>
                <w:color w:val="004300"/>
                <w:sz w:val="18"/>
                <w:szCs w:val="18"/>
                <w:lang w:val="en-IE" w:eastAsia="en-GB"/>
              </w:rPr>
              <w:t>for</w:t>
            </w:r>
            <w:r w:rsidRPr="00ED1730" w:rsidDel="00706665">
              <w:rPr>
                <w:rFonts w:eastAsia="Times New Roman"/>
                <w:noProof/>
                <w:color w:val="004300"/>
                <w:sz w:val="18"/>
                <w:szCs w:val="18"/>
                <w:lang w:val="en-IE" w:eastAsia="en-GB"/>
              </w:rPr>
              <w:t xml:space="preserve"> </w:t>
            </w:r>
            <w:r w:rsidRPr="00ED1730" w:rsidDel="00B37794">
              <w:rPr>
                <w:rFonts w:eastAsia="Times New Roman"/>
                <w:noProof/>
                <w:color w:val="004300"/>
                <w:sz w:val="18"/>
                <w:szCs w:val="18"/>
                <w:lang w:val="en-IE" w:eastAsia="en-GB"/>
              </w:rPr>
              <w:t>the city of Prague.</w:t>
            </w:r>
            <w:r w:rsidRPr="17B29258" w:rsidDel="00B37794">
              <w:rPr>
                <w:rFonts w:eastAsia="Times New Roman"/>
                <w:noProof/>
                <w:color w:val="004300"/>
                <w:sz w:val="18"/>
                <w:szCs w:val="18"/>
                <w:lang w:val="en-IE" w:eastAsia="en-GB"/>
              </w:rPr>
              <w:t xml:space="preserve"> </w:t>
            </w:r>
          </w:p>
        </w:tc>
      </w:tr>
      <w:tr w:rsidRPr="00FE48E2" w:rsidR="00E3458A" w:rsidTr="4A45BCA2" w14:paraId="15457DFA" w14:textId="77777777">
        <w:trPr>
          <w:trHeight w:val="300"/>
          <w:jc w:val="center"/>
        </w:trPr>
        <w:tc>
          <w:tcPr>
            <w:tcW w:w="710" w:type="dxa"/>
            <w:shd w:val="clear" w:color="auto" w:fill="C6EFCE"/>
          </w:tcPr>
          <w:p w:rsidRPr="00ED1730" w:rsidR="00D87E44" w:rsidRDefault="00D87E44" w14:paraId="15457DEF"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116</w:t>
            </w:r>
          </w:p>
        </w:tc>
        <w:tc>
          <w:tcPr>
            <w:tcW w:w="2206" w:type="dxa"/>
            <w:shd w:val="clear" w:color="auto" w:fill="C6EFCE"/>
          </w:tcPr>
          <w:p w:rsidRPr="00ED1730" w:rsidR="00D87E44" w:rsidRDefault="00D87E44" w14:paraId="15457DF0"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Investment 1: Building infrastructure for public transport in the city of Prague</w:t>
            </w:r>
            <w:r w:rsidRPr="00FE48E2">
              <w:rPr>
                <w:rFonts w:eastAsia="Times New Roman"/>
                <w:noProof/>
                <w:color w:val="004300"/>
                <w:sz w:val="18"/>
                <w:szCs w:val="18"/>
                <w:lang w:val="en-IE" w:eastAsia="en-GB"/>
              </w:rPr>
              <w:t xml:space="preserve">  </w:t>
            </w:r>
          </w:p>
        </w:tc>
        <w:tc>
          <w:tcPr>
            <w:tcW w:w="1124" w:type="dxa"/>
            <w:shd w:val="clear" w:color="auto" w:fill="C6EFCE"/>
          </w:tcPr>
          <w:p w:rsidRPr="00ED1730" w:rsidR="00D87E44" w:rsidRDefault="00D87E44" w14:paraId="15457DF1"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Target</w:t>
            </w:r>
          </w:p>
        </w:tc>
        <w:tc>
          <w:tcPr>
            <w:tcW w:w="1587" w:type="dxa"/>
            <w:shd w:val="clear" w:color="auto" w:fill="C6EFCE"/>
          </w:tcPr>
          <w:p w:rsidRPr="00ED1730" w:rsidR="00D87E44" w:rsidRDefault="00D87E44" w14:paraId="15457DF2"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 xml:space="preserve">Number </w:t>
            </w:r>
            <w:r w:rsidRPr="00463B77">
              <w:rPr>
                <w:rFonts w:eastAsia="Times New Roman"/>
                <w:noProof/>
                <w:color w:val="004300"/>
                <w:sz w:val="18"/>
                <w:szCs w:val="18"/>
                <w:lang w:val="en-IE" w:eastAsia="en-GB"/>
              </w:rPr>
              <w:t>of</w:t>
            </w:r>
            <w:r w:rsidRPr="00ED1730">
              <w:rPr>
                <w:rFonts w:eastAsia="Times New Roman"/>
                <w:noProof/>
                <w:color w:val="004300"/>
                <w:sz w:val="18"/>
                <w:szCs w:val="18"/>
                <w:lang w:val="en-IE" w:eastAsia="en-GB"/>
              </w:rPr>
              <w:t xml:space="preserve"> kilometres of dynamic charging road </w:t>
            </w:r>
            <w:r w:rsidRPr="00ED1730" w:rsidDel="00706665">
              <w:rPr>
                <w:rFonts w:eastAsia="Times New Roman"/>
                <w:noProof/>
                <w:color w:val="004300"/>
                <w:sz w:val="18"/>
                <w:szCs w:val="18"/>
                <w:lang w:val="en-IE" w:eastAsia="en-GB"/>
              </w:rPr>
              <w:t xml:space="preserve">for </w:t>
            </w:r>
            <w:r w:rsidRPr="00ED1730">
              <w:rPr>
                <w:rFonts w:eastAsia="Times New Roman"/>
                <w:noProof/>
                <w:color w:val="004300"/>
                <w:sz w:val="18"/>
                <w:szCs w:val="18"/>
                <w:lang w:val="en-IE" w:eastAsia="en-GB"/>
              </w:rPr>
              <w:t>the city of Prague</w:t>
            </w:r>
            <w:r w:rsidRPr="17B29258">
              <w:rPr>
                <w:rFonts w:eastAsia="Times New Roman"/>
                <w:noProof/>
                <w:color w:val="004300"/>
                <w:sz w:val="18"/>
                <w:szCs w:val="18"/>
                <w:lang w:val="en-IE" w:eastAsia="en-GB"/>
              </w:rPr>
              <w:t xml:space="preserve"> </w:t>
            </w:r>
          </w:p>
        </w:tc>
        <w:tc>
          <w:tcPr>
            <w:tcW w:w="1124" w:type="dxa"/>
            <w:shd w:val="clear" w:color="auto" w:fill="C6EFCE"/>
          </w:tcPr>
          <w:p w:rsidRPr="00ED1730" w:rsidR="00D87E44" w:rsidRDefault="00D87E44" w14:paraId="15457DF3"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 xml:space="preserve"> </w:t>
            </w:r>
          </w:p>
        </w:tc>
        <w:tc>
          <w:tcPr>
            <w:tcW w:w="1064" w:type="dxa"/>
            <w:shd w:val="clear" w:color="auto" w:fill="C6EFCE"/>
          </w:tcPr>
          <w:p w:rsidRPr="00ED1730" w:rsidR="00D87E44" w:rsidRDefault="00D87E44" w14:paraId="15457DF4"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Km of</w:t>
            </w:r>
            <w:r w:rsidRPr="00FE48E2">
              <w:rPr>
                <w:rFonts w:eastAsia="Times New Roman"/>
                <w:noProof/>
                <w:color w:val="004300"/>
                <w:sz w:val="18"/>
                <w:szCs w:val="18"/>
                <w:lang w:val="en-IE" w:eastAsia="en-GB"/>
              </w:rPr>
              <w:t xml:space="preserve"> </w:t>
            </w:r>
          </w:p>
        </w:tc>
        <w:tc>
          <w:tcPr>
            <w:tcW w:w="1064" w:type="dxa"/>
            <w:shd w:val="clear" w:color="auto" w:fill="C6EFCE"/>
          </w:tcPr>
          <w:p w:rsidRPr="00ED1730" w:rsidR="00D87E44" w:rsidRDefault="00D87E44" w14:paraId="15457DF5"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0</w:t>
            </w:r>
          </w:p>
        </w:tc>
        <w:tc>
          <w:tcPr>
            <w:tcW w:w="672" w:type="dxa"/>
            <w:shd w:val="clear" w:color="auto" w:fill="C6EFCE"/>
          </w:tcPr>
          <w:p w:rsidRPr="00ED1730" w:rsidR="00D87E44" w:rsidRDefault="00D87E44" w14:paraId="15457DF6"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40</w:t>
            </w:r>
          </w:p>
        </w:tc>
        <w:tc>
          <w:tcPr>
            <w:tcW w:w="956" w:type="dxa"/>
            <w:shd w:val="clear" w:color="auto" w:fill="C6EFCE"/>
          </w:tcPr>
          <w:p w:rsidRPr="00ED1730" w:rsidR="00D87E44" w:rsidRDefault="00D87E44" w14:paraId="15457DF7"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Q2</w:t>
            </w:r>
          </w:p>
        </w:tc>
        <w:tc>
          <w:tcPr>
            <w:tcW w:w="717" w:type="dxa"/>
            <w:shd w:val="clear" w:color="auto" w:fill="C6EFCE"/>
          </w:tcPr>
          <w:p w:rsidRPr="00ED1730" w:rsidR="00D87E44" w:rsidRDefault="00D87E44" w14:paraId="15457DF8"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2026</w:t>
            </w:r>
          </w:p>
        </w:tc>
        <w:tc>
          <w:tcPr>
            <w:tcW w:w="3948" w:type="dxa"/>
            <w:shd w:val="clear" w:color="auto" w:fill="C6EFCE"/>
          </w:tcPr>
          <w:p w:rsidRPr="008C7FAF" w:rsidR="00D87E44" w:rsidRDefault="00D87E44" w14:paraId="15457DF9"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 xml:space="preserve">Installation of at least 40 km of dynamic charging </w:t>
            </w:r>
            <w:r w:rsidRPr="008C7FAF" w:rsidDel="00706665">
              <w:rPr>
                <w:rFonts w:eastAsia="Times New Roman"/>
                <w:noProof/>
                <w:color w:val="004300"/>
                <w:sz w:val="18"/>
                <w:szCs w:val="18"/>
                <w:lang w:val="en-IE" w:eastAsia="en-GB"/>
              </w:rPr>
              <w:t xml:space="preserve">road </w:t>
            </w:r>
            <w:r w:rsidRPr="008C7FAF">
              <w:rPr>
                <w:rFonts w:eastAsia="Times New Roman"/>
                <w:noProof/>
                <w:color w:val="004300"/>
                <w:sz w:val="18"/>
                <w:szCs w:val="18"/>
                <w:lang w:val="en-IE" w:eastAsia="en-GB"/>
              </w:rPr>
              <w:t xml:space="preserve">for battery trolley bus </w:t>
            </w:r>
            <w:r w:rsidRPr="008C7FAF" w:rsidDel="00706665">
              <w:rPr>
                <w:rFonts w:eastAsia="Times New Roman"/>
                <w:noProof/>
                <w:color w:val="004300"/>
                <w:sz w:val="18"/>
                <w:szCs w:val="18"/>
                <w:lang w:val="en-IE" w:eastAsia="en-GB"/>
              </w:rPr>
              <w:t xml:space="preserve">for </w:t>
            </w:r>
            <w:r w:rsidRPr="008C7FAF">
              <w:rPr>
                <w:rFonts w:eastAsia="Times New Roman"/>
                <w:noProof/>
                <w:color w:val="004300"/>
                <w:sz w:val="18"/>
                <w:szCs w:val="18"/>
                <w:lang w:val="en-IE" w:eastAsia="en-GB"/>
              </w:rPr>
              <w:t>the city of Prague.</w:t>
            </w:r>
          </w:p>
        </w:tc>
      </w:tr>
      <w:tr w:rsidRPr="00FE48E2" w:rsidR="00E3458A" w:rsidTr="4A45BCA2" w14:paraId="15457E06" w14:textId="77777777">
        <w:trPr>
          <w:trHeight w:val="315"/>
          <w:jc w:val="center"/>
        </w:trPr>
        <w:tc>
          <w:tcPr>
            <w:tcW w:w="710" w:type="dxa"/>
            <w:shd w:val="clear" w:color="auto" w:fill="C6EFCE"/>
          </w:tcPr>
          <w:p w:rsidRPr="00C72339" w:rsidR="00D87E44" w:rsidRDefault="00D87E44" w14:paraId="15457DFB" w14:textId="77777777">
            <w:pPr>
              <w:spacing w:before="0" w:after="0" w:line="240" w:lineRule="auto"/>
              <w:rPr>
                <w:rFonts w:eastAsia="Times New Roman"/>
                <w:noProof/>
                <w:color w:val="004300"/>
                <w:sz w:val="18"/>
                <w:szCs w:val="18"/>
                <w:lang w:val="en-IE" w:eastAsia="en-GB"/>
              </w:rPr>
            </w:pPr>
            <w:r w:rsidRPr="00C72339">
              <w:rPr>
                <w:rFonts w:eastAsia="Times New Roman"/>
                <w:noProof/>
                <w:color w:val="004300"/>
                <w:sz w:val="18"/>
                <w:szCs w:val="18"/>
                <w:lang w:val="en-IE" w:eastAsia="en-GB"/>
              </w:rPr>
              <w:t>117</w:t>
            </w:r>
          </w:p>
        </w:tc>
        <w:tc>
          <w:tcPr>
            <w:tcW w:w="2206" w:type="dxa"/>
            <w:shd w:val="clear" w:color="auto" w:fill="C6EFCE"/>
          </w:tcPr>
          <w:p w:rsidRPr="00C72339" w:rsidR="00D87E44" w:rsidRDefault="00D87E44" w14:paraId="15457DFC" w14:textId="77777777">
            <w:pPr>
              <w:spacing w:before="0" w:after="0" w:line="240" w:lineRule="auto"/>
              <w:rPr>
                <w:rFonts w:eastAsia="Times New Roman"/>
                <w:noProof/>
                <w:color w:val="004300"/>
                <w:sz w:val="18"/>
                <w:szCs w:val="18"/>
                <w:lang w:val="en-IE" w:eastAsia="en-GB"/>
              </w:rPr>
            </w:pPr>
            <w:r w:rsidRPr="00C72339">
              <w:rPr>
                <w:rFonts w:eastAsia="Times New Roman"/>
                <w:noProof/>
                <w:color w:val="004300"/>
                <w:sz w:val="18"/>
                <w:szCs w:val="18"/>
                <w:lang w:val="en-IE" w:eastAsia="en-GB"/>
              </w:rPr>
              <w:t xml:space="preserve">Investment 2: Building infrastructure – Recharging points for private companies </w:t>
            </w:r>
          </w:p>
        </w:tc>
        <w:tc>
          <w:tcPr>
            <w:tcW w:w="1124" w:type="dxa"/>
            <w:shd w:val="clear" w:color="auto" w:fill="C6EFCE"/>
          </w:tcPr>
          <w:p w:rsidRPr="00C72339" w:rsidR="00D87E44" w:rsidRDefault="00D87E44" w14:paraId="15457DFD" w14:textId="77777777">
            <w:pPr>
              <w:spacing w:before="0" w:after="0" w:line="240" w:lineRule="auto"/>
              <w:rPr>
                <w:rFonts w:eastAsia="Times New Roman"/>
                <w:noProof/>
                <w:color w:val="004300"/>
                <w:sz w:val="18"/>
                <w:szCs w:val="18"/>
                <w:lang w:val="en-IE" w:eastAsia="en-GB"/>
              </w:rPr>
            </w:pPr>
            <w:r w:rsidRPr="00C72339" w:rsidDel="00706665">
              <w:rPr>
                <w:rFonts w:eastAsia="Times New Roman"/>
                <w:noProof/>
                <w:color w:val="004300"/>
                <w:sz w:val="18"/>
                <w:szCs w:val="18"/>
                <w:lang w:val="en-IE" w:eastAsia="en-GB"/>
              </w:rPr>
              <w:t>Target</w:t>
            </w:r>
          </w:p>
        </w:tc>
        <w:tc>
          <w:tcPr>
            <w:tcW w:w="1587" w:type="dxa"/>
            <w:shd w:val="clear" w:color="auto" w:fill="C6EFCE"/>
          </w:tcPr>
          <w:p w:rsidRPr="00C72339" w:rsidR="00D87E44" w:rsidRDefault="00D87E44" w14:paraId="15457DFE" w14:textId="77777777">
            <w:pPr>
              <w:spacing w:before="0" w:after="0" w:line="240" w:lineRule="auto"/>
              <w:rPr>
                <w:rFonts w:eastAsia="Times New Roman"/>
                <w:noProof/>
                <w:color w:val="004300"/>
                <w:sz w:val="18"/>
                <w:szCs w:val="18"/>
                <w:lang w:val="en-IE" w:eastAsia="en-GB"/>
              </w:rPr>
            </w:pPr>
            <w:r w:rsidRPr="00C72339">
              <w:rPr>
                <w:rFonts w:eastAsia="Times New Roman"/>
                <w:noProof/>
                <w:color w:val="004300"/>
                <w:sz w:val="18"/>
                <w:szCs w:val="18"/>
                <w:lang w:val="en-IE" w:eastAsia="en-GB"/>
              </w:rPr>
              <w:t>Number of recharging points for private companies</w:t>
            </w:r>
          </w:p>
        </w:tc>
        <w:tc>
          <w:tcPr>
            <w:tcW w:w="1124" w:type="dxa"/>
            <w:shd w:val="clear" w:color="auto" w:fill="C6EFCE"/>
          </w:tcPr>
          <w:p w:rsidRPr="00C72339" w:rsidR="00D87E44" w:rsidRDefault="00D87E44" w14:paraId="15457DFF"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C72339" w:rsidR="00D87E44" w:rsidRDefault="00D87E44" w14:paraId="15457E00" w14:textId="77777777">
            <w:pPr>
              <w:spacing w:before="0" w:after="0" w:line="240" w:lineRule="auto"/>
              <w:rPr>
                <w:rFonts w:eastAsia="Times New Roman"/>
                <w:noProof/>
                <w:color w:val="004300"/>
                <w:sz w:val="18"/>
                <w:szCs w:val="18"/>
                <w:lang w:val="en-IE" w:eastAsia="en-GB"/>
              </w:rPr>
            </w:pPr>
            <w:r w:rsidRPr="00C72339" w:rsidDel="00706665">
              <w:rPr>
                <w:rFonts w:eastAsia="Times New Roman"/>
                <w:noProof/>
                <w:color w:val="004300"/>
                <w:sz w:val="18"/>
                <w:szCs w:val="18"/>
                <w:lang w:val="en-IE" w:eastAsia="en-GB"/>
              </w:rPr>
              <w:t xml:space="preserve">Number of  </w:t>
            </w:r>
          </w:p>
        </w:tc>
        <w:tc>
          <w:tcPr>
            <w:tcW w:w="1064" w:type="dxa"/>
            <w:shd w:val="clear" w:color="auto" w:fill="C6EFCE"/>
          </w:tcPr>
          <w:p w:rsidRPr="00C72339" w:rsidR="00D87E44" w:rsidRDefault="00D87E44" w14:paraId="15457E01" w14:textId="77777777">
            <w:pPr>
              <w:spacing w:before="0" w:after="0" w:line="240" w:lineRule="auto"/>
              <w:rPr>
                <w:rFonts w:eastAsia="Times New Roman"/>
                <w:noProof/>
                <w:color w:val="004300"/>
                <w:sz w:val="18"/>
                <w:szCs w:val="18"/>
                <w:lang w:val="en-IE" w:eastAsia="en-GB"/>
              </w:rPr>
            </w:pPr>
            <w:r w:rsidRPr="00C72339" w:rsidDel="00706665">
              <w:rPr>
                <w:rFonts w:eastAsia="Times New Roman"/>
                <w:noProof/>
                <w:color w:val="004300"/>
                <w:sz w:val="18"/>
                <w:szCs w:val="18"/>
                <w:lang w:val="en-IE" w:eastAsia="en-GB"/>
              </w:rPr>
              <w:t>0</w:t>
            </w:r>
          </w:p>
        </w:tc>
        <w:tc>
          <w:tcPr>
            <w:tcW w:w="672" w:type="dxa"/>
            <w:shd w:val="clear" w:color="auto" w:fill="C6EFCE"/>
          </w:tcPr>
          <w:p w:rsidRPr="00C72339" w:rsidR="00D87E44" w:rsidRDefault="00D87E44" w14:paraId="15457E02" w14:textId="77777777">
            <w:pPr>
              <w:spacing w:before="0" w:after="0" w:line="240" w:lineRule="auto"/>
              <w:rPr>
                <w:rFonts w:eastAsia="Times New Roman"/>
                <w:noProof/>
                <w:color w:val="004300"/>
                <w:sz w:val="18"/>
                <w:szCs w:val="18"/>
                <w:lang w:val="en-IE" w:eastAsia="en-GB"/>
              </w:rPr>
            </w:pPr>
            <w:r w:rsidRPr="00C72339" w:rsidDel="00706665">
              <w:rPr>
                <w:rFonts w:eastAsia="Times New Roman"/>
                <w:noProof/>
                <w:color w:val="004300"/>
                <w:sz w:val="18"/>
                <w:szCs w:val="18"/>
                <w:lang w:val="en-IE" w:eastAsia="en-GB"/>
              </w:rPr>
              <w:t>2</w:t>
            </w:r>
            <w:r>
              <w:rPr>
                <w:rFonts w:eastAsia="Times New Roman"/>
                <w:noProof/>
                <w:color w:val="004300"/>
                <w:sz w:val="18"/>
                <w:szCs w:val="18"/>
                <w:lang w:val="en-IE" w:eastAsia="en-GB"/>
              </w:rPr>
              <w:t> </w:t>
            </w:r>
            <w:r w:rsidRPr="00C72339" w:rsidDel="00706665">
              <w:rPr>
                <w:rFonts w:eastAsia="Times New Roman"/>
                <w:noProof/>
                <w:color w:val="004300"/>
                <w:sz w:val="18"/>
                <w:szCs w:val="18"/>
                <w:lang w:val="en-IE" w:eastAsia="en-GB"/>
              </w:rPr>
              <w:t>500</w:t>
            </w:r>
          </w:p>
        </w:tc>
        <w:tc>
          <w:tcPr>
            <w:tcW w:w="956" w:type="dxa"/>
            <w:shd w:val="clear" w:color="auto" w:fill="C6EFCE"/>
          </w:tcPr>
          <w:p w:rsidRPr="00C72339" w:rsidR="00D87E44" w:rsidRDefault="00D87E44" w14:paraId="15457E03" w14:textId="77777777">
            <w:pPr>
              <w:spacing w:before="0" w:after="0" w:line="240" w:lineRule="auto"/>
              <w:rPr>
                <w:rFonts w:eastAsia="Times New Roman"/>
                <w:noProof/>
                <w:color w:val="004300"/>
                <w:sz w:val="18"/>
                <w:szCs w:val="18"/>
                <w:lang w:val="en-IE" w:eastAsia="en-GB"/>
              </w:rPr>
            </w:pPr>
            <w:r w:rsidRPr="00C72339">
              <w:rPr>
                <w:rFonts w:eastAsia="Times New Roman"/>
                <w:noProof/>
                <w:color w:val="004300"/>
                <w:sz w:val="18"/>
                <w:szCs w:val="18"/>
                <w:lang w:val="en-IE" w:eastAsia="en-GB"/>
              </w:rPr>
              <w:t>Q2</w:t>
            </w:r>
          </w:p>
        </w:tc>
        <w:tc>
          <w:tcPr>
            <w:tcW w:w="717" w:type="dxa"/>
            <w:shd w:val="clear" w:color="auto" w:fill="C6EFCE"/>
          </w:tcPr>
          <w:p w:rsidRPr="00C72339" w:rsidR="00D87E44" w:rsidRDefault="00D87E44" w14:paraId="15457E04" w14:textId="77777777">
            <w:pPr>
              <w:spacing w:before="0" w:after="0" w:line="240" w:lineRule="auto"/>
              <w:rPr>
                <w:rFonts w:eastAsia="Times New Roman"/>
                <w:noProof/>
                <w:color w:val="004300"/>
                <w:sz w:val="18"/>
                <w:szCs w:val="18"/>
                <w:lang w:val="en-IE" w:eastAsia="en-GB"/>
              </w:rPr>
            </w:pPr>
            <w:r w:rsidRPr="00C72339">
              <w:rPr>
                <w:rFonts w:eastAsia="Times New Roman"/>
                <w:noProof/>
                <w:color w:val="004300"/>
                <w:sz w:val="18"/>
                <w:szCs w:val="18"/>
                <w:lang w:val="en-IE" w:eastAsia="en-GB"/>
              </w:rPr>
              <w:t>2025</w:t>
            </w:r>
          </w:p>
        </w:tc>
        <w:tc>
          <w:tcPr>
            <w:tcW w:w="3948" w:type="dxa"/>
            <w:shd w:val="clear" w:color="auto" w:fill="C6EFCE"/>
          </w:tcPr>
          <w:p w:rsidRPr="00FF1320" w:rsidR="00D87E44" w:rsidRDefault="00D87E44" w14:paraId="15457E05" w14:textId="77777777">
            <w:pPr>
              <w:spacing w:before="0" w:after="0" w:line="240" w:lineRule="auto"/>
              <w:rPr>
                <w:color w:val="004300"/>
                <w:sz w:val="18"/>
              </w:rPr>
            </w:pPr>
            <w:r w:rsidRPr="00FF1320">
              <w:rPr>
                <w:color w:val="004300"/>
                <w:sz w:val="18"/>
              </w:rPr>
              <w:t>At least 2</w:t>
            </w:r>
            <w:r>
              <w:rPr>
                <w:rFonts w:eastAsia="Times New Roman"/>
                <w:noProof/>
                <w:color w:val="004300"/>
                <w:sz w:val="18"/>
                <w:szCs w:val="18"/>
                <w:lang w:eastAsia="en-GB"/>
              </w:rPr>
              <w:t> </w:t>
            </w:r>
            <w:r w:rsidRPr="00FF1320">
              <w:rPr>
                <w:color w:val="004300"/>
                <w:sz w:val="18"/>
              </w:rPr>
              <w:t xml:space="preserve">500 new </w:t>
            </w:r>
            <w:r w:rsidRPr="008C7FAF">
              <w:rPr>
                <w:rFonts w:eastAsia="Times New Roman"/>
                <w:noProof/>
                <w:color w:val="004300"/>
                <w:sz w:val="18"/>
                <w:szCs w:val="18"/>
                <w:lang w:eastAsia="en-GB"/>
              </w:rPr>
              <w:t>portable or stationary</w:t>
            </w:r>
            <w:r w:rsidRPr="005B3244">
              <w:rPr>
                <w:rFonts w:eastAsia="Times New Roman"/>
                <w:noProof/>
                <w:color w:val="004300"/>
                <w:sz w:val="18"/>
                <w:szCs w:val="18"/>
                <w:lang w:eastAsia="en-GB"/>
              </w:rPr>
              <w:t xml:space="preserve"> </w:t>
            </w:r>
            <w:r w:rsidRPr="00FF1320">
              <w:rPr>
                <w:color w:val="004300"/>
                <w:sz w:val="18"/>
              </w:rPr>
              <w:t xml:space="preserve">recharging points shall be </w:t>
            </w:r>
            <w:r w:rsidRPr="008C7FAF">
              <w:rPr>
                <w:rFonts w:eastAsia="Times New Roman"/>
                <w:noProof/>
                <w:color w:val="004300"/>
                <w:sz w:val="18"/>
                <w:szCs w:val="18"/>
                <w:lang w:eastAsia="en-GB"/>
              </w:rPr>
              <w:t>purchased or installed.</w:t>
            </w:r>
          </w:p>
        </w:tc>
      </w:tr>
      <w:tr w:rsidRPr="00FE48E2" w:rsidR="00E3458A" w:rsidTr="4A45BCA2" w14:paraId="15457E12" w14:textId="77777777">
        <w:trPr>
          <w:trHeight w:val="315"/>
          <w:jc w:val="center"/>
        </w:trPr>
        <w:tc>
          <w:tcPr>
            <w:tcW w:w="710" w:type="dxa"/>
            <w:shd w:val="clear" w:color="auto" w:fill="C6EFCE"/>
          </w:tcPr>
          <w:p w:rsidRPr="00B41A05" w:rsidR="00D87E44" w:rsidRDefault="00D87E44" w14:paraId="15457E0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118</w:t>
            </w:r>
          </w:p>
        </w:tc>
        <w:tc>
          <w:tcPr>
            <w:tcW w:w="2206" w:type="dxa"/>
            <w:shd w:val="clear" w:color="auto" w:fill="C6EFCE"/>
          </w:tcPr>
          <w:p w:rsidRPr="00B41A05" w:rsidR="00D87E44" w:rsidRDefault="00D87E44" w14:paraId="15457E0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3: Building infrastructure – Recharging points for residential buildings </w:t>
            </w:r>
          </w:p>
        </w:tc>
        <w:tc>
          <w:tcPr>
            <w:tcW w:w="1124" w:type="dxa"/>
            <w:shd w:val="clear" w:color="auto" w:fill="C6EFCE"/>
          </w:tcPr>
          <w:p w:rsidRPr="00B41A05" w:rsidR="00D87E44" w:rsidRDefault="00D87E44" w14:paraId="15457E09" w14:textId="77777777">
            <w:pPr>
              <w:spacing w:before="0" w:after="0" w:line="240" w:lineRule="auto"/>
              <w:rPr>
                <w:rFonts w:eastAsia="Times New Roman"/>
                <w:noProof/>
                <w:color w:val="004300"/>
                <w:sz w:val="18"/>
                <w:szCs w:val="18"/>
                <w:lang w:val="en-IE" w:eastAsia="en-GB"/>
              </w:rPr>
            </w:pPr>
            <w:r w:rsidRPr="17B29258">
              <w:rPr>
                <w:rFonts w:eastAsia="Times New Roman"/>
                <w:noProof/>
                <w:color w:val="004300"/>
                <w:sz w:val="18"/>
                <w:szCs w:val="18"/>
                <w:lang w:val="en-IE" w:eastAsia="en-GB"/>
              </w:rPr>
              <w:t xml:space="preserve"> </w:t>
            </w:r>
            <w:r w:rsidRPr="17B29258" w:rsidDel="00706665">
              <w:rPr>
                <w:rFonts w:eastAsia="Times New Roman"/>
                <w:noProof/>
                <w:color w:val="004300"/>
                <w:sz w:val="18"/>
                <w:szCs w:val="18"/>
                <w:lang w:val="en-IE" w:eastAsia="en-GB"/>
              </w:rPr>
              <w:t>Target</w:t>
            </w:r>
          </w:p>
        </w:tc>
        <w:tc>
          <w:tcPr>
            <w:tcW w:w="1587" w:type="dxa"/>
            <w:shd w:val="clear" w:color="auto" w:fill="C6EFCE"/>
          </w:tcPr>
          <w:p w:rsidRPr="00B41A05" w:rsidR="00D87E44" w:rsidRDefault="00D87E44" w14:paraId="15457E0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recharging points </w:t>
            </w:r>
            <w:r>
              <w:rPr>
                <w:rFonts w:eastAsia="Times New Roman"/>
                <w:noProof/>
                <w:color w:val="004300"/>
                <w:sz w:val="18"/>
                <w:szCs w:val="18"/>
                <w:lang w:val="en-IE" w:eastAsia="en-GB"/>
              </w:rPr>
              <w:t>for</w:t>
            </w:r>
            <w:r w:rsidRPr="40242C53">
              <w:rPr>
                <w:rFonts w:eastAsia="Times New Roman"/>
                <w:noProof/>
                <w:color w:val="004300"/>
                <w:sz w:val="18"/>
                <w:szCs w:val="18"/>
                <w:lang w:val="en-IE" w:eastAsia="en-GB"/>
              </w:rPr>
              <w:t xml:space="preserve"> </w:t>
            </w:r>
            <w:r w:rsidRPr="00FE48E2">
              <w:rPr>
                <w:rFonts w:eastAsia="Times New Roman"/>
                <w:noProof/>
                <w:color w:val="004300"/>
                <w:sz w:val="18"/>
                <w:szCs w:val="18"/>
                <w:lang w:val="en-IE" w:eastAsia="en-GB"/>
              </w:rPr>
              <w:t xml:space="preserve"> residential buildings </w:t>
            </w:r>
          </w:p>
        </w:tc>
        <w:tc>
          <w:tcPr>
            <w:tcW w:w="1124" w:type="dxa"/>
            <w:shd w:val="clear" w:color="auto" w:fill="C6EFCE"/>
          </w:tcPr>
          <w:p w:rsidRPr="00B41A05" w:rsidR="00D87E44" w:rsidRDefault="00D87E44" w14:paraId="15457E0B"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B41A05" w:rsidR="00D87E44" w:rsidRDefault="00D87E44" w14:paraId="15457E0C"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 xml:space="preserve">Number of  </w:t>
            </w:r>
          </w:p>
        </w:tc>
        <w:tc>
          <w:tcPr>
            <w:tcW w:w="1064" w:type="dxa"/>
            <w:shd w:val="clear" w:color="auto" w:fill="C6EFCE"/>
          </w:tcPr>
          <w:p w:rsidRPr="00B41A05" w:rsidR="00D87E44" w:rsidRDefault="00D87E44" w14:paraId="15457E0D"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0</w:t>
            </w:r>
          </w:p>
        </w:tc>
        <w:tc>
          <w:tcPr>
            <w:tcW w:w="672" w:type="dxa"/>
            <w:shd w:val="clear" w:color="auto" w:fill="C6EFCE"/>
          </w:tcPr>
          <w:p w:rsidRPr="00B41A05" w:rsidR="00D87E44" w:rsidRDefault="00D87E44" w14:paraId="15457E0E"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2 880</w:t>
            </w:r>
          </w:p>
        </w:tc>
        <w:tc>
          <w:tcPr>
            <w:tcW w:w="956" w:type="dxa"/>
            <w:shd w:val="clear" w:color="auto" w:fill="C6EFCE"/>
          </w:tcPr>
          <w:p w:rsidRPr="00B41A05" w:rsidR="00D87E44" w:rsidRDefault="00D87E44" w14:paraId="15457E0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w:t>
            </w:r>
            <w:r w:rsidRPr="0A4DE686">
              <w:rPr>
                <w:rFonts w:eastAsia="Times New Roman"/>
                <w:noProof/>
                <w:color w:val="004300"/>
                <w:sz w:val="18"/>
                <w:szCs w:val="18"/>
                <w:lang w:val="en-IE" w:eastAsia="en-GB"/>
              </w:rPr>
              <w:t>2</w:t>
            </w:r>
          </w:p>
        </w:tc>
        <w:tc>
          <w:tcPr>
            <w:tcW w:w="717" w:type="dxa"/>
            <w:shd w:val="clear" w:color="auto" w:fill="C6EFCE"/>
          </w:tcPr>
          <w:p w:rsidRPr="00FE48E2" w:rsidR="00D87E44" w:rsidRDefault="00D87E44" w14:paraId="15457E1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3948" w:type="dxa"/>
            <w:shd w:val="clear" w:color="auto" w:fill="C6EFCE"/>
          </w:tcPr>
          <w:p w:rsidRPr="00FE48E2" w:rsidR="00D87E44" w:rsidRDefault="00D87E44" w14:paraId="15457E11"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Installation</w:t>
            </w:r>
            <w:r w:rsidRPr="0071423C">
              <w:rPr>
                <w:rFonts w:eastAsia="Times New Roman"/>
                <w:noProof/>
                <w:color w:val="004300"/>
                <w:sz w:val="18"/>
                <w:szCs w:val="18"/>
                <w:lang w:val="en-IE" w:eastAsia="en-GB"/>
              </w:rPr>
              <w:t xml:space="preserve"> </w:t>
            </w:r>
            <w:r>
              <w:rPr>
                <w:rFonts w:eastAsia="Times New Roman"/>
                <w:noProof/>
                <w:color w:val="004300"/>
                <w:sz w:val="18"/>
                <w:szCs w:val="18"/>
                <w:lang w:val="en-IE" w:eastAsia="en-GB"/>
              </w:rPr>
              <w:t>of</w:t>
            </w:r>
            <w:r w:rsidRPr="0071423C">
              <w:rPr>
                <w:rFonts w:eastAsia="Times New Roman"/>
                <w:noProof/>
                <w:color w:val="004300"/>
                <w:sz w:val="18"/>
                <w:szCs w:val="18"/>
                <w:lang w:val="en-IE" w:eastAsia="en-GB"/>
              </w:rPr>
              <w:t xml:space="preserve"> </w:t>
            </w:r>
            <w:r>
              <w:rPr>
                <w:rFonts w:eastAsia="Times New Roman"/>
                <w:noProof/>
                <w:color w:val="004300"/>
                <w:sz w:val="18"/>
                <w:szCs w:val="18"/>
                <w:lang w:val="en-IE" w:eastAsia="en-GB"/>
              </w:rPr>
              <w:t>at least</w:t>
            </w:r>
            <w:r w:rsidRPr="0071423C">
              <w:rPr>
                <w:rFonts w:eastAsia="Times New Roman"/>
                <w:noProof/>
                <w:color w:val="004300"/>
                <w:sz w:val="18"/>
                <w:szCs w:val="18"/>
                <w:lang w:val="en-IE" w:eastAsia="en-GB"/>
              </w:rPr>
              <w:t xml:space="preserve"> </w:t>
            </w:r>
            <w:r w:rsidRPr="17B29258">
              <w:rPr>
                <w:rFonts w:eastAsia="Times New Roman"/>
                <w:noProof/>
                <w:color w:val="004300"/>
                <w:sz w:val="18"/>
                <w:szCs w:val="18"/>
                <w:lang w:val="en-IE" w:eastAsia="en-GB"/>
              </w:rPr>
              <w:t xml:space="preserve">2 880 </w:t>
            </w:r>
            <w:r w:rsidRPr="0071423C">
              <w:rPr>
                <w:rFonts w:eastAsia="Times New Roman"/>
                <w:noProof/>
                <w:color w:val="004300"/>
                <w:sz w:val="18"/>
                <w:szCs w:val="18"/>
                <w:lang w:val="en-IE" w:eastAsia="en-GB"/>
              </w:rPr>
              <w:t>recharging points</w:t>
            </w:r>
            <w:r w:rsidRPr="17B29258">
              <w:rPr>
                <w:rFonts w:eastAsia="Times New Roman"/>
                <w:noProof/>
                <w:color w:val="004300"/>
                <w:sz w:val="18"/>
                <w:szCs w:val="18"/>
                <w:lang w:val="en-IE" w:eastAsia="en-GB"/>
              </w:rPr>
              <w:t xml:space="preserve"> in residential buildings</w:t>
            </w:r>
            <w:r w:rsidRPr="434ED64E">
              <w:rPr>
                <w:rFonts w:eastAsia="Times New Roman"/>
                <w:noProof/>
                <w:color w:val="004300"/>
                <w:sz w:val="18"/>
                <w:szCs w:val="18"/>
                <w:lang w:val="en-IE" w:eastAsia="en-GB"/>
              </w:rPr>
              <w:t>.</w:t>
            </w:r>
          </w:p>
        </w:tc>
      </w:tr>
      <w:tr w:rsidRPr="00FE48E2" w:rsidR="00E3458A" w:rsidTr="4A45BCA2" w14:paraId="15457E1E" w14:textId="77777777">
        <w:trPr>
          <w:trHeight w:val="315"/>
          <w:jc w:val="center"/>
        </w:trPr>
        <w:tc>
          <w:tcPr>
            <w:tcW w:w="710" w:type="dxa"/>
            <w:shd w:val="clear" w:color="auto" w:fill="C6EFCE"/>
          </w:tcPr>
          <w:p w:rsidRPr="00ED1730" w:rsidR="00D87E44" w:rsidRDefault="00D87E44" w14:paraId="15457E13"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119</w:t>
            </w:r>
          </w:p>
        </w:tc>
        <w:tc>
          <w:tcPr>
            <w:tcW w:w="2206" w:type="dxa"/>
            <w:shd w:val="clear" w:color="auto" w:fill="C6EFCE"/>
          </w:tcPr>
          <w:p w:rsidRPr="00ED1730" w:rsidR="00D87E44" w:rsidRDefault="00D87E44" w14:paraId="15457E14" w14:textId="77777777">
            <w:pPr>
              <w:spacing w:before="0" w:after="0" w:line="240" w:lineRule="auto"/>
              <w:rPr>
                <w:rFonts w:eastAsia="Times New Roman"/>
                <w:noProof/>
                <w:color w:val="004300"/>
                <w:sz w:val="18"/>
                <w:szCs w:val="18"/>
                <w:lang w:val="en-IE" w:eastAsia="en-GB"/>
              </w:rPr>
            </w:pPr>
            <w:r w:rsidRPr="1DCDD288">
              <w:rPr>
                <w:rFonts w:eastAsia="Times New Roman"/>
                <w:noProof/>
                <w:color w:val="004300"/>
                <w:sz w:val="18"/>
                <w:szCs w:val="18"/>
                <w:lang w:val="en-IE" w:eastAsia="en-GB"/>
              </w:rPr>
              <w:t xml:space="preserve">Investment 4: Aid for purchase of vehicles – zero-emission vehicles for private companies </w:t>
            </w:r>
          </w:p>
        </w:tc>
        <w:tc>
          <w:tcPr>
            <w:tcW w:w="1124" w:type="dxa"/>
            <w:shd w:val="clear" w:color="auto" w:fill="C6EFCE"/>
          </w:tcPr>
          <w:p w:rsidRPr="00ED1730" w:rsidR="00D87E44" w:rsidRDefault="00D87E44" w14:paraId="15457E15" w14:textId="77777777">
            <w:pPr>
              <w:spacing w:before="0" w:after="0" w:line="240" w:lineRule="auto"/>
              <w:rPr>
                <w:rFonts w:eastAsia="Times New Roman"/>
                <w:noProof/>
                <w:color w:val="004300"/>
                <w:sz w:val="18"/>
                <w:szCs w:val="18"/>
                <w:lang w:val="en-IE" w:eastAsia="en-GB"/>
              </w:rPr>
            </w:pPr>
            <w:r w:rsidRPr="17B29258">
              <w:rPr>
                <w:rFonts w:eastAsia="Times New Roman"/>
                <w:noProof/>
                <w:color w:val="004300"/>
                <w:sz w:val="18"/>
                <w:szCs w:val="18"/>
                <w:lang w:val="en-IE" w:eastAsia="en-GB"/>
              </w:rPr>
              <w:t xml:space="preserve"> </w:t>
            </w:r>
            <w:r w:rsidRPr="00ED1730" w:rsidDel="00706665">
              <w:rPr>
                <w:rFonts w:eastAsia="Times New Roman"/>
                <w:noProof/>
                <w:color w:val="004300"/>
                <w:sz w:val="18"/>
                <w:szCs w:val="18"/>
                <w:lang w:val="en-IE" w:eastAsia="en-GB"/>
              </w:rPr>
              <w:t>Target</w:t>
            </w:r>
          </w:p>
        </w:tc>
        <w:tc>
          <w:tcPr>
            <w:tcW w:w="1587" w:type="dxa"/>
            <w:shd w:val="clear" w:color="auto" w:fill="C6EFCE"/>
          </w:tcPr>
          <w:p w:rsidRPr="00ED1730" w:rsidR="00D87E44" w:rsidRDefault="00D87E44" w14:paraId="15457E16"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Number of vehicles for private companies</w:t>
            </w:r>
          </w:p>
        </w:tc>
        <w:tc>
          <w:tcPr>
            <w:tcW w:w="1124" w:type="dxa"/>
            <w:shd w:val="clear" w:color="auto" w:fill="C6EFCE"/>
          </w:tcPr>
          <w:p w:rsidRPr="00ED1730" w:rsidR="00D87E44" w:rsidRDefault="00D87E44" w14:paraId="15457E17"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ED1730" w:rsidR="00D87E44" w:rsidRDefault="00D87E44" w14:paraId="15457E18" w14:textId="77777777">
            <w:pPr>
              <w:spacing w:before="0" w:after="0" w:line="240" w:lineRule="auto"/>
              <w:rPr>
                <w:rFonts w:eastAsia="Times New Roman"/>
                <w:noProof/>
                <w:color w:val="004300"/>
                <w:sz w:val="18"/>
                <w:szCs w:val="18"/>
                <w:lang w:val="en-IE" w:eastAsia="en-GB"/>
              </w:rPr>
            </w:pPr>
            <w:r w:rsidRPr="00ED1730" w:rsidDel="00706665">
              <w:rPr>
                <w:rFonts w:eastAsia="Times New Roman"/>
                <w:noProof/>
                <w:color w:val="004300"/>
                <w:sz w:val="18"/>
                <w:szCs w:val="18"/>
                <w:lang w:val="en-IE" w:eastAsia="en-GB"/>
              </w:rPr>
              <w:t>Number of</w:t>
            </w:r>
            <w:r w:rsidRPr="17B29258" w:rsidDel="00706665">
              <w:rPr>
                <w:rFonts w:eastAsia="Times New Roman"/>
                <w:noProof/>
                <w:color w:val="004300"/>
                <w:sz w:val="18"/>
                <w:szCs w:val="18"/>
                <w:lang w:val="en-IE" w:eastAsia="en-GB"/>
              </w:rPr>
              <w:t xml:space="preserve">  </w:t>
            </w:r>
          </w:p>
        </w:tc>
        <w:tc>
          <w:tcPr>
            <w:tcW w:w="1064" w:type="dxa"/>
            <w:shd w:val="clear" w:color="auto" w:fill="C6EFCE"/>
          </w:tcPr>
          <w:p w:rsidRPr="00ED1730" w:rsidR="00D87E44" w:rsidRDefault="00D87E44" w14:paraId="15457E19" w14:textId="77777777">
            <w:pPr>
              <w:spacing w:before="0" w:after="0" w:line="240" w:lineRule="auto"/>
              <w:rPr>
                <w:rFonts w:eastAsia="Times New Roman"/>
                <w:noProof/>
                <w:color w:val="004300"/>
                <w:sz w:val="18"/>
                <w:szCs w:val="18"/>
                <w:lang w:val="en-IE" w:eastAsia="en-GB"/>
              </w:rPr>
            </w:pPr>
            <w:r w:rsidRPr="00ED1730" w:rsidDel="00706665">
              <w:rPr>
                <w:rFonts w:eastAsia="Times New Roman"/>
                <w:noProof/>
                <w:color w:val="004300"/>
                <w:sz w:val="18"/>
                <w:szCs w:val="18"/>
                <w:lang w:val="en-IE" w:eastAsia="en-GB"/>
              </w:rPr>
              <w:t>0</w:t>
            </w:r>
          </w:p>
        </w:tc>
        <w:tc>
          <w:tcPr>
            <w:tcW w:w="672" w:type="dxa"/>
            <w:shd w:val="clear" w:color="auto" w:fill="C6EFCE"/>
          </w:tcPr>
          <w:p w:rsidRPr="00ED1730" w:rsidR="00D87E44" w:rsidRDefault="00D87E44" w14:paraId="15457E1A" w14:textId="77777777">
            <w:pPr>
              <w:spacing w:before="0" w:after="0" w:line="240" w:lineRule="auto"/>
              <w:rPr>
                <w:rFonts w:eastAsia="Times New Roman"/>
                <w:noProof/>
                <w:color w:val="004300"/>
                <w:sz w:val="18"/>
                <w:szCs w:val="18"/>
                <w:lang w:val="en-IE" w:eastAsia="en-GB"/>
              </w:rPr>
            </w:pPr>
            <w:r w:rsidRPr="00ED1730" w:rsidDel="00706665">
              <w:rPr>
                <w:rFonts w:eastAsia="Times New Roman"/>
                <w:noProof/>
                <w:color w:val="004300"/>
                <w:sz w:val="18"/>
                <w:szCs w:val="18"/>
                <w:lang w:val="en-IE" w:eastAsia="en-GB"/>
              </w:rPr>
              <w:t>2</w:t>
            </w:r>
            <w:r>
              <w:rPr>
                <w:rFonts w:eastAsia="Times New Roman"/>
                <w:noProof/>
                <w:color w:val="004300"/>
                <w:sz w:val="18"/>
                <w:szCs w:val="18"/>
                <w:lang w:val="en-IE" w:eastAsia="en-GB"/>
              </w:rPr>
              <w:t> </w:t>
            </w:r>
            <w:r w:rsidRPr="00ED1730" w:rsidDel="00706665">
              <w:rPr>
                <w:rFonts w:eastAsia="Times New Roman"/>
                <w:noProof/>
                <w:color w:val="004300"/>
                <w:sz w:val="18"/>
                <w:szCs w:val="18"/>
                <w:lang w:val="en-IE" w:eastAsia="en-GB"/>
              </w:rPr>
              <w:t>900</w:t>
            </w:r>
          </w:p>
        </w:tc>
        <w:tc>
          <w:tcPr>
            <w:tcW w:w="956" w:type="dxa"/>
            <w:shd w:val="clear" w:color="auto" w:fill="C6EFCE"/>
          </w:tcPr>
          <w:p w:rsidRPr="00ED1730" w:rsidR="00D87E44" w:rsidRDefault="00D87E44" w14:paraId="15457E1B"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Q2</w:t>
            </w:r>
          </w:p>
        </w:tc>
        <w:tc>
          <w:tcPr>
            <w:tcW w:w="717" w:type="dxa"/>
            <w:shd w:val="clear" w:color="auto" w:fill="C6EFCE"/>
          </w:tcPr>
          <w:p w:rsidRPr="00ED1730" w:rsidR="00D87E44" w:rsidRDefault="00D87E44" w14:paraId="15457E1C" w14:textId="77777777">
            <w:pPr>
              <w:spacing w:before="0" w:after="0" w:line="240" w:lineRule="auto"/>
              <w:rPr>
                <w:rFonts w:eastAsia="Times New Roman"/>
                <w:noProof/>
                <w:color w:val="004300"/>
                <w:sz w:val="18"/>
                <w:szCs w:val="18"/>
                <w:lang w:val="en-IE" w:eastAsia="en-GB"/>
              </w:rPr>
            </w:pPr>
            <w:r w:rsidRPr="00ED1730">
              <w:rPr>
                <w:rFonts w:eastAsia="Times New Roman"/>
                <w:noProof/>
                <w:color w:val="004300"/>
                <w:sz w:val="18"/>
                <w:szCs w:val="18"/>
                <w:lang w:val="en-IE" w:eastAsia="en-GB"/>
              </w:rPr>
              <w:t>2025</w:t>
            </w:r>
          </w:p>
        </w:tc>
        <w:tc>
          <w:tcPr>
            <w:tcW w:w="3948" w:type="dxa"/>
            <w:shd w:val="clear" w:color="auto" w:fill="C6EFCE"/>
          </w:tcPr>
          <w:p w:rsidRPr="00ED1730" w:rsidR="00D87E44" w:rsidRDefault="00D87E44" w14:paraId="15457E1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P</w:t>
            </w:r>
            <w:r w:rsidRPr="00ED1730">
              <w:rPr>
                <w:rFonts w:eastAsia="Times New Roman"/>
                <w:noProof/>
                <w:color w:val="004300"/>
                <w:sz w:val="18"/>
                <w:szCs w:val="18"/>
                <w:lang w:val="en-IE" w:eastAsia="en-GB"/>
              </w:rPr>
              <w:t>urchase of at least 2</w:t>
            </w:r>
            <w:r>
              <w:rPr>
                <w:rFonts w:eastAsia="Times New Roman"/>
                <w:noProof/>
                <w:color w:val="004300"/>
                <w:sz w:val="18"/>
                <w:szCs w:val="18"/>
                <w:lang w:val="en-IE" w:eastAsia="en-GB"/>
              </w:rPr>
              <w:t> </w:t>
            </w:r>
            <w:r w:rsidRPr="00ED1730">
              <w:rPr>
                <w:rFonts w:eastAsia="Times New Roman"/>
                <w:noProof/>
                <w:color w:val="004300"/>
                <w:sz w:val="18"/>
                <w:szCs w:val="18"/>
                <w:lang w:val="en-IE" w:eastAsia="en-GB"/>
              </w:rPr>
              <w:t>900 new zero emission vehicles (cars and vans) for private companies and self-employed persons.</w:t>
            </w:r>
          </w:p>
        </w:tc>
      </w:tr>
      <w:tr w:rsidRPr="00FE48E2" w:rsidR="00E3458A" w:rsidTr="4A45BCA2" w14:paraId="15457E2A" w14:textId="77777777">
        <w:trPr>
          <w:trHeight w:val="315"/>
          <w:jc w:val="center"/>
        </w:trPr>
        <w:tc>
          <w:tcPr>
            <w:tcW w:w="710" w:type="dxa"/>
            <w:shd w:val="clear" w:color="auto" w:fill="C6EFCE"/>
          </w:tcPr>
          <w:p w:rsidRPr="00B41A05" w:rsidR="00D87E44" w:rsidRDefault="00D87E44" w14:paraId="15457E1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120</w:t>
            </w:r>
          </w:p>
        </w:tc>
        <w:tc>
          <w:tcPr>
            <w:tcW w:w="2206" w:type="dxa"/>
            <w:shd w:val="clear" w:color="auto" w:fill="C6EFCE"/>
          </w:tcPr>
          <w:p w:rsidRPr="00B41A05" w:rsidR="00D87E44" w:rsidRDefault="00D87E44" w14:paraId="15457E20" w14:textId="77777777">
            <w:pPr>
              <w:spacing w:before="0" w:after="0" w:line="240" w:lineRule="auto"/>
              <w:rPr>
                <w:rFonts w:eastAsia="Times New Roman"/>
                <w:noProof/>
                <w:color w:val="004300"/>
                <w:sz w:val="18"/>
                <w:szCs w:val="18"/>
                <w:lang w:val="en-IE" w:eastAsia="en-GB"/>
              </w:rPr>
            </w:pPr>
            <w:r w:rsidRPr="1DCDD288">
              <w:rPr>
                <w:rFonts w:eastAsia="Times New Roman"/>
                <w:noProof/>
                <w:color w:val="004300"/>
                <w:sz w:val="18"/>
                <w:szCs w:val="18"/>
                <w:lang w:val="en-IE" w:eastAsia="en-GB"/>
              </w:rPr>
              <w:t xml:space="preserve">Investment 5: Aid for purchase of zero-emission </w:t>
            </w:r>
            <w:r w:rsidRPr="1DCDD288">
              <w:rPr>
                <w:rFonts w:eastAsia="Times New Roman"/>
                <w:noProof/>
                <w:color w:val="004300"/>
                <w:sz w:val="18"/>
                <w:szCs w:val="18"/>
                <w:lang w:val="en-IE" w:eastAsia="en-GB"/>
              </w:rPr>
              <w:t xml:space="preserve">vehicles and infrastructure for municipalities, regions, state administration and other public entities </w:t>
            </w:r>
          </w:p>
        </w:tc>
        <w:tc>
          <w:tcPr>
            <w:tcW w:w="1124" w:type="dxa"/>
            <w:shd w:val="clear" w:color="auto" w:fill="C6EFCE"/>
          </w:tcPr>
          <w:p w:rsidRPr="00B41A05" w:rsidR="00D87E44" w:rsidRDefault="00D87E44" w14:paraId="15457E21"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Target</w:t>
            </w:r>
          </w:p>
        </w:tc>
        <w:tc>
          <w:tcPr>
            <w:tcW w:w="1587" w:type="dxa"/>
            <w:shd w:val="clear" w:color="auto" w:fill="C6EFCE"/>
          </w:tcPr>
          <w:p w:rsidRPr="00B41A05" w:rsidR="00D87E44" w:rsidRDefault="00D87E44" w14:paraId="15457E22" w14:textId="77777777">
            <w:pPr>
              <w:spacing w:before="0" w:after="0" w:line="240" w:lineRule="auto"/>
              <w:rPr>
                <w:rFonts w:eastAsia="Times New Roman"/>
                <w:noProof/>
                <w:color w:val="004300"/>
                <w:sz w:val="18"/>
                <w:szCs w:val="18"/>
                <w:lang w:val="en-IE" w:eastAsia="en-GB"/>
              </w:rPr>
            </w:pPr>
            <w:r w:rsidRPr="17B29258">
              <w:rPr>
                <w:rFonts w:eastAsia="Times New Roman"/>
                <w:noProof/>
                <w:color w:val="004300"/>
                <w:sz w:val="18"/>
                <w:szCs w:val="18"/>
                <w:lang w:val="en-IE" w:eastAsia="en-GB"/>
              </w:rPr>
              <w:t xml:space="preserve">Number of vehicles  for municipalities, regions, state administration and other public entities </w:t>
            </w:r>
          </w:p>
        </w:tc>
        <w:tc>
          <w:tcPr>
            <w:tcW w:w="1124" w:type="dxa"/>
            <w:shd w:val="clear" w:color="auto" w:fill="C6EFCE"/>
          </w:tcPr>
          <w:p w:rsidRPr="00B41A05" w:rsidR="00D87E44" w:rsidRDefault="00D87E44" w14:paraId="15457E23"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B41A05" w:rsidR="00D87E44" w:rsidRDefault="00D87E44" w14:paraId="15457E24"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 xml:space="preserve">Number of  </w:t>
            </w:r>
          </w:p>
        </w:tc>
        <w:tc>
          <w:tcPr>
            <w:tcW w:w="1064" w:type="dxa"/>
            <w:shd w:val="clear" w:color="auto" w:fill="C6EFCE"/>
          </w:tcPr>
          <w:p w:rsidRPr="00B41A05" w:rsidR="00D87E44" w:rsidRDefault="00D87E44" w14:paraId="15457E25"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0</w:t>
            </w:r>
          </w:p>
        </w:tc>
        <w:tc>
          <w:tcPr>
            <w:tcW w:w="672" w:type="dxa"/>
            <w:shd w:val="clear" w:color="auto" w:fill="C6EFCE"/>
          </w:tcPr>
          <w:p w:rsidRPr="00B41A05" w:rsidR="00D87E44" w:rsidRDefault="00D87E44" w14:paraId="15457E26" w14:textId="77777777">
            <w:pPr>
              <w:spacing w:before="0" w:after="0" w:line="240" w:lineRule="auto"/>
              <w:rPr>
                <w:rFonts w:eastAsia="Times New Roman"/>
                <w:noProof/>
                <w:color w:val="004300"/>
                <w:sz w:val="18"/>
                <w:szCs w:val="18"/>
                <w:lang w:val="en-IE" w:eastAsia="en-GB"/>
              </w:rPr>
            </w:pPr>
            <w:r w:rsidRPr="00500055" w:rsidDel="00706665">
              <w:rPr>
                <w:rFonts w:eastAsia="Times New Roman"/>
                <w:noProof/>
                <w:color w:val="004300"/>
                <w:sz w:val="18"/>
                <w:szCs w:val="18"/>
                <w:lang w:val="en-IE" w:eastAsia="en-GB"/>
              </w:rPr>
              <w:t>1 </w:t>
            </w:r>
            <w:r w:rsidRPr="008C7FAF">
              <w:rPr>
                <w:rFonts w:eastAsia="Times New Roman"/>
                <w:noProof/>
                <w:color w:val="004300"/>
                <w:sz w:val="18"/>
                <w:szCs w:val="18"/>
                <w:lang w:val="en-IE" w:eastAsia="en-GB"/>
              </w:rPr>
              <w:t>900</w:t>
            </w:r>
          </w:p>
        </w:tc>
        <w:tc>
          <w:tcPr>
            <w:tcW w:w="956" w:type="dxa"/>
            <w:shd w:val="clear" w:color="auto" w:fill="C6EFCE"/>
          </w:tcPr>
          <w:p w:rsidRPr="00B41A05" w:rsidR="00D87E44" w:rsidRDefault="00D87E44" w14:paraId="15457E27"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Q2</w:t>
            </w:r>
          </w:p>
        </w:tc>
        <w:tc>
          <w:tcPr>
            <w:tcW w:w="717" w:type="dxa"/>
            <w:shd w:val="clear" w:color="auto" w:fill="C6EFCE"/>
          </w:tcPr>
          <w:p w:rsidRPr="00FE48E2" w:rsidR="00D87E44" w:rsidRDefault="00D87E44" w14:paraId="15457E2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w:t>
            </w:r>
            <w:r>
              <w:rPr>
                <w:rFonts w:eastAsia="Times New Roman"/>
                <w:noProof/>
                <w:color w:val="004300"/>
                <w:sz w:val="18"/>
                <w:szCs w:val="18"/>
                <w:lang w:val="en-IE" w:eastAsia="en-GB"/>
              </w:rPr>
              <w:t>6</w:t>
            </w:r>
          </w:p>
        </w:tc>
        <w:tc>
          <w:tcPr>
            <w:tcW w:w="3948" w:type="dxa"/>
            <w:shd w:val="clear" w:color="auto" w:fill="C6EFCE"/>
          </w:tcPr>
          <w:p w:rsidRPr="00B41A05" w:rsidR="00D87E44" w:rsidRDefault="00D87E44" w14:paraId="15457E29"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Delivery</w:t>
            </w:r>
            <w:r w:rsidRPr="17B29258">
              <w:rPr>
                <w:rFonts w:eastAsia="Times New Roman"/>
                <w:noProof/>
                <w:color w:val="004300"/>
                <w:sz w:val="18"/>
                <w:szCs w:val="18"/>
                <w:lang w:val="en-IE" w:eastAsia="en-GB"/>
              </w:rPr>
              <w:t xml:space="preserve"> of at least 1 </w:t>
            </w:r>
            <w:r>
              <w:rPr>
                <w:rFonts w:eastAsia="Times New Roman"/>
                <w:noProof/>
                <w:color w:val="004300"/>
                <w:sz w:val="18"/>
                <w:szCs w:val="18"/>
                <w:lang w:val="en-IE" w:eastAsia="en-GB"/>
              </w:rPr>
              <w:t>900</w:t>
            </w:r>
            <w:r w:rsidRPr="17B29258">
              <w:rPr>
                <w:rFonts w:eastAsia="Times New Roman"/>
                <w:noProof/>
                <w:color w:val="004300"/>
                <w:sz w:val="18"/>
                <w:szCs w:val="18"/>
                <w:lang w:val="en-IE" w:eastAsia="en-GB"/>
              </w:rPr>
              <w:t xml:space="preserve"> new zero emission vehicles for </w:t>
            </w:r>
            <w:r w:rsidRPr="434ED64E">
              <w:rPr>
                <w:rFonts w:eastAsia="Times New Roman"/>
                <w:noProof/>
                <w:color w:val="004300"/>
                <w:sz w:val="18"/>
                <w:szCs w:val="18"/>
                <w:lang w:val="en-IE" w:eastAsia="en-GB"/>
              </w:rPr>
              <w:t>municipalities</w:t>
            </w:r>
            <w:r w:rsidRPr="17B29258">
              <w:rPr>
                <w:rFonts w:eastAsia="Times New Roman"/>
                <w:noProof/>
                <w:color w:val="004300"/>
                <w:sz w:val="18"/>
                <w:szCs w:val="18"/>
                <w:lang w:val="en-IE" w:eastAsia="en-GB"/>
              </w:rPr>
              <w:t>, regions, state administration and other public entities</w:t>
            </w:r>
            <w:r>
              <w:rPr>
                <w:rFonts w:eastAsia="Times New Roman"/>
                <w:noProof/>
                <w:color w:val="004300"/>
                <w:sz w:val="18"/>
                <w:szCs w:val="18"/>
                <w:lang w:val="en-IE" w:eastAsia="en-GB"/>
              </w:rPr>
              <w:t>.</w:t>
            </w:r>
            <w:r w:rsidRPr="17B29258">
              <w:rPr>
                <w:rFonts w:eastAsia="Times New Roman"/>
                <w:noProof/>
                <w:color w:val="004300"/>
                <w:sz w:val="18"/>
                <w:szCs w:val="18"/>
                <w:lang w:val="en-IE" w:eastAsia="en-GB"/>
              </w:rPr>
              <w:t xml:space="preserve"> </w:t>
            </w:r>
          </w:p>
        </w:tc>
      </w:tr>
      <w:tr w:rsidRPr="00FE48E2" w:rsidR="00E3458A" w:rsidTr="4A45BCA2" w14:paraId="15457E36" w14:textId="77777777">
        <w:trPr>
          <w:trHeight w:val="315"/>
          <w:jc w:val="center"/>
        </w:trPr>
        <w:tc>
          <w:tcPr>
            <w:tcW w:w="710" w:type="dxa"/>
            <w:shd w:val="clear" w:color="auto" w:fill="C6EFCE"/>
          </w:tcPr>
          <w:p w:rsidRPr="00B41A05" w:rsidR="00D87E44" w:rsidRDefault="00D87E44" w14:paraId="15457E2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121</w:t>
            </w:r>
          </w:p>
        </w:tc>
        <w:tc>
          <w:tcPr>
            <w:tcW w:w="2206" w:type="dxa"/>
            <w:shd w:val="clear" w:color="auto" w:fill="C6EFCE"/>
          </w:tcPr>
          <w:p w:rsidRPr="00B41A05" w:rsidR="00D87E44" w:rsidRDefault="00D87E44" w14:paraId="15457E2C" w14:textId="77777777">
            <w:pPr>
              <w:spacing w:before="0" w:after="0" w:line="240" w:lineRule="auto"/>
              <w:rPr>
                <w:rFonts w:eastAsia="Times New Roman"/>
                <w:noProof/>
                <w:color w:val="004300"/>
                <w:sz w:val="18"/>
                <w:szCs w:val="18"/>
                <w:lang w:val="en-IE" w:eastAsia="en-GB"/>
              </w:rPr>
            </w:pPr>
            <w:r w:rsidRPr="4A45BCA2">
              <w:rPr>
                <w:rFonts w:eastAsia="Times New Roman"/>
                <w:noProof/>
                <w:color w:val="004300"/>
                <w:sz w:val="18"/>
                <w:szCs w:val="18"/>
                <w:lang w:val="en-IE" w:eastAsia="en-GB"/>
              </w:rPr>
              <w:t xml:space="preserve">Investment 5: Aid for purchase of zero-emission vehicles </w:t>
            </w:r>
            <w:r w:rsidRPr="4A45BCA2">
              <w:rPr>
                <w:rFonts w:eastAsia="Times New Roman"/>
                <w:noProof/>
                <w:color w:val="004300"/>
                <w:sz w:val="18"/>
                <w:szCs w:val="18"/>
                <w:lang w:val="en-IE" w:eastAsia="en-GB"/>
              </w:rPr>
              <w:t xml:space="preserve">and infrastructure for municipalities, regions, state administration and other public entities </w:t>
            </w:r>
          </w:p>
        </w:tc>
        <w:tc>
          <w:tcPr>
            <w:tcW w:w="1124" w:type="dxa"/>
            <w:shd w:val="clear" w:color="auto" w:fill="C6EFCE"/>
          </w:tcPr>
          <w:p w:rsidRPr="00B41A05" w:rsidR="00D87E44" w:rsidRDefault="00D87E44" w14:paraId="15457E2D"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Target</w:t>
            </w:r>
          </w:p>
        </w:tc>
        <w:tc>
          <w:tcPr>
            <w:tcW w:w="1587" w:type="dxa"/>
            <w:shd w:val="clear" w:color="auto" w:fill="C6EFCE"/>
          </w:tcPr>
          <w:p w:rsidRPr="00B41A05" w:rsidR="00D87E44" w:rsidRDefault="00D87E44" w14:paraId="15457E2E" w14:textId="77777777">
            <w:pPr>
              <w:spacing w:before="0" w:after="0" w:line="240" w:lineRule="auto"/>
              <w:rPr>
                <w:rFonts w:eastAsia="Times New Roman"/>
                <w:noProof/>
                <w:color w:val="004300"/>
                <w:sz w:val="18"/>
                <w:szCs w:val="18"/>
                <w:lang w:val="en-IE" w:eastAsia="en-GB"/>
              </w:rPr>
            </w:pPr>
            <w:r w:rsidRPr="17B29258">
              <w:rPr>
                <w:rFonts w:eastAsia="Times New Roman"/>
                <w:noProof/>
                <w:color w:val="004300"/>
                <w:sz w:val="18"/>
                <w:szCs w:val="18"/>
                <w:lang w:val="en-IE" w:eastAsia="en-GB"/>
              </w:rPr>
              <w:t xml:space="preserve">Number of charging stations for municipalities, regions, state administration and other public entities </w:t>
            </w:r>
          </w:p>
        </w:tc>
        <w:tc>
          <w:tcPr>
            <w:tcW w:w="1124" w:type="dxa"/>
            <w:shd w:val="clear" w:color="auto" w:fill="C6EFCE"/>
          </w:tcPr>
          <w:p w:rsidRPr="00B41A05" w:rsidR="00D87E44" w:rsidRDefault="00D87E44" w14:paraId="15457E2F"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B41A05" w:rsidR="00D87E44" w:rsidRDefault="00D87E44" w14:paraId="15457E30"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 xml:space="preserve">Number of </w:t>
            </w:r>
          </w:p>
        </w:tc>
        <w:tc>
          <w:tcPr>
            <w:tcW w:w="1064" w:type="dxa"/>
            <w:shd w:val="clear" w:color="auto" w:fill="C6EFCE"/>
          </w:tcPr>
          <w:p w:rsidRPr="00B41A05" w:rsidR="00D87E44" w:rsidRDefault="00D87E44" w14:paraId="15457E31"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0</w:t>
            </w:r>
          </w:p>
        </w:tc>
        <w:tc>
          <w:tcPr>
            <w:tcW w:w="672" w:type="dxa"/>
            <w:shd w:val="clear" w:color="auto" w:fill="C6EFCE"/>
          </w:tcPr>
          <w:p w:rsidRPr="00B41A05" w:rsidR="00D87E44" w:rsidRDefault="00D87E44" w14:paraId="15457E32" w14:textId="77777777">
            <w:pPr>
              <w:spacing w:before="0" w:after="0" w:line="240" w:lineRule="auto"/>
              <w:rPr>
                <w:rFonts w:eastAsia="Times New Roman"/>
                <w:noProof/>
                <w:color w:val="004300"/>
                <w:sz w:val="18"/>
                <w:szCs w:val="18"/>
                <w:lang w:val="en-IE" w:eastAsia="en-GB"/>
              </w:rPr>
            </w:pPr>
            <w:r w:rsidRPr="17B29258" w:rsidDel="00706665">
              <w:rPr>
                <w:rFonts w:eastAsia="Times New Roman"/>
                <w:noProof/>
                <w:color w:val="004300"/>
                <w:sz w:val="18"/>
                <w:szCs w:val="18"/>
                <w:lang w:val="en-IE" w:eastAsia="en-GB"/>
              </w:rPr>
              <w:t>200</w:t>
            </w:r>
          </w:p>
        </w:tc>
        <w:tc>
          <w:tcPr>
            <w:tcW w:w="956" w:type="dxa"/>
            <w:shd w:val="clear" w:color="auto" w:fill="C6EFCE"/>
          </w:tcPr>
          <w:p w:rsidRPr="00B41A05" w:rsidR="00D87E44" w:rsidRDefault="00D87E44" w14:paraId="15457E33" w14:textId="77777777">
            <w:pPr>
              <w:spacing w:before="0" w:after="0" w:line="240" w:lineRule="auto"/>
              <w:rPr>
                <w:rFonts w:eastAsia="Times New Roman"/>
                <w:noProof/>
                <w:color w:val="004300"/>
                <w:sz w:val="18"/>
                <w:szCs w:val="18"/>
                <w:lang w:val="en-IE" w:eastAsia="en-GB"/>
              </w:rPr>
            </w:pPr>
            <w:r w:rsidRPr="5CFE8E71">
              <w:rPr>
                <w:rFonts w:eastAsia="Times New Roman"/>
                <w:noProof/>
                <w:color w:val="004300"/>
                <w:sz w:val="18"/>
                <w:szCs w:val="18"/>
                <w:lang w:val="en-IE" w:eastAsia="en-GB"/>
              </w:rPr>
              <w:t>Q2</w:t>
            </w:r>
          </w:p>
        </w:tc>
        <w:tc>
          <w:tcPr>
            <w:tcW w:w="717" w:type="dxa"/>
            <w:shd w:val="clear" w:color="auto" w:fill="C6EFCE"/>
          </w:tcPr>
          <w:p w:rsidRPr="00FE48E2" w:rsidR="00D87E44" w:rsidRDefault="00D87E44" w14:paraId="15457E3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3948" w:type="dxa"/>
            <w:shd w:val="clear" w:color="auto" w:fill="C6EFCE"/>
          </w:tcPr>
          <w:p w:rsidRPr="00B41A05" w:rsidR="00D87E44" w:rsidRDefault="00D87E44" w14:paraId="15457E35"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w:t>
            </w:r>
            <w:r w:rsidRPr="0071423C">
              <w:rPr>
                <w:rFonts w:eastAsia="Times New Roman"/>
                <w:noProof/>
                <w:color w:val="004300"/>
                <w:sz w:val="18"/>
                <w:szCs w:val="18"/>
                <w:lang w:val="en-IE" w:eastAsia="en-GB"/>
              </w:rPr>
              <w:t xml:space="preserve">nstallation </w:t>
            </w:r>
            <w:r>
              <w:rPr>
                <w:rFonts w:eastAsia="Times New Roman"/>
                <w:noProof/>
                <w:color w:val="004300"/>
                <w:sz w:val="18"/>
                <w:szCs w:val="18"/>
                <w:lang w:val="en-IE" w:eastAsia="en-GB"/>
              </w:rPr>
              <w:t>of</w:t>
            </w:r>
            <w:r w:rsidRPr="0071423C">
              <w:rPr>
                <w:rFonts w:eastAsia="Times New Roman"/>
                <w:noProof/>
                <w:color w:val="004300"/>
                <w:sz w:val="18"/>
                <w:szCs w:val="18"/>
                <w:lang w:val="en-IE" w:eastAsia="en-GB"/>
              </w:rPr>
              <w:t xml:space="preserve"> </w:t>
            </w:r>
            <w:r w:rsidRPr="17B29258">
              <w:rPr>
                <w:rFonts w:eastAsia="Times New Roman"/>
                <w:noProof/>
                <w:color w:val="004300"/>
                <w:sz w:val="18"/>
                <w:szCs w:val="18"/>
                <w:lang w:val="en-IE" w:eastAsia="en-GB"/>
              </w:rPr>
              <w:t xml:space="preserve">at least 200 new </w:t>
            </w:r>
            <w:r>
              <w:rPr>
                <w:rFonts w:eastAsia="Times New Roman"/>
                <w:noProof/>
                <w:color w:val="004300"/>
                <w:sz w:val="18"/>
                <w:szCs w:val="18"/>
                <w:lang w:val="en-IE" w:eastAsia="en-GB"/>
              </w:rPr>
              <w:t>re</w:t>
            </w:r>
            <w:r w:rsidRPr="17B29258">
              <w:rPr>
                <w:rFonts w:eastAsia="Times New Roman"/>
                <w:noProof/>
                <w:color w:val="004300"/>
                <w:sz w:val="18"/>
                <w:szCs w:val="18"/>
                <w:lang w:val="en-IE" w:eastAsia="en-GB"/>
              </w:rPr>
              <w:t xml:space="preserve">charging </w:t>
            </w:r>
            <w:r>
              <w:rPr>
                <w:rFonts w:eastAsia="Times New Roman"/>
                <w:noProof/>
                <w:color w:val="004300"/>
                <w:sz w:val="18"/>
                <w:szCs w:val="18"/>
                <w:lang w:val="en-IE" w:eastAsia="en-GB"/>
              </w:rPr>
              <w:t>points</w:t>
            </w:r>
            <w:r w:rsidRPr="17B29258">
              <w:rPr>
                <w:rFonts w:eastAsia="Times New Roman"/>
                <w:noProof/>
                <w:color w:val="004300"/>
                <w:sz w:val="18"/>
                <w:szCs w:val="18"/>
                <w:lang w:val="en-IE" w:eastAsia="en-GB"/>
              </w:rPr>
              <w:t xml:space="preserve"> for municipalities, regions, state administration and other public entities</w:t>
            </w:r>
            <w:r>
              <w:rPr>
                <w:rFonts w:eastAsia="Times New Roman"/>
                <w:noProof/>
                <w:color w:val="004300"/>
                <w:sz w:val="18"/>
                <w:szCs w:val="18"/>
                <w:lang w:val="en-IE" w:eastAsia="en-GB"/>
              </w:rPr>
              <w:t>.</w:t>
            </w:r>
            <w:r w:rsidRPr="17B29258">
              <w:rPr>
                <w:rFonts w:eastAsia="Times New Roman"/>
                <w:noProof/>
                <w:color w:val="004300"/>
                <w:sz w:val="18"/>
                <w:szCs w:val="18"/>
                <w:lang w:val="en-IE" w:eastAsia="en-GB"/>
              </w:rPr>
              <w:t xml:space="preserve"> </w:t>
            </w:r>
          </w:p>
        </w:tc>
      </w:tr>
      <w:tr w:rsidRPr="00FE48E2" w:rsidR="00E3458A" w:rsidTr="4A45BCA2" w14:paraId="15457E42" w14:textId="77777777">
        <w:trPr>
          <w:trHeight w:val="315"/>
          <w:jc w:val="center"/>
        </w:trPr>
        <w:tc>
          <w:tcPr>
            <w:tcW w:w="710" w:type="dxa"/>
            <w:shd w:val="clear" w:color="auto" w:fill="C6EFCE"/>
          </w:tcPr>
          <w:p w:rsidRPr="00B41A05" w:rsidR="00D87E44" w:rsidRDefault="00D87E44" w14:paraId="15457E3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122</w:t>
            </w:r>
          </w:p>
        </w:tc>
        <w:tc>
          <w:tcPr>
            <w:tcW w:w="2206" w:type="dxa"/>
            <w:shd w:val="clear" w:color="auto" w:fill="C6EFCE"/>
          </w:tcPr>
          <w:p w:rsidRPr="00B41A05" w:rsidR="00D87E44" w:rsidRDefault="00D87E44" w14:paraId="15457E3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6: Aid for purchase of vehicles (battery trolleybuses and low-floor </w:t>
            </w:r>
            <w:r w:rsidRPr="00FE48E2">
              <w:rPr>
                <w:rFonts w:eastAsia="Times New Roman"/>
                <w:noProof/>
                <w:color w:val="004300"/>
                <w:sz w:val="18"/>
                <w:szCs w:val="18"/>
                <w:lang w:val="en-IE" w:eastAsia="en-GB"/>
              </w:rPr>
              <w:lastRenderedPageBreak/>
              <w:t xml:space="preserve">tramways) for public transport in the city of Prague </w:t>
            </w:r>
          </w:p>
        </w:tc>
        <w:tc>
          <w:tcPr>
            <w:tcW w:w="1124" w:type="dxa"/>
            <w:shd w:val="clear" w:color="auto" w:fill="C6EFCE"/>
          </w:tcPr>
          <w:p w:rsidRPr="00B41A05" w:rsidR="00D87E44" w:rsidRDefault="00D87E44" w14:paraId="15457E3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Target</w:t>
            </w:r>
          </w:p>
        </w:tc>
        <w:tc>
          <w:tcPr>
            <w:tcW w:w="1587" w:type="dxa"/>
            <w:shd w:val="clear" w:color="auto" w:fill="C6EFCE"/>
          </w:tcPr>
          <w:p w:rsidRPr="00B41A05" w:rsidR="00D87E44" w:rsidRDefault="00D87E44" w14:paraId="15457E3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vehicles (trolleybuses and trams)  </w:t>
            </w:r>
          </w:p>
        </w:tc>
        <w:tc>
          <w:tcPr>
            <w:tcW w:w="1124" w:type="dxa"/>
            <w:shd w:val="clear" w:color="auto" w:fill="C6EFCE"/>
          </w:tcPr>
          <w:p w:rsidRPr="00B41A05" w:rsidR="00D87E44" w:rsidRDefault="00D87E44" w14:paraId="15457E3B" w14:textId="77777777">
            <w:pPr>
              <w:spacing w:before="0" w:after="0" w:line="240" w:lineRule="auto"/>
              <w:rPr>
                <w:rFonts w:eastAsia="Times New Roman"/>
                <w:noProof/>
                <w:color w:val="004300"/>
                <w:sz w:val="18"/>
                <w:szCs w:val="18"/>
                <w:lang w:val="en-IE" w:eastAsia="en-GB"/>
              </w:rPr>
            </w:pPr>
          </w:p>
        </w:tc>
        <w:tc>
          <w:tcPr>
            <w:tcW w:w="1064" w:type="dxa"/>
            <w:shd w:val="clear" w:color="auto" w:fill="C6EFCE"/>
          </w:tcPr>
          <w:p w:rsidRPr="00B41A05" w:rsidR="00D87E44" w:rsidRDefault="00D87E44" w14:paraId="15457E3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w:t>
            </w:r>
          </w:p>
        </w:tc>
        <w:tc>
          <w:tcPr>
            <w:tcW w:w="1064" w:type="dxa"/>
            <w:shd w:val="clear" w:color="auto" w:fill="C6EFCE"/>
          </w:tcPr>
          <w:p w:rsidRPr="00B41A05" w:rsidR="00D87E44" w:rsidRDefault="00D87E44" w14:paraId="15457E3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672" w:type="dxa"/>
            <w:shd w:val="clear" w:color="auto" w:fill="C6EFCE"/>
          </w:tcPr>
          <w:p w:rsidRPr="00B41A05" w:rsidR="00D87E44" w:rsidRDefault="00D87E44" w14:paraId="15457E3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40</w:t>
            </w:r>
          </w:p>
        </w:tc>
        <w:tc>
          <w:tcPr>
            <w:tcW w:w="956" w:type="dxa"/>
            <w:shd w:val="clear" w:color="auto" w:fill="C6EFCE"/>
          </w:tcPr>
          <w:p w:rsidRPr="00B41A05" w:rsidR="00D87E44" w:rsidRDefault="00D87E44" w14:paraId="15457E3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w:t>
            </w:r>
            <w:r>
              <w:rPr>
                <w:rFonts w:eastAsia="Times New Roman"/>
                <w:noProof/>
                <w:color w:val="004300"/>
                <w:sz w:val="18"/>
                <w:szCs w:val="18"/>
                <w:lang w:val="en-IE" w:eastAsia="en-GB"/>
              </w:rPr>
              <w:t>4</w:t>
            </w:r>
          </w:p>
        </w:tc>
        <w:tc>
          <w:tcPr>
            <w:tcW w:w="717" w:type="dxa"/>
            <w:shd w:val="clear" w:color="auto" w:fill="C6EFCE"/>
          </w:tcPr>
          <w:p w:rsidRPr="00FE48E2" w:rsidR="00D87E44" w:rsidRDefault="00D87E44" w14:paraId="15457E4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w:t>
            </w:r>
            <w:r>
              <w:rPr>
                <w:rFonts w:eastAsia="Times New Roman"/>
                <w:noProof/>
                <w:color w:val="004300"/>
                <w:sz w:val="18"/>
                <w:szCs w:val="18"/>
                <w:lang w:val="en-IE" w:eastAsia="en-GB"/>
              </w:rPr>
              <w:t>5</w:t>
            </w:r>
          </w:p>
        </w:tc>
        <w:tc>
          <w:tcPr>
            <w:tcW w:w="3948" w:type="dxa"/>
            <w:shd w:val="clear" w:color="auto" w:fill="C6EFCE"/>
          </w:tcPr>
          <w:p w:rsidRPr="00B41A05" w:rsidR="00D87E44" w:rsidRDefault="00D87E44" w14:paraId="15457E41"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Delivery</w:t>
            </w:r>
            <w:r w:rsidRPr="17B29258">
              <w:rPr>
                <w:rFonts w:eastAsia="Times New Roman"/>
                <w:noProof/>
                <w:color w:val="004300"/>
                <w:sz w:val="18"/>
                <w:szCs w:val="18"/>
                <w:lang w:val="en-IE" w:eastAsia="en-GB"/>
              </w:rPr>
              <w:t xml:space="preserve"> of 40 new zero emission vehicles (20 trolleybuses and 20 trams</w:t>
            </w:r>
            <w:r w:rsidRPr="434ED64E">
              <w:rPr>
                <w:rFonts w:eastAsia="Times New Roman"/>
                <w:noProof/>
                <w:color w:val="004300"/>
                <w:sz w:val="18"/>
                <w:szCs w:val="18"/>
                <w:lang w:val="en-IE" w:eastAsia="en-GB"/>
              </w:rPr>
              <w:t>).</w:t>
            </w:r>
          </w:p>
        </w:tc>
      </w:tr>
    </w:tbl>
    <w:p w:rsidRPr="00FE48E2" w:rsidR="00D87E44" w:rsidP="00D226F4" w:rsidRDefault="00D87E44" w14:paraId="15457E43" w14:textId="77777777">
      <w:pPr>
        <w:pBdr>
          <w:top w:val="nil"/>
          <w:left w:val="nil"/>
          <w:bottom w:val="nil"/>
          <w:right w:val="nil"/>
          <w:between w:val="nil"/>
        </w:pBdr>
        <w:spacing w:line="240" w:lineRule="auto"/>
        <w:jc w:val="both"/>
        <w:rPr>
          <w:rFonts w:eastAsia="Times New Roman"/>
          <w:noProof/>
          <w:color w:val="000000"/>
          <w:sz w:val="16"/>
          <w:szCs w:val="16"/>
          <w:lang w:val="en-IE" w:eastAsia="en-GB"/>
        </w:rPr>
        <w:sectPr w:rsidRPr="00FE48E2" w:rsidR="00C16C1F" w:rsidSect="00D226F4">
          <w:headerReference w:type="even" r:id="R088d72fc000a4879"/>
          <w:headerReference w:type="default" r:id="Racd462c0637847db"/>
          <w:footerReference w:type="even" r:id="Ree704e8ea0d7420c"/>
          <w:footerReference w:type="default" r:id="R85050a7beb9145c6"/>
          <w:headerReference w:type="first" r:id="R935077391c6f433c"/>
          <w:footerReference w:type="first" r:id="Rc989e980081a4b2e"/>
          <w:pgSz w:w="16839" w:h="11907" w:orient="landscape"/>
          <w:pgMar w:top="1134" w:right="1134" w:bottom="1134" w:left="1134" w:header="567" w:footer="567" w:gutter="0"/>
          <w:cols w:space="720"/>
          <w:docGrid w:linePitch="326"/>
        </w:sectPr>
      </w:pPr>
    </w:p>
    <w:p w:rsidRPr="00FE48E2" w:rsidR="00D87E44" w:rsidP="00D226F4" w:rsidRDefault="00D87E44" w14:paraId="15457E44" w14:textId="77777777">
      <w:pPr>
        <w:keepNext/>
        <w:tabs>
          <w:tab w:val="left" w:pos="850"/>
        </w:tabs>
        <w:spacing w:line="240" w:lineRule="auto"/>
        <w:jc w:val="both"/>
        <w:outlineLvl w:val="0"/>
        <w:rPr>
          <w:b/>
          <w:smallCaps/>
          <w:noProof/>
          <w:lang w:val="en-IE"/>
        </w:rPr>
      </w:pPr>
      <w:r w:rsidRPr="7B10ABD9">
        <w:rPr>
          <w:b/>
          <w:bCs/>
          <w:smallCaps/>
          <w:noProof/>
          <w:lang w:val="en-IE"/>
        </w:rPr>
        <w:lastRenderedPageBreak/>
        <w:t>L</w:t>
      </w:r>
      <w:r w:rsidRPr="00FE48E2">
        <w:rPr>
          <w:b/>
          <w:smallCaps/>
          <w:noProof/>
          <w:lang w:val="en-IE"/>
        </w:rPr>
        <w:t xml:space="preserve">. COMPONENT 2.5: Building Renovation and Air Protection </w:t>
      </w:r>
    </w:p>
    <w:p w:rsidRPr="00FE48E2" w:rsidR="00D87E44" w:rsidP="00D226F4" w:rsidRDefault="00D87E44" w14:paraId="15457E45" w14:textId="77777777">
      <w:pPr>
        <w:spacing w:line="240" w:lineRule="auto"/>
        <w:jc w:val="both"/>
        <w:rPr>
          <w:noProof/>
          <w:szCs w:val="24"/>
          <w:lang w:val="en-IE"/>
        </w:rPr>
      </w:pPr>
      <w:r w:rsidRPr="00FE48E2">
        <w:rPr>
          <w:noProof/>
          <w:szCs w:val="24"/>
          <w:lang w:val="en-IE"/>
        </w:rPr>
        <w:t>This component of the Czech recovery and resilience plan contributes to addressing the challenges of reducing energy and water consumption in residential buildings, improving quality of living in these buildings, reducing emissions of greenhouse gases and other pollutants by replacing solid fuel-fired boilers, adapting residential buildings to the effects of climate change, constructing new buildings, as well as awareness-raising regarding energy savings, the use of renewable energy sources and adaptation t</w:t>
      </w:r>
      <w:r w:rsidRPr="00FE48E2">
        <w:rPr>
          <w:noProof/>
          <w:szCs w:val="24"/>
          <w:lang w:val="en-IE"/>
        </w:rPr>
        <w:t>o climate change in the residential sector. The component shall be implemented under the New Green Savings (NGS) 2030 support programme.</w:t>
      </w:r>
    </w:p>
    <w:p w:rsidRPr="002160BA" w:rsidR="00D87E44" w:rsidP="00D226F4" w:rsidRDefault="00D87E44" w14:paraId="15457E46" w14:textId="77777777">
      <w:pPr>
        <w:spacing w:line="240" w:lineRule="auto"/>
        <w:jc w:val="both"/>
        <w:rPr>
          <w:rFonts w:eastAsia="Times New Roman"/>
          <w:noProof/>
          <w:color w:val="000000"/>
          <w:szCs w:val="24"/>
          <w:lang w:val="en-IE"/>
        </w:rPr>
      </w:pPr>
      <w:r w:rsidRPr="00FE48E2">
        <w:rPr>
          <w:rFonts w:eastAsia="Times New Roman"/>
          <w:noProof/>
          <w:szCs w:val="24"/>
          <w:lang w:val="en-IE"/>
        </w:rPr>
        <w:t>The reforms and the investments included in this component support addressing c</w:t>
      </w:r>
      <w:r w:rsidRPr="00FE48E2">
        <w:rPr>
          <w:noProof/>
          <w:szCs w:val="24"/>
          <w:lang w:val="en-IE"/>
        </w:rPr>
        <w:t>ountry-specific recommendation 3 2019</w:t>
      </w:r>
      <w:r w:rsidRPr="00FE48E2">
        <w:rPr>
          <w:rFonts w:eastAsia="Times New Roman"/>
          <w:noProof/>
          <w:szCs w:val="24"/>
          <w:lang w:val="en-IE"/>
        </w:rPr>
        <w:t>, according to which Czechia shall focus investment-related economic policy on low carbon and energy transition, including energy efficiency, taking into account regional disparities, and c</w:t>
      </w:r>
      <w:r w:rsidRPr="00FE48E2">
        <w:rPr>
          <w:noProof/>
          <w:szCs w:val="24"/>
          <w:lang w:val="en-IE"/>
        </w:rPr>
        <w:t>ountry-specific recommendation 3 2020</w:t>
      </w:r>
      <w:r w:rsidRPr="00FE48E2">
        <w:rPr>
          <w:rFonts w:eastAsia="Times New Roman"/>
          <w:noProof/>
          <w:szCs w:val="24"/>
          <w:lang w:val="en-IE"/>
        </w:rPr>
        <w:t>, according to which Czechia shall focus investment on the green transition, in particular on clean and efficient production and use of energy, including in the coal regions</w:t>
      </w:r>
      <w:r w:rsidRPr="00FE48E2">
        <w:rPr>
          <w:rFonts w:eastAsia="Times New Roman"/>
          <w:noProof/>
          <w:color w:val="000000"/>
          <w:szCs w:val="24"/>
          <w:lang w:val="en-IE"/>
        </w:rPr>
        <w:t>.</w:t>
      </w:r>
    </w:p>
    <w:p w:rsidRPr="00535540" w:rsidR="00D87E44" w:rsidP="00D226F4" w:rsidRDefault="00D87E44" w14:paraId="15457E47" w14:textId="77777777">
      <w:pPr>
        <w:spacing w:line="240" w:lineRule="auto"/>
        <w:jc w:val="both"/>
        <w:rPr>
          <w:noProof/>
          <w:szCs w:val="24"/>
          <w:lang w:val="en-IE"/>
        </w:rPr>
      </w:pPr>
      <w:r w:rsidRPr="00535540">
        <w:rPr>
          <w:noProof/>
          <w:szCs w:val="24"/>
          <w:lang w:val="en-IE"/>
        </w:rPr>
        <w:t xml:space="preserve">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 In particular, the investments shall be in line with the sustainability and the greenhouse gas (GHG) saving criteria as set out in Article 29 of Directive 2018/2001 on </w:t>
      </w:r>
      <w:r w:rsidRPr="00535540">
        <w:rPr>
          <w:noProof/>
          <w:szCs w:val="24"/>
          <w:lang w:val="en-IE"/>
        </w:rPr>
        <w:t>the promotion of the use of energy from renewable sources (‘the Renewable Energy Directive’, ‘RED II’). These requirements shall apply to all installations irrespective of thresholds included in RED II. The investments shall comply with the RRF Regulation requirement of at least 80 % greenhouse gas emission saving from the use of biomass in relation to the GHG saving methodology and the fossil fuel comparator set out in Annex VI to RED II. In residential environments, investments in biomass boilers should n</w:t>
      </w:r>
      <w:r w:rsidRPr="00535540">
        <w:rPr>
          <w:noProof/>
          <w:szCs w:val="24"/>
          <w:lang w:val="en-IE"/>
        </w:rPr>
        <w:t>ot jeopardise the attainment of Directive 2008/50/EU. The investments shall comply with eco-design requirements (i.e. the requirements of Directive 2009/125/EC of the European Parliament and of the Council) and be classified in one of the two highest significantly represented energy efficiency classes within the meaning of Article 7(2) of Regulation (EU) 2017/1369 of the European Parliament and of the Council. These requirements shall be met for all fuels and all loading methods. The investments shall be gu</w:t>
      </w:r>
      <w:r w:rsidRPr="00535540">
        <w:rPr>
          <w:noProof/>
          <w:szCs w:val="24"/>
          <w:lang w:val="en-IE"/>
        </w:rPr>
        <w:t>ided and be consistent with the assessment of the trajectories of sustainable use of bioenergy and supply of biomass in Czechia and its impacts on the Land Use, Land-Use Change and Forestry sinks and biodiversity as well as impact on air quality for period 2020-2030, which is part of reform 2 under component 2.3.</w:t>
      </w:r>
    </w:p>
    <w:p w:rsidRPr="00535540" w:rsidR="00D87E44" w:rsidP="00D226F4" w:rsidRDefault="00D87E44" w14:paraId="15457E48" w14:textId="77777777">
      <w:pPr>
        <w:spacing w:line="240" w:lineRule="auto"/>
        <w:jc w:val="both"/>
        <w:rPr>
          <w:noProof/>
          <w:szCs w:val="24"/>
          <w:lang w:val="en-IE"/>
        </w:rPr>
      </w:pPr>
      <w:r w:rsidRPr="00535540">
        <w:rPr>
          <w:noProof/>
          <w:szCs w:val="24"/>
          <w:lang w:val="en-IE"/>
        </w:rPr>
        <w:t>The energy renovation of buildings, the use of RES in the residential sector and the exchange of solid fuel boilers shall increase the efficiency of domestic heating and is a key measure to meet the national reduction targets under Directive EU 2016/2284 and to achieve air quality standards under air quality improvement programmes. Emission reductions shall also have a positive impact on water quality, especially the reduction of benzo(a)pyrene emissions.</w:t>
      </w:r>
    </w:p>
    <w:p w:rsidRPr="00FE48E2" w:rsidR="00D87E44" w:rsidP="00D226F4" w:rsidRDefault="00D87E44" w14:paraId="15457E49" w14:textId="77777777">
      <w:pPr>
        <w:spacing w:line="240" w:lineRule="auto"/>
        <w:jc w:val="both"/>
        <w:rPr>
          <w:rFonts w:eastAsia="Times New Roman"/>
          <w:noProof/>
          <w:sz w:val="22"/>
          <w:lang w:val="en-IE"/>
        </w:rPr>
      </w:pPr>
    </w:p>
    <w:p w:rsidRPr="00FE48E2" w:rsidR="00D87E44" w:rsidP="00D226F4" w:rsidRDefault="00D87E44" w14:paraId="15457E4A" w14:textId="77777777">
      <w:pPr>
        <w:pageBreakBefore/>
        <w:spacing w:line="240" w:lineRule="auto"/>
        <w:jc w:val="both"/>
        <w:rPr>
          <w:b/>
          <w:i/>
          <w:noProof/>
          <w:lang w:val="en-IE"/>
        </w:rPr>
      </w:pPr>
      <w:r w:rsidRPr="7B10ABD9">
        <w:rPr>
          <w:b/>
          <w:bCs/>
          <w:noProof/>
          <w:u w:val="single"/>
          <w:lang w:val="en-IE"/>
        </w:rPr>
        <w:lastRenderedPageBreak/>
        <w:t>L</w:t>
      </w:r>
      <w:r w:rsidRPr="00FE48E2">
        <w:rPr>
          <w:b/>
          <w:noProof/>
          <w:u w:val="single"/>
          <w:lang w:val="en-IE"/>
        </w:rPr>
        <w:t>.1. Description of the reforms and investments for non-repayable financial support</w:t>
      </w:r>
    </w:p>
    <w:p w:rsidRPr="00FE48E2" w:rsidR="00D87E44" w:rsidP="00D226F4" w:rsidRDefault="00D87E44" w14:paraId="15457E4B" w14:textId="77777777">
      <w:pPr>
        <w:pBdr>
          <w:top w:val="nil"/>
          <w:left w:val="nil"/>
          <w:bottom w:val="nil"/>
          <w:right w:val="nil"/>
          <w:between w:val="nil"/>
        </w:pBdr>
        <w:spacing w:line="240" w:lineRule="auto"/>
        <w:jc w:val="both"/>
        <w:rPr>
          <w:b/>
          <w:bCs/>
          <w:noProof/>
          <w:lang w:val="en-IE"/>
        </w:rPr>
      </w:pPr>
      <w:r w:rsidRPr="562D7C8A">
        <w:rPr>
          <w:b/>
          <w:bCs/>
          <w:noProof/>
          <w:lang w:val="en-IE"/>
        </w:rPr>
        <w:t xml:space="preserve">Reform 1: </w:t>
      </w:r>
      <w:r w:rsidRPr="540E8BB9">
        <w:rPr>
          <w:b/>
          <w:bCs/>
          <w:noProof/>
          <w:lang w:val="en-IE"/>
        </w:rPr>
        <w:t xml:space="preserve">Environmental Education and Awareness on Climate Change </w:t>
      </w:r>
    </w:p>
    <w:p w:rsidRPr="00FE48E2" w:rsidR="00D87E44" w:rsidP="00FF1320" w:rsidRDefault="00D87E44" w14:paraId="15457E4C" w14:textId="77777777">
      <w:pPr>
        <w:pBdr>
          <w:top w:val="nil"/>
          <w:left w:val="nil"/>
          <w:bottom w:val="nil"/>
          <w:right w:val="nil"/>
          <w:between w:val="nil"/>
        </w:pBdr>
        <w:spacing w:line="240" w:lineRule="auto"/>
        <w:jc w:val="both"/>
        <w:rPr>
          <w:noProof/>
          <w:lang w:val="en-IE"/>
        </w:rPr>
      </w:pPr>
      <w:r w:rsidRPr="72D4262B" w:rsidDel="00706665">
        <w:rPr>
          <w:noProof/>
          <w:lang w:val="en-IE"/>
        </w:rPr>
        <w:t>Th</w:t>
      </w:r>
      <w:r w:rsidRPr="72D4262B">
        <w:rPr>
          <w:noProof/>
          <w:lang w:val="en-IE"/>
        </w:rPr>
        <w:t xml:space="preserve">e objective of </w:t>
      </w:r>
      <w:r w:rsidRPr="00FF1320">
        <w:rPr>
          <w:lang w:val="en-IE"/>
        </w:rPr>
        <w:t xml:space="preserve">the </w:t>
      </w:r>
      <w:r w:rsidRPr="72D4262B">
        <w:rPr>
          <w:noProof/>
          <w:lang w:val="en-IE"/>
        </w:rPr>
        <w:t xml:space="preserve">measure is to </w:t>
      </w:r>
      <w:r w:rsidRPr="5DDBFA60">
        <w:rPr>
          <w:noProof/>
          <w:lang w:val="en-IE"/>
        </w:rPr>
        <w:t xml:space="preserve">support environmental education </w:t>
      </w:r>
      <w:r w:rsidRPr="32D66BCE">
        <w:rPr>
          <w:noProof/>
          <w:lang w:val="en-IE"/>
        </w:rPr>
        <w:t xml:space="preserve">and </w:t>
      </w:r>
      <w:r w:rsidRPr="5DDBFA60">
        <w:rPr>
          <w:noProof/>
          <w:lang w:val="en-IE"/>
        </w:rPr>
        <w:t>awareness-raising with a focus on climate change.</w:t>
      </w:r>
      <w:r w:rsidRPr="72D4262B">
        <w:rPr>
          <w:noProof/>
          <w:lang w:val="en-IE"/>
        </w:rPr>
        <w:t xml:space="preserve"> It consists of educational and awareness-raising activities on environmental topics</w:t>
      </w:r>
      <w:r w:rsidRPr="66FBB3C8">
        <w:rPr>
          <w:noProof/>
          <w:lang w:val="en-IE"/>
        </w:rPr>
        <w:t>.</w:t>
      </w:r>
      <w:r w:rsidRPr="72D4262B">
        <w:rPr>
          <w:noProof/>
          <w:lang w:val="en-IE"/>
        </w:rPr>
        <w:t xml:space="preserve"> </w:t>
      </w:r>
    </w:p>
    <w:p w:rsidRPr="00FE48E2" w:rsidR="00D87E44" w:rsidP="00D226F4" w:rsidRDefault="00D87E44" w14:paraId="15457E4D" w14:textId="77777777">
      <w:pPr>
        <w:keepNext/>
        <w:autoSpaceDE w:val="0"/>
        <w:autoSpaceDN w:val="0"/>
        <w:adjustRightInd w:val="0"/>
        <w:spacing w:line="240" w:lineRule="auto"/>
        <w:jc w:val="both"/>
        <w:rPr>
          <w:rFonts w:eastAsia="Times New Roman"/>
          <w:b/>
          <w:noProof/>
          <w:szCs w:val="24"/>
          <w:lang w:val="en-IE"/>
        </w:rPr>
      </w:pPr>
      <w:r w:rsidRPr="00FE48E2">
        <w:rPr>
          <w:rFonts w:eastAsia="Times New Roman"/>
          <w:b/>
          <w:noProof/>
          <w:szCs w:val="24"/>
          <w:lang w:val="en-IE"/>
        </w:rPr>
        <w:t>Investment 1: Renovation and revitalisation of buildings for energy savings</w:t>
      </w:r>
    </w:p>
    <w:p w:rsidRPr="00FE48E2" w:rsidR="00D87E44" w:rsidP="00FF1320" w:rsidRDefault="00D87E44" w14:paraId="15457E4E" w14:textId="77777777">
      <w:pPr>
        <w:spacing w:line="240" w:lineRule="auto"/>
        <w:jc w:val="both"/>
        <w:rPr>
          <w:rFonts w:eastAsia="Times New Roman"/>
          <w:noProof/>
          <w:lang w:val="en-IE"/>
        </w:rPr>
      </w:pPr>
      <w:r w:rsidRPr="434ED64E">
        <w:rPr>
          <w:rFonts w:eastAsia="Times New Roman"/>
          <w:noProof/>
          <w:lang w:val="en-IE"/>
        </w:rPr>
        <w:t>This measure aims to</w:t>
      </w:r>
      <w:r w:rsidRPr="434ED64E">
        <w:rPr>
          <w:rFonts w:eastAsia="Times New Roman"/>
          <w:b/>
          <w:noProof/>
          <w:lang w:val="en-IE"/>
        </w:rPr>
        <w:t xml:space="preserve"> </w:t>
      </w:r>
      <w:r w:rsidRPr="434ED64E">
        <w:rPr>
          <w:rFonts w:eastAsia="Times New Roman"/>
          <w:noProof/>
          <w:lang w:val="en-IE"/>
        </w:rPr>
        <w:t>save</w:t>
      </w:r>
      <w:r w:rsidRPr="434ED64E">
        <w:rPr>
          <w:rFonts w:eastAsia="Times New Roman"/>
          <w:b/>
          <w:noProof/>
          <w:lang w:val="en-IE"/>
        </w:rPr>
        <w:t xml:space="preserve"> </w:t>
      </w:r>
      <w:r w:rsidRPr="434ED64E">
        <w:rPr>
          <w:rFonts w:eastAsia="Times New Roman"/>
          <w:noProof/>
          <w:lang w:val="en-IE"/>
        </w:rPr>
        <w:t xml:space="preserve">energy in residential buildings, construct new residential buildings that exceed mandatory energy standards, replace non-compliant combustion sources in households using solid fuels with gas condensing boilers of energy class A, use renewable energy sources as part of comprehensive energy renovation of buildings, and adapt to climate change, including water management. It consists of </w:t>
      </w:r>
      <w:r w:rsidRPr="2451F89E">
        <w:rPr>
          <w:rFonts w:eastAsia="Times New Roman"/>
          <w:noProof/>
          <w:lang w:val="en-IE"/>
        </w:rPr>
        <w:t>projects for the reduction of energy consumption in households</w:t>
      </w:r>
      <w:r>
        <w:rPr>
          <w:rFonts w:eastAsia="Times New Roman"/>
          <w:noProof/>
          <w:lang w:val="en-IE"/>
        </w:rPr>
        <w:t>.</w:t>
      </w:r>
    </w:p>
    <w:p w:rsidRPr="00FE48E2" w:rsidR="00D87E44" w:rsidP="00D226F4" w:rsidRDefault="00D87E44" w14:paraId="15457E4F" w14:textId="77777777">
      <w:pPr>
        <w:autoSpaceDE w:val="0"/>
        <w:autoSpaceDN w:val="0"/>
        <w:adjustRightInd w:val="0"/>
        <w:spacing w:line="240" w:lineRule="auto"/>
        <w:jc w:val="both"/>
        <w:rPr>
          <w:rFonts w:eastAsia="Times New Roman"/>
          <w:b/>
          <w:noProof/>
          <w:szCs w:val="24"/>
          <w:lang w:val="en-IE"/>
        </w:rPr>
      </w:pPr>
      <w:r w:rsidRPr="00FE48E2">
        <w:rPr>
          <w:rFonts w:eastAsia="Times New Roman"/>
          <w:b/>
          <w:noProof/>
          <w:szCs w:val="24"/>
          <w:lang w:val="en-IE"/>
        </w:rPr>
        <w:t>Investment 2: Replacement of stationary sources of pollution in households with renewable energy sources</w:t>
      </w:r>
    </w:p>
    <w:p w:rsidRPr="00FE48E2" w:rsidR="00D87E44" w:rsidP="00FF1320" w:rsidRDefault="00D87E44" w14:paraId="15457E50" w14:textId="77777777">
      <w:pPr>
        <w:autoSpaceDE w:val="0"/>
        <w:autoSpaceDN w:val="0"/>
        <w:adjustRightInd w:val="0"/>
        <w:spacing w:line="240" w:lineRule="auto"/>
        <w:jc w:val="both"/>
        <w:rPr>
          <w:rFonts w:eastAsia="Times New Roman"/>
          <w:noProof/>
          <w:lang w:val="en-IE"/>
        </w:rPr>
      </w:pPr>
      <w:r w:rsidRPr="2451F89E">
        <w:rPr>
          <w:rFonts w:eastAsia="Times New Roman"/>
          <w:noProof/>
          <w:lang w:val="en-IE"/>
        </w:rPr>
        <w:t>This measure aims to replace non-compliant combustion sources in households using solid fuels with low-emission heating sources and instal</w:t>
      </w:r>
      <w:r>
        <w:rPr>
          <w:rFonts w:eastAsia="Times New Roman"/>
          <w:noProof/>
          <w:lang w:val="en-IE"/>
        </w:rPr>
        <w:t>l</w:t>
      </w:r>
      <w:r w:rsidRPr="2451F89E">
        <w:rPr>
          <w:rFonts w:eastAsia="Times New Roman"/>
          <w:noProof/>
          <w:lang w:val="en-IE"/>
        </w:rPr>
        <w:t xml:space="preserve"> renewable energy sources for the housing sector, in particular photovoltaic and photothermal systems. The investment consists of projects for the reduction of </w:t>
      </w:r>
      <w:r w:rsidRPr="12E81C48">
        <w:rPr>
          <w:rFonts w:eastAsia="Times New Roman"/>
          <w:noProof/>
          <w:lang w:val="en-IE"/>
        </w:rPr>
        <w:t>CO</w:t>
      </w:r>
      <w:r w:rsidRPr="00FF1320">
        <w:rPr>
          <w:vertAlign w:val="subscript"/>
          <w:lang w:val="en-IE"/>
        </w:rPr>
        <w:t>2</w:t>
      </w:r>
      <w:r w:rsidRPr="12E81C48">
        <w:rPr>
          <w:rFonts w:eastAsia="Times New Roman"/>
          <w:noProof/>
          <w:lang w:val="en-IE"/>
        </w:rPr>
        <w:t xml:space="preserve"> emissions </w:t>
      </w:r>
      <w:r w:rsidRPr="2B15E73E">
        <w:rPr>
          <w:rFonts w:eastAsia="Times New Roman"/>
          <w:noProof/>
          <w:lang w:val="en-IE"/>
        </w:rPr>
        <w:t>and/</w:t>
      </w:r>
      <w:r w:rsidRPr="12E81C48">
        <w:rPr>
          <w:rFonts w:eastAsia="Times New Roman"/>
          <w:noProof/>
          <w:lang w:val="en-IE"/>
        </w:rPr>
        <w:t xml:space="preserve">or </w:t>
      </w:r>
      <w:r w:rsidRPr="2451F89E">
        <w:rPr>
          <w:rFonts w:eastAsia="Times New Roman"/>
          <w:noProof/>
          <w:lang w:val="en-IE"/>
        </w:rPr>
        <w:t>energy consumption in households</w:t>
      </w:r>
      <w:r w:rsidRPr="00FF1320">
        <w:rPr>
          <w:lang w:val="en-IE"/>
        </w:rPr>
        <w:t>.</w:t>
      </w:r>
    </w:p>
    <w:p w:rsidRPr="00FE48E2" w:rsidR="00D87E44" w:rsidP="00D226F4" w:rsidRDefault="00D87E44" w14:paraId="15457E51" w14:textId="77777777">
      <w:pPr>
        <w:autoSpaceDE w:val="0"/>
        <w:autoSpaceDN w:val="0"/>
        <w:adjustRightInd w:val="0"/>
        <w:spacing w:line="240" w:lineRule="auto"/>
        <w:jc w:val="both"/>
        <w:rPr>
          <w:rFonts w:eastAsia="Times New Roman"/>
          <w:b/>
          <w:noProof/>
          <w:szCs w:val="24"/>
          <w:lang w:val="en-IE"/>
        </w:rPr>
      </w:pPr>
      <w:r w:rsidRPr="00FE48E2">
        <w:rPr>
          <w:rFonts w:eastAsia="Times New Roman"/>
          <w:b/>
          <w:noProof/>
          <w:szCs w:val="24"/>
          <w:lang w:val="en-IE"/>
        </w:rPr>
        <w:t>Investment 3: Support for</w:t>
      </w:r>
      <w:r>
        <w:rPr>
          <w:rFonts w:eastAsia="Times New Roman"/>
          <w:b/>
          <w:noProof/>
          <w:szCs w:val="24"/>
          <w:lang w:val="en-IE"/>
        </w:rPr>
        <w:t xml:space="preserve"> </w:t>
      </w:r>
      <w:r w:rsidRPr="00FE48E2">
        <w:rPr>
          <w:rFonts w:eastAsia="Times New Roman"/>
          <w:b/>
          <w:noProof/>
          <w:szCs w:val="24"/>
          <w:lang w:val="en-IE"/>
        </w:rPr>
        <w:t xml:space="preserve">project preparation in the field of energy saving   </w:t>
      </w:r>
    </w:p>
    <w:p w:rsidRPr="00FE48E2" w:rsidR="00D87E44" w:rsidP="00FF1320" w:rsidRDefault="00D87E44" w14:paraId="15457E52" w14:textId="77777777">
      <w:pPr>
        <w:spacing w:line="240" w:lineRule="auto"/>
        <w:jc w:val="both"/>
        <w:rPr>
          <w:rFonts w:eastAsia="Times New Roman"/>
          <w:noProof/>
          <w:lang w:val="en-IE"/>
        </w:rPr>
      </w:pPr>
      <w:r w:rsidRPr="2451F89E">
        <w:rPr>
          <w:rFonts w:eastAsia="Times New Roman"/>
          <w:noProof/>
          <w:lang w:val="en-IE"/>
        </w:rPr>
        <w:t xml:space="preserve">This measure aims to support the pre-project preparation </w:t>
      </w:r>
      <w:r w:rsidRPr="22F0C47B">
        <w:rPr>
          <w:rFonts w:eastAsia="Times New Roman"/>
          <w:noProof/>
          <w:lang w:val="en-IE"/>
        </w:rPr>
        <w:t>for</w:t>
      </w:r>
      <w:r w:rsidRPr="2451F89E">
        <w:rPr>
          <w:rFonts w:eastAsia="Times New Roman"/>
          <w:noProof/>
          <w:lang w:val="en-IE"/>
        </w:rPr>
        <w:t xml:space="preserve"> energy-saving </w:t>
      </w:r>
      <w:r w:rsidRPr="22F0C47B">
        <w:rPr>
          <w:rFonts w:eastAsia="Times New Roman"/>
          <w:noProof/>
          <w:lang w:val="en-IE"/>
        </w:rPr>
        <w:t>interventions</w:t>
      </w:r>
      <w:r w:rsidRPr="2451F89E">
        <w:rPr>
          <w:rFonts w:eastAsia="Times New Roman"/>
          <w:noProof/>
          <w:lang w:val="en-IE"/>
        </w:rPr>
        <w:t xml:space="preserve">. It consists of preparation projects for energy </w:t>
      </w:r>
      <w:r w:rsidRPr="22F0C47B">
        <w:rPr>
          <w:rFonts w:eastAsia="Times New Roman"/>
          <w:noProof/>
          <w:lang w:val="en-IE"/>
        </w:rPr>
        <w:t>communities</w:t>
      </w:r>
      <w:r w:rsidRPr="2451F89E">
        <w:rPr>
          <w:rFonts w:eastAsia="Times New Roman"/>
          <w:noProof/>
          <w:lang w:val="en-IE"/>
        </w:rPr>
        <w:t xml:space="preserve">, project preparation studies for family houses, project preparation studies for apartment buildings, and </w:t>
      </w:r>
      <w:r w:rsidRPr="22F0C47B">
        <w:rPr>
          <w:rFonts w:eastAsia="Times New Roman"/>
          <w:noProof/>
          <w:lang w:val="en-IE"/>
        </w:rPr>
        <w:t xml:space="preserve">advisory </w:t>
      </w:r>
      <w:r w:rsidRPr="4C84D056">
        <w:rPr>
          <w:rFonts w:eastAsia="Times New Roman"/>
          <w:noProof/>
          <w:lang w:val="en-IE"/>
        </w:rPr>
        <w:t>activities</w:t>
      </w:r>
      <w:r w:rsidRPr="22F0C47B">
        <w:rPr>
          <w:rFonts w:eastAsia="Times New Roman"/>
          <w:noProof/>
          <w:lang w:val="en-IE"/>
        </w:rPr>
        <w:t xml:space="preserve"> by</w:t>
      </w:r>
      <w:r w:rsidRPr="2451F89E">
        <w:rPr>
          <w:rFonts w:eastAsia="Times New Roman"/>
          <w:noProof/>
          <w:lang w:val="en-IE"/>
        </w:rPr>
        <w:t xml:space="preserve"> Energy Consultation and Information Centres. </w:t>
      </w:r>
    </w:p>
    <w:p w:rsidRPr="00FE48E2" w:rsidR="00D87E44" w:rsidP="00D226F4" w:rsidRDefault="00D87E44" w14:paraId="15457E53" w14:textId="77777777">
      <w:pPr>
        <w:spacing w:line="240" w:lineRule="auto"/>
        <w:ind w:left="850"/>
        <w:jc w:val="both"/>
        <w:rPr>
          <w:b/>
          <w:noProof/>
          <w:highlight w:val="red"/>
          <w:u w:val="single"/>
          <w:lang w:val="en-IE"/>
        </w:rPr>
        <w:sectPr w:rsidRPr="00FE48E2" w:rsidR="00C16C1F" w:rsidSect="00D226F4">
          <w:headerReference w:type="even" r:id="R44a7538bdac7456e"/>
          <w:headerReference w:type="default" r:id="R8a71e7036e2944ce"/>
          <w:footerReference w:type="even" r:id="R0dc79c4f571f4bbb"/>
          <w:footerReference w:type="default" r:id="R78d6727fc74341c8"/>
          <w:headerReference w:type="first" r:id="R1a025ea667f64ba0"/>
          <w:footerReference w:type="first" r:id="R9dd232cff53c44bd"/>
          <w:pgSz w:w="11907" w:h="16839"/>
          <w:pgMar w:top="1134" w:right="1134" w:bottom="1134" w:left="1134" w:header="567" w:footer="567" w:gutter="0"/>
          <w:cols w:space="720"/>
          <w:docGrid w:linePitch="360"/>
        </w:sectPr>
      </w:pPr>
    </w:p>
    <w:p w:rsidRPr="00FE48E2" w:rsidR="00D87E44" w:rsidP="00D226F4" w:rsidRDefault="00D87E44" w14:paraId="15457E54" w14:textId="77777777">
      <w:pPr>
        <w:tabs>
          <w:tab w:val="left" w:pos="993"/>
        </w:tabs>
        <w:spacing w:line="240" w:lineRule="auto"/>
        <w:rPr>
          <w:b/>
          <w:noProof/>
          <w:u w:val="single"/>
          <w:lang w:val="en-IE"/>
        </w:rPr>
      </w:pPr>
      <w:r w:rsidRPr="7B10ABD9">
        <w:rPr>
          <w:b/>
          <w:bCs/>
          <w:noProof/>
          <w:u w:val="single"/>
          <w:lang w:val="en-IE"/>
        </w:rPr>
        <w:lastRenderedPageBreak/>
        <w:t>L</w:t>
      </w:r>
      <w:r w:rsidRPr="00FE48E2">
        <w:rPr>
          <w:b/>
          <w:noProof/>
          <w:u w:val="single"/>
          <w:lang w:val="en-IE"/>
        </w:rPr>
        <w:t xml:space="preserve">.2. Milestones, targets, indicators, and timetable for monitoring and implementation for non-repayable financial support </w:t>
      </w:r>
    </w:p>
    <w:tbl>
      <w:tblPr>
        <w:tblW w:w="16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10"/>
        <w:gridCol w:w="1276"/>
        <w:gridCol w:w="1128"/>
        <w:gridCol w:w="1276"/>
        <w:gridCol w:w="1417"/>
        <w:gridCol w:w="1239"/>
        <w:gridCol w:w="1029"/>
        <w:gridCol w:w="814"/>
        <w:gridCol w:w="1077"/>
        <w:gridCol w:w="665"/>
        <w:gridCol w:w="5387"/>
      </w:tblGrid>
      <w:tr w:rsidRPr="00FE48E2" w:rsidR="00E3458A" w:rsidTr="4A45BCA2" w14:paraId="15457E5D" w14:textId="77777777">
        <w:trPr>
          <w:trHeight w:val="75"/>
          <w:tblHeader/>
          <w:jc w:val="center"/>
        </w:trPr>
        <w:tc>
          <w:tcPr>
            <w:tcW w:w="710" w:type="dxa"/>
            <w:vMerge w:val="restart"/>
            <w:shd w:val="clear" w:color="auto" w:fill="BDD7EE"/>
            <w:vAlign w:val="center"/>
          </w:tcPr>
          <w:p w:rsidRPr="00FE48E2" w:rsidR="00D87E44" w:rsidRDefault="00D87E44" w14:paraId="15457E55" w14:textId="77777777">
            <w:pPr>
              <w:spacing w:line="240" w:lineRule="auto"/>
              <w:jc w:val="center"/>
              <w:rPr>
                <w:noProof/>
                <w:sz w:val="18"/>
                <w:szCs w:val="18"/>
                <w:lang w:val="en-IE"/>
              </w:rPr>
            </w:pPr>
            <w:r w:rsidRPr="00FE48E2">
              <w:rPr>
                <w:rFonts w:eastAsia="Times New Roman"/>
                <w:b/>
                <w:noProof/>
                <w:sz w:val="18"/>
                <w:szCs w:val="18"/>
                <w:lang w:val="en-IE"/>
              </w:rPr>
              <w:t>Seq. Num.</w:t>
            </w:r>
          </w:p>
        </w:tc>
        <w:tc>
          <w:tcPr>
            <w:tcW w:w="1276" w:type="dxa"/>
            <w:vMerge w:val="restart"/>
            <w:shd w:val="clear" w:color="auto" w:fill="BDD7EE"/>
            <w:vAlign w:val="center"/>
          </w:tcPr>
          <w:p w:rsidRPr="00FE48E2" w:rsidR="00D87E44" w:rsidRDefault="00D87E44" w14:paraId="15457E56"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128" w:type="dxa"/>
            <w:vMerge w:val="restart"/>
            <w:shd w:val="clear" w:color="auto" w:fill="BDD7EE"/>
            <w:vAlign w:val="center"/>
          </w:tcPr>
          <w:p w:rsidRPr="00FE48E2" w:rsidR="00D87E44" w:rsidRDefault="00D87E44" w14:paraId="15457E57"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276" w:type="dxa"/>
            <w:vMerge w:val="restart"/>
            <w:shd w:val="clear" w:color="auto" w:fill="BDD7EE"/>
            <w:vAlign w:val="center"/>
          </w:tcPr>
          <w:p w:rsidRPr="00FE48E2" w:rsidR="00D87E44" w:rsidRDefault="00D87E44" w14:paraId="15457E58"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417" w:type="dxa"/>
            <w:vMerge w:val="restart"/>
            <w:shd w:val="clear" w:color="auto" w:fill="BDD7EE"/>
            <w:vAlign w:val="center"/>
          </w:tcPr>
          <w:p w:rsidRPr="00FE48E2" w:rsidR="00D87E44" w:rsidRDefault="00D87E44" w14:paraId="15457E59"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3082" w:type="dxa"/>
            <w:gridSpan w:val="3"/>
            <w:shd w:val="clear" w:color="auto" w:fill="BDD7EE"/>
            <w:vAlign w:val="center"/>
          </w:tcPr>
          <w:p w:rsidRPr="00FE48E2" w:rsidR="00D87E44" w:rsidRDefault="00D87E44" w14:paraId="15457E5A"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742" w:type="dxa"/>
            <w:gridSpan w:val="2"/>
            <w:shd w:val="clear" w:color="auto" w:fill="BDD7EE"/>
            <w:vAlign w:val="center"/>
          </w:tcPr>
          <w:p w:rsidRPr="00FE48E2" w:rsidR="00D87E44" w:rsidRDefault="00D87E44" w14:paraId="15457E5B"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5387" w:type="dxa"/>
            <w:vMerge w:val="restart"/>
            <w:shd w:val="clear" w:color="auto" w:fill="BDD7EE"/>
            <w:vAlign w:val="center"/>
          </w:tcPr>
          <w:p w:rsidRPr="00FE48E2" w:rsidR="00D87E44" w:rsidRDefault="00D87E44" w14:paraId="15457E5C"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4A45BCA2" w14:paraId="15457E69" w14:textId="77777777">
        <w:trPr>
          <w:trHeight w:val="600"/>
          <w:tblHeader/>
          <w:jc w:val="center"/>
        </w:trPr>
        <w:tc>
          <w:tcPr>
            <w:tcW w:w="710" w:type="dxa"/>
            <w:vMerge/>
            <w:vAlign w:val="center"/>
          </w:tcPr>
          <w:p w:rsidRPr="00FE48E2" w:rsidR="00D87E44" w:rsidRDefault="00D87E44" w14:paraId="15457E5E" w14:textId="77777777">
            <w:pPr>
              <w:spacing w:line="240" w:lineRule="auto"/>
              <w:jc w:val="center"/>
              <w:rPr>
                <w:noProof/>
                <w:sz w:val="18"/>
                <w:szCs w:val="18"/>
                <w:lang w:val="en-IE"/>
              </w:rPr>
            </w:pPr>
          </w:p>
        </w:tc>
        <w:tc>
          <w:tcPr>
            <w:tcW w:w="1276" w:type="dxa"/>
            <w:vMerge/>
            <w:vAlign w:val="center"/>
          </w:tcPr>
          <w:p w:rsidRPr="00FE48E2" w:rsidR="00D87E44" w:rsidRDefault="00D87E44" w14:paraId="15457E5F" w14:textId="77777777">
            <w:pPr>
              <w:spacing w:line="240" w:lineRule="auto"/>
              <w:jc w:val="center"/>
              <w:rPr>
                <w:noProof/>
                <w:sz w:val="18"/>
                <w:szCs w:val="18"/>
                <w:lang w:val="en-IE"/>
              </w:rPr>
            </w:pPr>
          </w:p>
        </w:tc>
        <w:tc>
          <w:tcPr>
            <w:tcW w:w="1128" w:type="dxa"/>
            <w:vMerge/>
            <w:vAlign w:val="center"/>
          </w:tcPr>
          <w:p w:rsidRPr="00FE48E2" w:rsidR="00D87E44" w:rsidRDefault="00D87E44" w14:paraId="15457E60" w14:textId="77777777">
            <w:pPr>
              <w:spacing w:line="240" w:lineRule="auto"/>
              <w:jc w:val="center"/>
              <w:rPr>
                <w:noProof/>
                <w:sz w:val="18"/>
                <w:szCs w:val="18"/>
                <w:lang w:val="en-IE"/>
              </w:rPr>
            </w:pPr>
          </w:p>
        </w:tc>
        <w:tc>
          <w:tcPr>
            <w:tcW w:w="1276" w:type="dxa"/>
            <w:vMerge/>
            <w:vAlign w:val="center"/>
          </w:tcPr>
          <w:p w:rsidRPr="00FE48E2" w:rsidR="00D87E44" w:rsidRDefault="00D87E44" w14:paraId="15457E61" w14:textId="77777777">
            <w:pPr>
              <w:spacing w:line="240" w:lineRule="auto"/>
              <w:jc w:val="center"/>
              <w:rPr>
                <w:noProof/>
                <w:sz w:val="18"/>
                <w:szCs w:val="18"/>
                <w:lang w:val="en-IE"/>
              </w:rPr>
            </w:pPr>
          </w:p>
        </w:tc>
        <w:tc>
          <w:tcPr>
            <w:tcW w:w="1417" w:type="dxa"/>
            <w:vMerge/>
            <w:vAlign w:val="center"/>
          </w:tcPr>
          <w:p w:rsidRPr="00FE48E2" w:rsidR="00D87E44" w:rsidRDefault="00D87E44" w14:paraId="15457E62" w14:textId="77777777">
            <w:pPr>
              <w:spacing w:line="240" w:lineRule="auto"/>
              <w:jc w:val="center"/>
              <w:rPr>
                <w:noProof/>
                <w:sz w:val="18"/>
                <w:szCs w:val="18"/>
                <w:lang w:val="en-IE"/>
              </w:rPr>
            </w:pPr>
          </w:p>
        </w:tc>
        <w:tc>
          <w:tcPr>
            <w:tcW w:w="1239" w:type="dxa"/>
            <w:shd w:val="clear" w:color="auto" w:fill="BDD7EE"/>
            <w:vAlign w:val="center"/>
          </w:tcPr>
          <w:p w:rsidRPr="002F2ABF" w:rsidR="00D87E44" w:rsidRDefault="00D87E44" w14:paraId="15457E63" w14:textId="77777777">
            <w:pPr>
              <w:spacing w:line="240" w:lineRule="auto"/>
              <w:jc w:val="center"/>
              <w:rPr>
                <w:noProof/>
                <w:sz w:val="18"/>
                <w:szCs w:val="18"/>
                <w:lang w:val="en-IE"/>
              </w:rPr>
            </w:pPr>
            <w:r w:rsidRPr="002F2ABF">
              <w:rPr>
                <w:rFonts w:eastAsia="Times New Roman"/>
                <w:b/>
                <w:noProof/>
                <w:sz w:val="18"/>
                <w:szCs w:val="18"/>
                <w:lang w:val="en-IE"/>
              </w:rPr>
              <w:t>Unit of measure</w:t>
            </w:r>
          </w:p>
        </w:tc>
        <w:tc>
          <w:tcPr>
            <w:tcW w:w="1029" w:type="dxa"/>
            <w:shd w:val="clear" w:color="auto" w:fill="BDD7EE"/>
            <w:vAlign w:val="center"/>
          </w:tcPr>
          <w:p w:rsidRPr="002F2ABF" w:rsidR="00D87E44" w:rsidRDefault="00D87E44" w14:paraId="15457E64" w14:textId="77777777">
            <w:pPr>
              <w:spacing w:line="240" w:lineRule="auto"/>
              <w:jc w:val="center"/>
              <w:rPr>
                <w:noProof/>
                <w:sz w:val="18"/>
                <w:szCs w:val="18"/>
                <w:lang w:val="en-IE"/>
              </w:rPr>
            </w:pPr>
            <w:r w:rsidRPr="002F2ABF">
              <w:rPr>
                <w:rFonts w:eastAsia="Times New Roman"/>
                <w:b/>
                <w:noProof/>
                <w:sz w:val="18"/>
                <w:szCs w:val="18"/>
                <w:lang w:val="en-IE"/>
              </w:rPr>
              <w:t>Baseline</w:t>
            </w:r>
          </w:p>
        </w:tc>
        <w:tc>
          <w:tcPr>
            <w:tcW w:w="814" w:type="dxa"/>
            <w:shd w:val="clear" w:color="auto" w:fill="BDD7EE"/>
            <w:vAlign w:val="center"/>
          </w:tcPr>
          <w:p w:rsidRPr="002F2ABF" w:rsidR="00D87E44" w:rsidRDefault="00D87E44" w14:paraId="15457E65" w14:textId="77777777">
            <w:pPr>
              <w:spacing w:line="240" w:lineRule="auto"/>
              <w:jc w:val="center"/>
              <w:rPr>
                <w:noProof/>
                <w:sz w:val="18"/>
                <w:szCs w:val="18"/>
                <w:lang w:val="en-IE"/>
              </w:rPr>
            </w:pPr>
            <w:r w:rsidRPr="002F2ABF">
              <w:rPr>
                <w:rFonts w:eastAsia="Times New Roman"/>
                <w:b/>
                <w:noProof/>
                <w:sz w:val="18"/>
                <w:szCs w:val="18"/>
                <w:lang w:val="en-IE"/>
              </w:rPr>
              <w:t>Goal</w:t>
            </w:r>
          </w:p>
        </w:tc>
        <w:tc>
          <w:tcPr>
            <w:tcW w:w="1077" w:type="dxa"/>
            <w:shd w:val="clear" w:color="auto" w:fill="BDD7EE"/>
            <w:vAlign w:val="center"/>
          </w:tcPr>
          <w:p w:rsidRPr="002F2ABF" w:rsidR="00D87E44" w:rsidRDefault="00D87E44" w14:paraId="15457E66" w14:textId="77777777">
            <w:pPr>
              <w:spacing w:line="240" w:lineRule="auto"/>
              <w:jc w:val="center"/>
              <w:rPr>
                <w:noProof/>
                <w:sz w:val="18"/>
                <w:szCs w:val="18"/>
                <w:lang w:val="en-IE"/>
              </w:rPr>
            </w:pPr>
            <w:r w:rsidRPr="002F2ABF">
              <w:rPr>
                <w:rFonts w:eastAsia="Times New Roman"/>
                <w:b/>
                <w:noProof/>
                <w:sz w:val="18"/>
                <w:szCs w:val="18"/>
                <w:lang w:val="en-IE"/>
              </w:rPr>
              <w:t>Quarter</w:t>
            </w:r>
          </w:p>
        </w:tc>
        <w:tc>
          <w:tcPr>
            <w:tcW w:w="665" w:type="dxa"/>
            <w:shd w:val="clear" w:color="auto" w:fill="BDD7EE"/>
            <w:vAlign w:val="center"/>
          </w:tcPr>
          <w:p w:rsidRPr="002F2ABF" w:rsidR="00D87E44" w:rsidRDefault="00D87E44" w14:paraId="15457E67" w14:textId="77777777">
            <w:pPr>
              <w:spacing w:line="240" w:lineRule="auto"/>
              <w:jc w:val="center"/>
              <w:rPr>
                <w:noProof/>
                <w:sz w:val="18"/>
                <w:szCs w:val="18"/>
                <w:lang w:val="en-IE"/>
              </w:rPr>
            </w:pPr>
            <w:r w:rsidRPr="002F2ABF">
              <w:rPr>
                <w:rFonts w:eastAsia="Times New Roman"/>
                <w:b/>
                <w:noProof/>
                <w:sz w:val="18"/>
                <w:szCs w:val="18"/>
                <w:lang w:val="en-IE"/>
              </w:rPr>
              <w:t>Year</w:t>
            </w:r>
          </w:p>
        </w:tc>
        <w:tc>
          <w:tcPr>
            <w:tcW w:w="5387" w:type="dxa"/>
            <w:vMerge/>
            <w:vAlign w:val="center"/>
          </w:tcPr>
          <w:p w:rsidRPr="00FE48E2" w:rsidR="00D87E44" w:rsidRDefault="00D87E44" w14:paraId="15457E68" w14:textId="77777777">
            <w:pPr>
              <w:spacing w:line="240" w:lineRule="auto"/>
              <w:jc w:val="center"/>
              <w:rPr>
                <w:noProof/>
                <w:sz w:val="18"/>
                <w:szCs w:val="18"/>
                <w:lang w:val="en-IE"/>
              </w:rPr>
            </w:pPr>
          </w:p>
        </w:tc>
      </w:tr>
      <w:tr w:rsidRPr="00FE48E2" w:rsidR="00E3458A" w:rsidTr="4A45BCA2" w14:paraId="15457E76" w14:textId="77777777">
        <w:trPr>
          <w:trHeight w:val="945"/>
          <w:jc w:val="center"/>
        </w:trPr>
        <w:tc>
          <w:tcPr>
            <w:tcW w:w="710" w:type="dxa"/>
            <w:shd w:val="clear" w:color="auto" w:fill="C6EFCE"/>
          </w:tcPr>
          <w:p w:rsidR="00D87E44" w:rsidRDefault="00D87E44" w14:paraId="15457E6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123</w:t>
            </w:r>
          </w:p>
          <w:p w:rsidRPr="00B41A05" w:rsidR="00D87E44" w:rsidRDefault="00D87E44" w14:paraId="15457E6B" w14:textId="77777777">
            <w:pPr>
              <w:spacing w:before="0" w:after="0" w:line="240" w:lineRule="auto"/>
              <w:rPr>
                <w:rFonts w:eastAsia="Times New Roman"/>
                <w:noProof/>
                <w:color w:val="004300"/>
                <w:sz w:val="18"/>
                <w:szCs w:val="18"/>
                <w:lang w:val="en-IE" w:eastAsia="en-GB"/>
              </w:rPr>
            </w:pPr>
          </w:p>
        </w:tc>
        <w:tc>
          <w:tcPr>
            <w:tcW w:w="1276" w:type="dxa"/>
            <w:shd w:val="clear" w:color="auto" w:fill="C6EFCE"/>
          </w:tcPr>
          <w:p w:rsidRPr="00FF1320" w:rsidR="00D87E44" w:rsidRDefault="00D87E44" w14:paraId="15457E6C" w14:textId="77777777">
            <w:pPr>
              <w:spacing w:before="0" w:after="0" w:line="240" w:lineRule="auto"/>
              <w:rPr>
                <w:color w:val="004300"/>
                <w:sz w:val="18"/>
                <w:highlight w:val="yellow"/>
                <w:lang w:val="en-IE"/>
              </w:rPr>
            </w:pPr>
            <w:r w:rsidRPr="1C3289AB">
              <w:rPr>
                <w:noProof/>
                <w:color w:val="004300"/>
                <w:sz w:val="18"/>
                <w:szCs w:val="18"/>
                <w:lang w:val="en-IE"/>
              </w:rPr>
              <w:t>Reform 1:  Environmental Education and Awareness on Climate Change</w:t>
            </w:r>
          </w:p>
        </w:tc>
        <w:tc>
          <w:tcPr>
            <w:tcW w:w="1128" w:type="dxa"/>
            <w:shd w:val="clear" w:color="auto" w:fill="C6EFCE"/>
          </w:tcPr>
          <w:p w:rsidRPr="00B41A05" w:rsidR="00D87E44" w:rsidRDefault="00D87E44" w14:paraId="15457E6D" w14:textId="77777777">
            <w:pPr>
              <w:spacing w:before="0" w:after="0" w:line="240" w:lineRule="auto"/>
              <w:rPr>
                <w:rFonts w:eastAsia="Times New Roman"/>
                <w:noProof/>
                <w:color w:val="004300"/>
                <w:sz w:val="18"/>
                <w:szCs w:val="18"/>
                <w:lang w:val="en-IE" w:eastAsia="en-GB"/>
              </w:rPr>
            </w:pPr>
            <w:r w:rsidRPr="4223B82F">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6E" w14:textId="77777777">
            <w:pPr>
              <w:spacing w:before="0" w:after="0" w:line="240" w:lineRule="auto"/>
              <w:rPr>
                <w:rFonts w:eastAsia="Times New Roman"/>
                <w:noProof/>
                <w:color w:val="004300"/>
                <w:sz w:val="18"/>
                <w:szCs w:val="18"/>
                <w:lang w:val="en-IE" w:eastAsia="en-GB"/>
              </w:rPr>
            </w:pPr>
            <w:r w:rsidRPr="1C3289AB">
              <w:rPr>
                <w:rFonts w:eastAsia="Times New Roman"/>
                <w:noProof/>
                <w:color w:val="004300"/>
                <w:sz w:val="18"/>
                <w:szCs w:val="18"/>
                <w:lang w:val="en-IE" w:eastAsia="en-GB"/>
              </w:rPr>
              <w:t>Environmental Education</w:t>
            </w:r>
            <w:r>
              <w:rPr>
                <w:rFonts w:eastAsia="Times New Roman"/>
                <w:noProof/>
                <w:color w:val="004300"/>
                <w:sz w:val="18"/>
                <w:szCs w:val="18"/>
                <w:lang w:val="en-IE" w:eastAsia="en-GB"/>
              </w:rPr>
              <w:t xml:space="preserve"> and </w:t>
            </w:r>
            <w:r w:rsidRPr="1C3289AB">
              <w:rPr>
                <w:rFonts w:eastAsia="Times New Roman"/>
                <w:noProof/>
                <w:color w:val="004300"/>
                <w:sz w:val="18"/>
                <w:szCs w:val="18"/>
                <w:lang w:val="en-IE" w:eastAsia="en-GB"/>
              </w:rPr>
              <w:t>Awareness on Climate Change</w:t>
            </w:r>
          </w:p>
        </w:tc>
        <w:tc>
          <w:tcPr>
            <w:tcW w:w="1417" w:type="dxa"/>
            <w:shd w:val="clear" w:color="auto" w:fill="C6EFCE"/>
          </w:tcPr>
          <w:p w:rsidRPr="00B41A05" w:rsidR="00D87E44" w:rsidRDefault="00D87E44" w14:paraId="15457E6F"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70" w14:textId="77777777">
            <w:pPr>
              <w:spacing w:before="0" w:after="0" w:line="240" w:lineRule="auto"/>
              <w:rPr>
                <w:rFonts w:eastAsia="Times New Roman"/>
                <w:noProof/>
                <w:color w:val="004300"/>
                <w:sz w:val="18"/>
                <w:szCs w:val="18"/>
                <w:lang w:val="en-IE" w:eastAsia="en-GB"/>
              </w:rPr>
            </w:pPr>
            <w:r w:rsidRPr="18BA6DBD">
              <w:rPr>
                <w:rFonts w:eastAsia="Times New Roman"/>
                <w:noProof/>
                <w:color w:val="004300"/>
                <w:sz w:val="18"/>
                <w:szCs w:val="18"/>
                <w:lang w:val="en-IE" w:eastAsia="en-GB"/>
              </w:rPr>
              <w:t xml:space="preserve">Number of </w:t>
            </w:r>
            <w:r w:rsidRPr="08F153D4">
              <w:rPr>
                <w:rFonts w:eastAsia="Times New Roman"/>
                <w:noProof/>
                <w:color w:val="004300"/>
                <w:sz w:val="18"/>
                <w:szCs w:val="18"/>
                <w:lang w:val="en-IE" w:eastAsia="en-GB"/>
              </w:rPr>
              <w:t>projects</w:t>
            </w:r>
          </w:p>
        </w:tc>
        <w:tc>
          <w:tcPr>
            <w:tcW w:w="1029" w:type="dxa"/>
            <w:shd w:val="clear" w:color="auto" w:fill="C6EFCE"/>
          </w:tcPr>
          <w:p w:rsidRPr="00B41A05" w:rsidR="00D87E44" w:rsidRDefault="00D87E44" w14:paraId="15457E71" w14:textId="77777777">
            <w:pPr>
              <w:spacing w:before="0" w:after="0" w:line="240" w:lineRule="auto"/>
              <w:rPr>
                <w:rFonts w:eastAsia="Times New Roman"/>
                <w:noProof/>
                <w:color w:val="004300"/>
                <w:sz w:val="18"/>
                <w:szCs w:val="18"/>
                <w:lang w:val="en-IE" w:eastAsia="en-GB"/>
              </w:rPr>
            </w:pPr>
            <w:r w:rsidRPr="3376B9EA">
              <w:rPr>
                <w:rFonts w:eastAsia="Times New Roman"/>
                <w:noProof/>
                <w:color w:val="004300"/>
                <w:sz w:val="18"/>
                <w:szCs w:val="18"/>
                <w:lang w:val="en-IE" w:eastAsia="en-GB"/>
              </w:rPr>
              <w:t>0</w:t>
            </w:r>
          </w:p>
        </w:tc>
        <w:tc>
          <w:tcPr>
            <w:tcW w:w="814" w:type="dxa"/>
            <w:shd w:val="clear" w:color="auto" w:fill="C6EFCE"/>
          </w:tcPr>
          <w:p w:rsidRPr="00B41A05" w:rsidR="00D87E44" w:rsidRDefault="00D87E44" w14:paraId="15457E72" w14:textId="77777777">
            <w:pPr>
              <w:spacing w:before="0" w:after="0" w:line="240" w:lineRule="auto"/>
              <w:rPr>
                <w:rFonts w:eastAsia="Times New Roman"/>
                <w:noProof/>
                <w:color w:val="004300"/>
                <w:sz w:val="18"/>
                <w:szCs w:val="18"/>
                <w:lang w:val="en-IE" w:eastAsia="en-GB"/>
              </w:rPr>
            </w:pPr>
            <w:r w:rsidRPr="08F153D4">
              <w:rPr>
                <w:rFonts w:eastAsia="Times New Roman"/>
                <w:noProof/>
                <w:color w:val="004300"/>
                <w:sz w:val="18"/>
                <w:szCs w:val="18"/>
                <w:lang w:val="en-IE" w:eastAsia="en-GB"/>
              </w:rPr>
              <w:t>38</w:t>
            </w:r>
          </w:p>
        </w:tc>
        <w:tc>
          <w:tcPr>
            <w:tcW w:w="1077" w:type="dxa"/>
            <w:shd w:val="clear" w:color="auto" w:fill="C6EFCE"/>
          </w:tcPr>
          <w:p w:rsidRPr="00B41A05" w:rsidR="00D87E44" w:rsidRDefault="00D87E44" w14:paraId="15457E73" w14:textId="77777777">
            <w:pPr>
              <w:spacing w:before="0" w:after="0" w:line="240" w:lineRule="auto"/>
              <w:rPr>
                <w:rFonts w:eastAsia="Times New Roman"/>
                <w:noProof/>
                <w:color w:val="004300"/>
                <w:sz w:val="18"/>
                <w:szCs w:val="18"/>
                <w:lang w:val="en-IE" w:eastAsia="en-GB"/>
              </w:rPr>
            </w:pPr>
            <w:r w:rsidRPr="26FA7E44">
              <w:rPr>
                <w:rFonts w:eastAsia="Times New Roman"/>
                <w:noProof/>
                <w:color w:val="004300"/>
                <w:sz w:val="18"/>
                <w:szCs w:val="18"/>
                <w:lang w:val="en-IE" w:eastAsia="en-GB"/>
              </w:rPr>
              <w:t>Q2</w:t>
            </w:r>
          </w:p>
        </w:tc>
        <w:tc>
          <w:tcPr>
            <w:tcW w:w="665" w:type="dxa"/>
            <w:shd w:val="clear" w:color="auto" w:fill="C6EFCE"/>
          </w:tcPr>
          <w:p w:rsidRPr="00B41A05" w:rsidR="00D87E44" w:rsidRDefault="00D87E44" w14:paraId="15457E7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5387" w:type="dxa"/>
            <w:shd w:val="clear" w:color="auto" w:fill="C6EFCE"/>
          </w:tcPr>
          <w:p w:rsidRPr="00B41A05" w:rsidR="00D87E44" w:rsidRDefault="00D87E44" w14:paraId="15457E75" w14:textId="77777777">
            <w:pPr>
              <w:spacing w:before="0" w:after="0" w:line="240" w:lineRule="auto"/>
              <w:rPr>
                <w:rFonts w:eastAsia="Times New Roman"/>
                <w:noProof/>
                <w:color w:val="004300"/>
                <w:sz w:val="18"/>
                <w:szCs w:val="18"/>
                <w:lang w:val="en-IE" w:eastAsia="en-GB"/>
              </w:rPr>
            </w:pPr>
            <w:r w:rsidRPr="562D7C8A">
              <w:rPr>
                <w:rFonts w:eastAsia="Times New Roman"/>
                <w:noProof/>
                <w:color w:val="004300"/>
                <w:sz w:val="18"/>
                <w:szCs w:val="18"/>
                <w:lang w:val="en-IE" w:eastAsia="en-GB"/>
              </w:rPr>
              <w:t xml:space="preserve">38 educational and awareness-raising projects </w:t>
            </w:r>
            <w:r w:rsidRPr="1C3289AB" w:rsidDel="31576706">
              <w:rPr>
                <w:rFonts w:eastAsia="Times New Roman"/>
                <w:noProof/>
                <w:color w:val="004300"/>
                <w:sz w:val="18"/>
                <w:szCs w:val="18"/>
                <w:lang w:val="en-IE" w:eastAsia="en-GB"/>
              </w:rPr>
              <w:t xml:space="preserve">on </w:t>
            </w:r>
            <w:r>
              <w:rPr>
                <w:rFonts w:eastAsia="Times New Roman"/>
                <w:noProof/>
                <w:color w:val="004300"/>
                <w:sz w:val="18"/>
                <w:szCs w:val="18"/>
                <w:lang w:val="en-IE" w:eastAsia="en-GB"/>
              </w:rPr>
              <w:t>sustainability and climate change</w:t>
            </w:r>
            <w:r w:rsidRPr="3F4B39AD">
              <w:rPr>
                <w:rFonts w:eastAsia="Times New Roman"/>
                <w:noProof/>
                <w:color w:val="004300"/>
                <w:sz w:val="18"/>
                <w:szCs w:val="18"/>
                <w:lang w:val="en-IE" w:eastAsia="en-GB"/>
              </w:rPr>
              <w:t xml:space="preserve"> </w:t>
            </w:r>
            <w:r w:rsidRPr="52701815">
              <w:rPr>
                <w:rFonts w:eastAsia="Times New Roman"/>
                <w:noProof/>
                <w:color w:val="004300"/>
                <w:sz w:val="18"/>
                <w:szCs w:val="18"/>
                <w:lang w:val="en-IE" w:eastAsia="en-GB"/>
              </w:rPr>
              <w:t>shall be supported</w:t>
            </w:r>
            <w:r w:rsidRPr="466BF56C">
              <w:rPr>
                <w:rFonts w:eastAsia="Times New Roman"/>
                <w:noProof/>
                <w:color w:val="004300"/>
                <w:sz w:val="18"/>
                <w:szCs w:val="18"/>
                <w:lang w:val="en-IE" w:eastAsia="en-GB"/>
              </w:rPr>
              <w:t>.</w:t>
            </w:r>
          </w:p>
        </w:tc>
      </w:tr>
      <w:tr w:rsidRPr="00FE48E2" w:rsidR="00E3458A" w:rsidTr="4A45BCA2" w14:paraId="15457E84" w14:textId="77777777">
        <w:trPr>
          <w:trHeight w:val="945"/>
          <w:jc w:val="center"/>
        </w:trPr>
        <w:tc>
          <w:tcPr>
            <w:tcW w:w="710" w:type="dxa"/>
            <w:shd w:val="clear" w:color="auto" w:fill="C6EFCE"/>
          </w:tcPr>
          <w:p w:rsidRPr="00B41A05" w:rsidR="00D87E44" w:rsidRDefault="00D87E44" w14:paraId="15457E77"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125</w:t>
            </w:r>
          </w:p>
        </w:tc>
        <w:tc>
          <w:tcPr>
            <w:tcW w:w="1276" w:type="dxa"/>
            <w:shd w:val="clear" w:color="auto" w:fill="C6EFCE"/>
          </w:tcPr>
          <w:p w:rsidRPr="00B41A05" w:rsidR="00D87E44" w:rsidRDefault="00D87E44" w14:paraId="15457E7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Renovation and revitalisation of buildings for energy savings</w:t>
            </w:r>
          </w:p>
        </w:tc>
        <w:tc>
          <w:tcPr>
            <w:tcW w:w="1128" w:type="dxa"/>
            <w:shd w:val="clear" w:color="auto" w:fill="C6EFCE"/>
          </w:tcPr>
          <w:p w:rsidRPr="00B41A05" w:rsidR="00D87E44" w:rsidRDefault="00D87E44" w14:paraId="15457E7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7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Projects contracted for reduction of energy consumption</w:t>
            </w:r>
          </w:p>
        </w:tc>
        <w:tc>
          <w:tcPr>
            <w:tcW w:w="1417" w:type="dxa"/>
            <w:shd w:val="clear" w:color="auto" w:fill="C6EFCE"/>
          </w:tcPr>
          <w:p w:rsidRPr="00B41A05" w:rsidR="00D87E44" w:rsidRDefault="00D87E44" w14:paraId="15457E7B"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7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Energy savings in terra joules per year</w:t>
            </w:r>
          </w:p>
        </w:tc>
        <w:tc>
          <w:tcPr>
            <w:tcW w:w="1029" w:type="dxa"/>
            <w:shd w:val="clear" w:color="auto" w:fill="C6EFCE"/>
          </w:tcPr>
          <w:p w:rsidRPr="00B41A05" w:rsidR="00D87E44" w:rsidRDefault="00D87E44" w14:paraId="15457E7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p w:rsidRPr="00B41A05" w:rsidR="00D87E44" w:rsidRDefault="00D87E44" w14:paraId="15457E7E" w14:textId="77777777">
            <w:pPr>
              <w:spacing w:before="0" w:after="0" w:line="240" w:lineRule="auto"/>
              <w:rPr>
                <w:rFonts w:eastAsia="Times New Roman"/>
                <w:noProof/>
                <w:color w:val="004300"/>
                <w:sz w:val="18"/>
                <w:szCs w:val="18"/>
                <w:lang w:val="en-IE" w:eastAsia="en-GB"/>
              </w:rPr>
            </w:pPr>
          </w:p>
        </w:tc>
        <w:tc>
          <w:tcPr>
            <w:tcW w:w="814" w:type="dxa"/>
            <w:shd w:val="clear" w:color="auto" w:fill="C6EFCE"/>
          </w:tcPr>
          <w:p w:rsidRPr="00B41A05" w:rsidR="00D87E44" w:rsidRDefault="00D87E44" w14:paraId="15457E7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1 200</w:t>
            </w:r>
          </w:p>
        </w:tc>
        <w:tc>
          <w:tcPr>
            <w:tcW w:w="1077" w:type="dxa"/>
            <w:shd w:val="clear" w:color="auto" w:fill="C6EFCE"/>
          </w:tcPr>
          <w:p w:rsidRPr="00B41A05" w:rsidR="00D87E44" w:rsidRDefault="00D87E44" w14:paraId="15457E8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Q3</w:t>
            </w:r>
          </w:p>
        </w:tc>
        <w:tc>
          <w:tcPr>
            <w:tcW w:w="665" w:type="dxa"/>
            <w:shd w:val="clear" w:color="auto" w:fill="C6EFCE"/>
          </w:tcPr>
          <w:p w:rsidRPr="00B41A05" w:rsidR="00D87E44" w:rsidRDefault="00D87E44" w14:paraId="15457E8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5387" w:type="dxa"/>
            <w:shd w:val="clear" w:color="auto" w:fill="C6EFCE"/>
          </w:tcPr>
          <w:p w:rsidRPr="00B41A05" w:rsidR="00D87E44" w:rsidRDefault="00D87E44" w14:paraId="15457E8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Projects for reduction of energy consumption by 1 200 TJ/year shall be contracted by the State Environment Fund as of February 2020. </w:t>
            </w:r>
          </w:p>
          <w:p w:rsidRPr="00B41A05" w:rsidR="00D87E44" w:rsidRDefault="00D87E44" w14:paraId="15457E8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Only projects that, on average, achieve a reduction in primary energy consumption of at least 30 % shall be chosen for implementation. Investments into gas-condensing boiler replacements shall be limited to maximum 20 % of the overall allocation of measure 2.5.1. </w:t>
            </w:r>
          </w:p>
        </w:tc>
      </w:tr>
      <w:tr w:rsidRPr="00FE48E2" w:rsidR="00E3458A" w:rsidTr="4A45BCA2" w14:paraId="15457E90" w14:textId="77777777">
        <w:trPr>
          <w:trHeight w:val="945"/>
          <w:jc w:val="center"/>
        </w:trPr>
        <w:tc>
          <w:tcPr>
            <w:tcW w:w="710" w:type="dxa"/>
            <w:shd w:val="clear" w:color="auto" w:fill="C6EFCE"/>
          </w:tcPr>
          <w:p w:rsidRPr="00B41A05" w:rsidR="00D87E44" w:rsidRDefault="00D87E44" w14:paraId="15457E8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126</w:t>
            </w:r>
          </w:p>
        </w:tc>
        <w:tc>
          <w:tcPr>
            <w:tcW w:w="1276" w:type="dxa"/>
            <w:shd w:val="clear" w:color="auto" w:fill="C6EFCE"/>
          </w:tcPr>
          <w:p w:rsidRPr="00B41A05" w:rsidR="00D87E44" w:rsidRDefault="00D87E44" w14:paraId="15457E8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Renovation and revitalisation of buildings for energy savings</w:t>
            </w:r>
          </w:p>
        </w:tc>
        <w:tc>
          <w:tcPr>
            <w:tcW w:w="1128" w:type="dxa"/>
            <w:shd w:val="clear" w:color="auto" w:fill="C6EFCE"/>
          </w:tcPr>
          <w:p w:rsidRPr="00B41A05" w:rsidR="00D87E44" w:rsidRDefault="00D87E44" w14:paraId="15457E8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8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Reduction of energy consumption </w:t>
            </w:r>
          </w:p>
        </w:tc>
        <w:tc>
          <w:tcPr>
            <w:tcW w:w="1417" w:type="dxa"/>
            <w:shd w:val="clear" w:color="auto" w:fill="C6EFCE"/>
          </w:tcPr>
          <w:p w:rsidRPr="00B41A05" w:rsidR="00D87E44" w:rsidRDefault="00D87E44" w14:paraId="15457E89"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8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Energy savings in terra joules per year</w:t>
            </w:r>
          </w:p>
        </w:tc>
        <w:tc>
          <w:tcPr>
            <w:tcW w:w="1029" w:type="dxa"/>
            <w:shd w:val="clear" w:color="auto" w:fill="C6EFCE"/>
          </w:tcPr>
          <w:p w:rsidRPr="00B41A05" w:rsidR="00D87E44" w:rsidRDefault="00D87E44" w14:paraId="15457E8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1 200</w:t>
            </w:r>
          </w:p>
        </w:tc>
        <w:tc>
          <w:tcPr>
            <w:tcW w:w="814" w:type="dxa"/>
            <w:shd w:val="clear" w:color="auto" w:fill="C6EFCE"/>
          </w:tcPr>
          <w:p w:rsidRPr="00B41A05" w:rsidR="00D87E44" w:rsidRDefault="00D87E44" w14:paraId="15457E8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1 900</w:t>
            </w:r>
          </w:p>
        </w:tc>
        <w:tc>
          <w:tcPr>
            <w:tcW w:w="1077" w:type="dxa"/>
            <w:shd w:val="clear" w:color="auto" w:fill="C6EFCE"/>
          </w:tcPr>
          <w:p w:rsidRPr="00B41A05" w:rsidR="00D87E44" w:rsidRDefault="00D87E44" w14:paraId="15457E8D" w14:textId="77777777">
            <w:pPr>
              <w:spacing w:before="0" w:after="0" w:line="240" w:lineRule="auto"/>
              <w:rPr>
                <w:rFonts w:eastAsia="Times New Roman"/>
                <w:noProof/>
                <w:color w:val="004300"/>
                <w:sz w:val="18"/>
                <w:szCs w:val="18"/>
                <w:lang w:val="en-IE" w:eastAsia="en-GB"/>
              </w:rPr>
            </w:pPr>
            <w:r w:rsidRPr="26FA7E44">
              <w:rPr>
                <w:rFonts w:eastAsia="Times New Roman"/>
                <w:noProof/>
                <w:color w:val="004300"/>
                <w:sz w:val="18"/>
                <w:szCs w:val="18"/>
                <w:lang w:val="en-IE" w:eastAsia="en-GB"/>
              </w:rPr>
              <w:t>Q2</w:t>
            </w:r>
          </w:p>
        </w:tc>
        <w:tc>
          <w:tcPr>
            <w:tcW w:w="665" w:type="dxa"/>
            <w:shd w:val="clear" w:color="auto" w:fill="C6EFCE"/>
          </w:tcPr>
          <w:p w:rsidRPr="00B41A05" w:rsidR="00D87E44" w:rsidRDefault="00D87E44" w14:paraId="15457E8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5387" w:type="dxa"/>
            <w:shd w:val="clear" w:color="auto" w:fill="C6EFCE"/>
          </w:tcPr>
          <w:p w:rsidRPr="00B41A05" w:rsidR="00D87E44" w:rsidRDefault="00D87E44" w14:paraId="15457E8F"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Projects shall deliver a total estimated reduction in primary energy consumption of at least </w:t>
            </w:r>
            <w:r w:rsidRPr="008C7FAF">
              <w:rPr>
                <w:rFonts w:eastAsia="Times New Roman"/>
                <w:noProof/>
                <w:color w:val="004300"/>
                <w:sz w:val="18"/>
                <w:szCs w:val="18"/>
                <w:lang w:val="en-IE" w:eastAsia="en-GB"/>
              </w:rPr>
              <w:t>1</w:t>
            </w:r>
            <w:r>
              <w:rPr>
                <w:rFonts w:eastAsia="Times New Roman"/>
                <w:noProof/>
                <w:color w:val="004300"/>
                <w:sz w:val="18"/>
                <w:szCs w:val="18"/>
                <w:lang w:val="en-IE" w:eastAsia="en-GB"/>
              </w:rPr>
              <w:t> </w:t>
            </w:r>
            <w:r w:rsidRPr="008C7FAF">
              <w:rPr>
                <w:rFonts w:eastAsia="Times New Roman"/>
                <w:noProof/>
                <w:color w:val="004300"/>
                <w:sz w:val="18"/>
                <w:szCs w:val="18"/>
                <w:lang w:val="en-IE" w:eastAsia="en-GB"/>
              </w:rPr>
              <w:t>900</w:t>
            </w:r>
            <w:r w:rsidRPr="00500055">
              <w:rPr>
                <w:rFonts w:eastAsia="Times New Roman"/>
                <w:noProof/>
                <w:color w:val="004300"/>
                <w:sz w:val="18"/>
                <w:szCs w:val="18"/>
                <w:lang w:val="en-IE" w:eastAsia="en-GB"/>
              </w:rPr>
              <w:t xml:space="preserve"> TJ/year</w:t>
            </w:r>
            <w:r>
              <w:rPr>
                <w:rFonts w:eastAsia="Times New Roman"/>
                <w:noProof/>
                <w:color w:val="004300"/>
                <w:sz w:val="18"/>
                <w:szCs w:val="18"/>
                <w:lang w:val="en-IE" w:eastAsia="en-GB"/>
              </w:rPr>
              <w:t>.</w:t>
            </w:r>
          </w:p>
        </w:tc>
      </w:tr>
      <w:tr w:rsidRPr="00FE48E2" w:rsidR="00E3458A" w:rsidTr="4A45BCA2" w14:paraId="15457E9D" w14:textId="77777777">
        <w:trPr>
          <w:trHeight w:val="945"/>
          <w:jc w:val="center"/>
        </w:trPr>
        <w:tc>
          <w:tcPr>
            <w:tcW w:w="710" w:type="dxa"/>
            <w:shd w:val="clear" w:color="auto" w:fill="C6EFCE"/>
          </w:tcPr>
          <w:p w:rsidRPr="00B41A05" w:rsidR="00D87E44" w:rsidRDefault="00D87E44" w14:paraId="15457E91"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127</w:t>
            </w:r>
          </w:p>
        </w:tc>
        <w:tc>
          <w:tcPr>
            <w:tcW w:w="1276" w:type="dxa"/>
            <w:shd w:val="clear" w:color="auto" w:fill="C6EFCE"/>
          </w:tcPr>
          <w:p w:rsidRPr="00B41A05" w:rsidR="00D87E44" w:rsidRDefault="00D87E44" w14:paraId="15457E9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Replacement of stationary sources of pollution in households with renewable energy sources</w:t>
            </w:r>
          </w:p>
        </w:tc>
        <w:tc>
          <w:tcPr>
            <w:tcW w:w="1128" w:type="dxa"/>
            <w:shd w:val="clear" w:color="auto" w:fill="C6EFCE"/>
          </w:tcPr>
          <w:p w:rsidRPr="00B41A05" w:rsidR="00D87E44" w:rsidRDefault="00D87E44" w14:paraId="15457E9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9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Projects contracted for reduction of energy consumption and reduction of CO2 emissions </w:t>
            </w:r>
          </w:p>
        </w:tc>
        <w:tc>
          <w:tcPr>
            <w:tcW w:w="1417" w:type="dxa"/>
            <w:shd w:val="clear" w:color="auto" w:fill="C6EFCE"/>
          </w:tcPr>
          <w:p w:rsidRPr="00B41A05" w:rsidR="00D87E44" w:rsidRDefault="00D87E44" w14:paraId="15457E95"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9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Energy savings in terra joules per year</w:t>
            </w:r>
          </w:p>
        </w:tc>
        <w:tc>
          <w:tcPr>
            <w:tcW w:w="1029" w:type="dxa"/>
            <w:shd w:val="clear" w:color="auto" w:fill="C6EFCE"/>
          </w:tcPr>
          <w:p w:rsidRPr="00B41A05" w:rsidR="00D87E44" w:rsidRDefault="00D87E44" w14:paraId="15457E9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814" w:type="dxa"/>
            <w:shd w:val="clear" w:color="auto" w:fill="C6EFCE"/>
          </w:tcPr>
          <w:p w:rsidRPr="00B41A05" w:rsidR="00D87E44" w:rsidRDefault="00D87E44" w14:paraId="15457E9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720</w:t>
            </w:r>
          </w:p>
        </w:tc>
        <w:tc>
          <w:tcPr>
            <w:tcW w:w="1077" w:type="dxa"/>
            <w:shd w:val="clear" w:color="auto" w:fill="C6EFCE"/>
          </w:tcPr>
          <w:p w:rsidRPr="00B41A05" w:rsidR="00D87E44" w:rsidRDefault="00D87E44" w14:paraId="15457E9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Q3</w:t>
            </w:r>
          </w:p>
        </w:tc>
        <w:tc>
          <w:tcPr>
            <w:tcW w:w="665" w:type="dxa"/>
            <w:shd w:val="clear" w:color="auto" w:fill="C6EFCE"/>
          </w:tcPr>
          <w:p w:rsidRPr="00B41A05" w:rsidR="00D87E44" w:rsidRDefault="00D87E44" w14:paraId="15457E9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5387" w:type="dxa"/>
            <w:shd w:val="clear" w:color="auto" w:fill="C6EFCE"/>
          </w:tcPr>
          <w:p w:rsidRPr="00B41A05" w:rsidR="00D87E44" w:rsidRDefault="00D87E44" w14:paraId="15457E9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Projects for reduction of energy consumption and CO2 emissions by 720 TJ/year and by 100 kt/year, respectively, shall be contracted by the State Environment Fund.</w:t>
            </w:r>
          </w:p>
          <w:p w:rsidRPr="00B41A05" w:rsidR="00D87E44" w:rsidRDefault="00D87E44" w14:paraId="15457E9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As regards biomass, at least 80 % greenhouse gas (GHG) emission savings shall be achieved from the use of biomass in relation to the GHG saving methodology and the relative fossil fuel comparator set out in Annex VI to Directive (EU) 2018/2001.</w:t>
            </w:r>
          </w:p>
        </w:tc>
      </w:tr>
      <w:tr w:rsidRPr="00FE48E2" w:rsidR="00E3458A" w:rsidTr="4A45BCA2" w14:paraId="15457EAA" w14:textId="77777777">
        <w:trPr>
          <w:trHeight w:val="945"/>
          <w:jc w:val="center"/>
        </w:trPr>
        <w:tc>
          <w:tcPr>
            <w:tcW w:w="710" w:type="dxa"/>
            <w:shd w:val="clear" w:color="auto" w:fill="C6EFCE"/>
          </w:tcPr>
          <w:p w:rsidRPr="00B41A05" w:rsidR="00D87E44" w:rsidRDefault="00D87E44" w14:paraId="15457E9E"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128</w:t>
            </w:r>
          </w:p>
        </w:tc>
        <w:tc>
          <w:tcPr>
            <w:tcW w:w="1276" w:type="dxa"/>
            <w:shd w:val="clear" w:color="auto" w:fill="C6EFCE"/>
          </w:tcPr>
          <w:p w:rsidRPr="00B41A05" w:rsidR="00D87E44" w:rsidRDefault="00D87E44" w14:paraId="15457E9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2: Replacement of stationary sources of pollution in households with renewable </w:t>
            </w:r>
            <w:r w:rsidRPr="00B41A05">
              <w:rPr>
                <w:rFonts w:eastAsia="Times New Roman"/>
                <w:noProof/>
                <w:color w:val="004300"/>
                <w:sz w:val="18"/>
                <w:szCs w:val="18"/>
                <w:lang w:val="en-IE" w:eastAsia="en-GB"/>
              </w:rPr>
              <w:t>energy sources</w:t>
            </w:r>
          </w:p>
        </w:tc>
        <w:tc>
          <w:tcPr>
            <w:tcW w:w="1128" w:type="dxa"/>
            <w:shd w:val="clear" w:color="auto" w:fill="C6EFCE"/>
          </w:tcPr>
          <w:p w:rsidRPr="00B41A05" w:rsidR="00D87E44" w:rsidRDefault="00D87E44" w14:paraId="15457EA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A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Reduction of energy consumption and CO2 emissions (35% implemented)</w:t>
            </w:r>
          </w:p>
        </w:tc>
        <w:tc>
          <w:tcPr>
            <w:tcW w:w="1417" w:type="dxa"/>
            <w:shd w:val="clear" w:color="auto" w:fill="C6EFCE"/>
          </w:tcPr>
          <w:p w:rsidRPr="00B41A05" w:rsidR="00D87E44" w:rsidRDefault="00D87E44" w14:paraId="15457EA2"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A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Energy savings in terra joules per year </w:t>
            </w:r>
          </w:p>
        </w:tc>
        <w:tc>
          <w:tcPr>
            <w:tcW w:w="1029" w:type="dxa"/>
            <w:shd w:val="clear" w:color="auto" w:fill="C6EFCE"/>
          </w:tcPr>
          <w:p w:rsidRPr="00B41A05" w:rsidR="00D87E44" w:rsidRDefault="00D87E44" w14:paraId="15457EA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720</w:t>
            </w:r>
          </w:p>
        </w:tc>
        <w:tc>
          <w:tcPr>
            <w:tcW w:w="814" w:type="dxa"/>
            <w:shd w:val="clear" w:color="auto" w:fill="C6EFCE"/>
          </w:tcPr>
          <w:p w:rsidRPr="00B41A05" w:rsidR="00D87E44" w:rsidRDefault="00D87E44" w14:paraId="15457EA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1 500</w:t>
            </w:r>
          </w:p>
        </w:tc>
        <w:tc>
          <w:tcPr>
            <w:tcW w:w="1077" w:type="dxa"/>
            <w:shd w:val="clear" w:color="auto" w:fill="C6EFCE"/>
          </w:tcPr>
          <w:p w:rsidRPr="00B41A05" w:rsidR="00D87E44" w:rsidRDefault="00D87E44" w14:paraId="15457EA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Q3</w:t>
            </w:r>
          </w:p>
        </w:tc>
        <w:tc>
          <w:tcPr>
            <w:tcW w:w="665" w:type="dxa"/>
            <w:shd w:val="clear" w:color="auto" w:fill="C6EFCE"/>
          </w:tcPr>
          <w:p w:rsidRPr="00B41A05" w:rsidR="00D87E44" w:rsidRDefault="00D87E44" w14:paraId="15457EA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5387" w:type="dxa"/>
            <w:shd w:val="clear" w:color="auto" w:fill="C6EFCE"/>
          </w:tcPr>
          <w:p w:rsidRPr="00B41A05" w:rsidR="00D87E44" w:rsidRDefault="00D87E44" w14:paraId="15457EA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Energy consumption and CO2 emissions shall be reduced by 1 500 TJ/year and 170 kt/year, </w:t>
            </w:r>
            <w:r w:rsidRPr="00B41A05">
              <w:rPr>
                <w:rFonts w:eastAsia="Times New Roman"/>
                <w:noProof/>
                <w:color w:val="004300"/>
                <w:sz w:val="18"/>
                <w:szCs w:val="18"/>
                <w:lang w:val="en-IE" w:eastAsia="en-GB"/>
              </w:rPr>
              <w:t>respectively, by 30 September 2023, which shall be demonstrated through energy performance certificates.</w:t>
            </w:r>
          </w:p>
          <w:p w:rsidRPr="00B41A05" w:rsidR="00D87E44" w:rsidRDefault="00D87E44" w14:paraId="15457EA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As regards biomass, at least 80 % greenhouse gas (GHG) emission savings shall be achieved from the use of biomass in relation to the GHG saving methodology and the relative fossil fuel comparator set out in Annex VI to Directive (EU) 2018/2001.</w:t>
            </w:r>
          </w:p>
        </w:tc>
      </w:tr>
      <w:tr w:rsidRPr="00FE48E2" w:rsidR="00E3458A" w:rsidTr="4A45BCA2" w14:paraId="15457EB7" w14:textId="77777777">
        <w:trPr>
          <w:trHeight w:val="945"/>
          <w:jc w:val="center"/>
        </w:trPr>
        <w:tc>
          <w:tcPr>
            <w:tcW w:w="710" w:type="dxa"/>
            <w:shd w:val="clear" w:color="auto" w:fill="C6EFCE"/>
          </w:tcPr>
          <w:p w:rsidRPr="00B41A05" w:rsidR="00D87E44" w:rsidRDefault="00D87E44" w14:paraId="15457EA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129</w:t>
            </w:r>
          </w:p>
        </w:tc>
        <w:tc>
          <w:tcPr>
            <w:tcW w:w="1276" w:type="dxa"/>
            <w:shd w:val="clear" w:color="auto" w:fill="C6EFCE"/>
          </w:tcPr>
          <w:p w:rsidRPr="00B41A05" w:rsidR="00D87E44" w:rsidRDefault="00D87E44" w14:paraId="15457EA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Replacement of stationary sources of pollution in households with renewable energy sources</w:t>
            </w:r>
          </w:p>
        </w:tc>
        <w:tc>
          <w:tcPr>
            <w:tcW w:w="1128" w:type="dxa"/>
            <w:shd w:val="clear" w:color="auto" w:fill="C6EFCE"/>
          </w:tcPr>
          <w:p w:rsidRPr="00B41A05" w:rsidR="00D87E44" w:rsidRDefault="00D87E44" w14:paraId="15457EA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276" w:type="dxa"/>
            <w:shd w:val="clear" w:color="auto" w:fill="C6EFCE"/>
          </w:tcPr>
          <w:p w:rsidRPr="00B41A05" w:rsidR="00D87E44" w:rsidRDefault="00D87E44" w14:paraId="15457EA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Reduction of </w:t>
            </w:r>
            <w:r w:rsidRPr="00B41A05" w:rsidDel="00312E1C">
              <w:rPr>
                <w:rFonts w:eastAsia="Times New Roman"/>
                <w:noProof/>
                <w:color w:val="004300"/>
                <w:sz w:val="18"/>
                <w:szCs w:val="18"/>
                <w:lang w:val="en-IE" w:eastAsia="en-GB"/>
              </w:rPr>
              <w:t>CO</w:t>
            </w:r>
            <w:r w:rsidRPr="00FF1320" w:rsidDel="00312E1C">
              <w:rPr>
                <w:color w:val="004300"/>
                <w:sz w:val="18"/>
                <w:vertAlign w:val="subscript"/>
                <w:lang w:val="en-IE"/>
              </w:rPr>
              <w:t>2</w:t>
            </w:r>
            <w:r w:rsidRPr="00B41A05" w:rsidDel="00312E1C">
              <w:rPr>
                <w:rFonts w:eastAsia="Times New Roman"/>
                <w:noProof/>
                <w:color w:val="004300"/>
                <w:sz w:val="18"/>
                <w:szCs w:val="18"/>
                <w:lang w:val="en-IE" w:eastAsia="en-GB"/>
              </w:rPr>
              <w:t xml:space="preserve"> emissions</w:t>
            </w:r>
          </w:p>
        </w:tc>
        <w:tc>
          <w:tcPr>
            <w:tcW w:w="1417" w:type="dxa"/>
            <w:shd w:val="clear" w:color="auto" w:fill="C6EFCE"/>
          </w:tcPr>
          <w:p w:rsidRPr="00B41A05" w:rsidR="00D87E44" w:rsidRDefault="00D87E44" w14:paraId="15457EAF"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B41A05" w:rsidR="00D87E44" w:rsidRDefault="00D87E44" w14:paraId="15457EB0" w14:textId="77777777">
            <w:pPr>
              <w:spacing w:before="0" w:after="0" w:line="240" w:lineRule="auto"/>
              <w:rPr>
                <w:rFonts w:eastAsia="Times New Roman"/>
                <w:noProof/>
                <w:color w:val="004300"/>
                <w:sz w:val="18"/>
                <w:szCs w:val="18"/>
                <w:lang w:val="en-IE" w:eastAsia="en-GB"/>
              </w:rPr>
            </w:pPr>
            <w:r w:rsidRPr="4A45BCA2">
              <w:rPr>
                <w:rFonts w:eastAsia="Times New Roman"/>
                <w:noProof/>
                <w:color w:val="004300"/>
                <w:sz w:val="18"/>
                <w:szCs w:val="18"/>
                <w:lang w:val="en-IE" w:eastAsia="en-GB"/>
              </w:rPr>
              <w:t>CO</w:t>
            </w:r>
            <w:r w:rsidRPr="4A45BCA2">
              <w:rPr>
                <w:rFonts w:eastAsia="Times New Roman"/>
                <w:noProof/>
                <w:color w:val="004300"/>
                <w:sz w:val="18"/>
                <w:szCs w:val="18"/>
                <w:vertAlign w:val="subscript"/>
                <w:lang w:val="en-IE" w:eastAsia="en-GB"/>
              </w:rPr>
              <w:t>2</w:t>
            </w:r>
            <w:r w:rsidRPr="4A45BCA2">
              <w:rPr>
                <w:rFonts w:eastAsia="Times New Roman"/>
                <w:noProof/>
                <w:color w:val="004300"/>
                <w:sz w:val="18"/>
                <w:szCs w:val="18"/>
                <w:lang w:val="en-IE" w:eastAsia="en-GB"/>
              </w:rPr>
              <w:t xml:space="preserve"> emissions reduction in kt/year</w:t>
            </w:r>
          </w:p>
        </w:tc>
        <w:tc>
          <w:tcPr>
            <w:tcW w:w="1029" w:type="dxa"/>
            <w:shd w:val="clear" w:color="auto" w:fill="C6EFCE"/>
          </w:tcPr>
          <w:p w:rsidRPr="00B41A05" w:rsidR="00D87E44" w:rsidRDefault="00D87E44" w14:paraId="15457EB1" w14:textId="77777777">
            <w:pPr>
              <w:spacing w:before="0" w:after="0" w:line="240" w:lineRule="auto"/>
              <w:rPr>
                <w:rFonts w:eastAsia="Times New Roman"/>
                <w:noProof/>
                <w:color w:val="004300"/>
                <w:sz w:val="18"/>
                <w:szCs w:val="18"/>
                <w:lang w:val="en-IE" w:eastAsia="en-GB"/>
              </w:rPr>
            </w:pPr>
            <w:r w:rsidRPr="00FF1320">
              <w:rPr>
                <w:color w:val="004300"/>
                <w:sz w:val="18"/>
                <w:lang w:val="en-IE"/>
              </w:rPr>
              <w:t xml:space="preserve">170 </w:t>
            </w:r>
          </w:p>
        </w:tc>
        <w:tc>
          <w:tcPr>
            <w:tcW w:w="814" w:type="dxa"/>
            <w:shd w:val="clear" w:color="auto" w:fill="C6EFCE"/>
          </w:tcPr>
          <w:p w:rsidRPr="00B41A05" w:rsidR="00D87E44" w:rsidRDefault="00D87E44" w14:paraId="15457EB2" w14:textId="77777777">
            <w:pPr>
              <w:spacing w:before="0" w:after="0" w:line="240" w:lineRule="auto"/>
              <w:rPr>
                <w:rFonts w:eastAsia="Times New Roman"/>
                <w:noProof/>
                <w:color w:val="004300"/>
                <w:sz w:val="18"/>
                <w:szCs w:val="18"/>
                <w:lang w:val="en-IE" w:eastAsia="en-GB"/>
              </w:rPr>
            </w:pPr>
            <w:r w:rsidRPr="00C72085">
              <w:rPr>
                <w:rFonts w:eastAsia="Times New Roman"/>
                <w:noProof/>
                <w:color w:val="004300"/>
                <w:sz w:val="18"/>
                <w:szCs w:val="18"/>
                <w:lang w:val="en-IE" w:eastAsia="en-GB"/>
              </w:rPr>
              <w:t>6</w:t>
            </w:r>
            <w:r>
              <w:rPr>
                <w:rFonts w:eastAsia="Times New Roman"/>
                <w:noProof/>
                <w:color w:val="004300"/>
                <w:sz w:val="18"/>
                <w:szCs w:val="18"/>
                <w:lang w:val="en-IE" w:eastAsia="en-GB"/>
              </w:rPr>
              <w:t>3</w:t>
            </w:r>
            <w:r w:rsidRPr="00C72085">
              <w:rPr>
                <w:rFonts w:eastAsia="Times New Roman"/>
                <w:noProof/>
                <w:color w:val="004300"/>
                <w:sz w:val="18"/>
                <w:szCs w:val="18"/>
                <w:lang w:val="en-IE" w:eastAsia="en-GB"/>
              </w:rPr>
              <w:t xml:space="preserve">0 </w:t>
            </w:r>
          </w:p>
        </w:tc>
        <w:tc>
          <w:tcPr>
            <w:tcW w:w="1077" w:type="dxa"/>
            <w:shd w:val="clear" w:color="auto" w:fill="C6EFCE"/>
          </w:tcPr>
          <w:p w:rsidRPr="00B41A05" w:rsidR="00D87E44" w:rsidRDefault="00D87E44" w14:paraId="15457EB3" w14:textId="77777777">
            <w:pPr>
              <w:spacing w:before="0" w:after="0" w:line="240" w:lineRule="auto"/>
              <w:rPr>
                <w:rFonts w:eastAsia="Times New Roman"/>
                <w:noProof/>
                <w:color w:val="004300"/>
                <w:sz w:val="18"/>
                <w:szCs w:val="18"/>
                <w:lang w:val="en-IE" w:eastAsia="en-GB"/>
              </w:rPr>
            </w:pPr>
            <w:r w:rsidRPr="254C7607">
              <w:rPr>
                <w:rFonts w:eastAsia="Times New Roman"/>
                <w:noProof/>
                <w:color w:val="004300"/>
                <w:sz w:val="18"/>
                <w:szCs w:val="18"/>
                <w:lang w:val="en-IE" w:eastAsia="en-GB"/>
              </w:rPr>
              <w:t>Q2</w:t>
            </w:r>
          </w:p>
        </w:tc>
        <w:tc>
          <w:tcPr>
            <w:tcW w:w="665" w:type="dxa"/>
            <w:shd w:val="clear" w:color="auto" w:fill="C6EFCE"/>
          </w:tcPr>
          <w:p w:rsidRPr="00B41A05" w:rsidR="00D87E44" w:rsidRDefault="00D87E44" w14:paraId="15457EB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5387" w:type="dxa"/>
            <w:shd w:val="clear" w:color="auto" w:fill="C6EFCE"/>
          </w:tcPr>
          <w:p w:rsidRPr="00B41A05" w:rsidR="00D87E44" w:rsidRDefault="00D87E44" w14:paraId="15457EB5" w14:textId="77777777">
            <w:pPr>
              <w:spacing w:before="0" w:after="0" w:line="240" w:lineRule="auto"/>
              <w:rPr>
                <w:rFonts w:eastAsia="Times New Roman"/>
                <w:noProof/>
                <w:color w:val="004300"/>
                <w:sz w:val="18"/>
                <w:szCs w:val="18"/>
                <w:lang w:val="en-IE" w:eastAsia="en-GB"/>
              </w:rPr>
            </w:pPr>
            <w:r w:rsidRPr="562D7C8A">
              <w:rPr>
                <w:rFonts w:eastAsia="Times New Roman"/>
                <w:noProof/>
                <w:color w:val="004300"/>
                <w:sz w:val="18"/>
                <w:szCs w:val="18"/>
                <w:lang w:val="en-IE" w:eastAsia="en-GB"/>
              </w:rPr>
              <w:t xml:space="preserve">Projects shall deliver a total estimated reduction in </w:t>
            </w:r>
            <w:r>
              <w:rPr>
                <w:rFonts w:eastAsia="Times New Roman"/>
                <w:noProof/>
                <w:color w:val="004300"/>
                <w:sz w:val="18"/>
                <w:szCs w:val="18"/>
                <w:lang w:val="en-IE" w:eastAsia="en-GB"/>
              </w:rPr>
              <w:t>CO</w:t>
            </w:r>
            <w:r w:rsidRPr="00D924CC">
              <w:rPr>
                <w:rFonts w:eastAsia="Times New Roman"/>
                <w:noProof/>
                <w:color w:val="004300"/>
                <w:sz w:val="18"/>
                <w:szCs w:val="18"/>
                <w:vertAlign w:val="subscript"/>
                <w:lang w:val="en-IE" w:eastAsia="en-GB"/>
              </w:rPr>
              <w:t>2</w:t>
            </w:r>
            <w:r>
              <w:rPr>
                <w:rFonts w:eastAsia="Times New Roman"/>
                <w:noProof/>
                <w:color w:val="004300"/>
                <w:sz w:val="18"/>
                <w:szCs w:val="18"/>
                <w:lang w:val="en-IE" w:eastAsia="en-GB"/>
              </w:rPr>
              <w:t xml:space="preserve"> emissions</w:t>
            </w:r>
            <w:r w:rsidRPr="562D7C8A">
              <w:rPr>
                <w:rFonts w:eastAsia="Times New Roman"/>
                <w:noProof/>
                <w:color w:val="004300"/>
                <w:sz w:val="18"/>
                <w:szCs w:val="18"/>
                <w:lang w:val="en-IE" w:eastAsia="en-GB"/>
              </w:rPr>
              <w:t xml:space="preserve"> of at </w:t>
            </w:r>
            <w:r w:rsidRPr="00714B94">
              <w:rPr>
                <w:noProof/>
                <w:color w:val="004300"/>
                <w:sz w:val="18"/>
                <w:lang w:val="en-IE"/>
              </w:rPr>
              <w:t>least 6</w:t>
            </w:r>
            <w:r>
              <w:rPr>
                <w:noProof/>
                <w:color w:val="004300"/>
                <w:sz w:val="18"/>
                <w:lang w:val="en-IE"/>
              </w:rPr>
              <w:t>3</w:t>
            </w:r>
            <w:r w:rsidRPr="00714B94">
              <w:rPr>
                <w:noProof/>
                <w:color w:val="004300"/>
                <w:sz w:val="18"/>
                <w:lang w:val="en-IE"/>
              </w:rPr>
              <w:t>0 kt/year</w:t>
            </w:r>
            <w:r w:rsidRPr="562D7C8A">
              <w:rPr>
                <w:rFonts w:eastAsia="Times New Roman"/>
                <w:noProof/>
                <w:color w:val="004300"/>
                <w:sz w:val="18"/>
                <w:szCs w:val="18"/>
                <w:lang w:val="en-IE" w:eastAsia="en-GB"/>
              </w:rPr>
              <w:t>.</w:t>
            </w:r>
          </w:p>
          <w:p w:rsidRPr="00B41A05" w:rsidR="00D87E44" w:rsidRDefault="00D87E44" w14:paraId="15457EB6" w14:textId="77777777">
            <w:pPr>
              <w:spacing w:before="0" w:after="0" w:line="240" w:lineRule="auto"/>
              <w:rPr>
                <w:rFonts w:eastAsia="Times New Roman"/>
                <w:noProof/>
                <w:color w:val="004300"/>
                <w:sz w:val="18"/>
                <w:szCs w:val="18"/>
                <w:lang w:val="en-IE" w:eastAsia="en-GB"/>
              </w:rPr>
            </w:pPr>
          </w:p>
        </w:tc>
      </w:tr>
      <w:tr w:rsidRPr="00FE48E2" w:rsidR="00E3458A" w:rsidTr="4A45BCA2" w14:paraId="15457EC7" w14:textId="77777777">
        <w:trPr>
          <w:trHeight w:val="945"/>
          <w:jc w:val="center"/>
        </w:trPr>
        <w:tc>
          <w:tcPr>
            <w:tcW w:w="710" w:type="dxa"/>
            <w:shd w:val="clear" w:color="auto" w:fill="C6EFCE"/>
          </w:tcPr>
          <w:p w:rsidRPr="00714B94" w:rsidR="00D87E44" w:rsidRDefault="00D87E44" w14:paraId="15457EB8"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130</w:t>
            </w:r>
          </w:p>
        </w:tc>
        <w:tc>
          <w:tcPr>
            <w:tcW w:w="1276" w:type="dxa"/>
            <w:shd w:val="clear" w:color="auto" w:fill="C6EFCE"/>
          </w:tcPr>
          <w:p w:rsidRPr="00714B94" w:rsidR="00D87E44" w:rsidRDefault="00D87E44" w14:paraId="15457EB9"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 xml:space="preserve">Investment 3: Support for project preparation in the field of energy saving </w:t>
            </w:r>
          </w:p>
        </w:tc>
        <w:tc>
          <w:tcPr>
            <w:tcW w:w="1128" w:type="dxa"/>
            <w:shd w:val="clear" w:color="auto" w:fill="C6EFCE"/>
          </w:tcPr>
          <w:p w:rsidRPr="00714B94" w:rsidR="00D87E44" w:rsidRDefault="00D87E44" w14:paraId="15457EBA"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Target</w:t>
            </w:r>
          </w:p>
        </w:tc>
        <w:tc>
          <w:tcPr>
            <w:tcW w:w="1276" w:type="dxa"/>
            <w:shd w:val="clear" w:color="auto" w:fill="C6EFCE"/>
          </w:tcPr>
          <w:p w:rsidRPr="00714B94" w:rsidR="00D87E44" w:rsidP="00756143" w:rsidRDefault="00D87E44" w14:paraId="15457EBB" w14:textId="77777777">
            <w:pPr>
              <w:spacing w:before="0" w:after="0" w:line="240" w:lineRule="auto"/>
              <w:rPr>
                <w:rFonts w:eastAsia="Times New Roman"/>
                <w:noProof/>
                <w:color w:val="004300"/>
                <w:sz w:val="18"/>
                <w:szCs w:val="18"/>
                <w:lang w:val="en-IE" w:eastAsia="en-GB"/>
              </w:rPr>
            </w:pPr>
            <w:r w:rsidRPr="4A45BCA2">
              <w:rPr>
                <w:rFonts w:eastAsia="Times New Roman"/>
                <w:noProof/>
                <w:color w:val="004300"/>
                <w:sz w:val="18"/>
                <w:szCs w:val="18"/>
                <w:lang w:val="en-IE"/>
              </w:rPr>
              <w:t xml:space="preserve">Counselling for project preparation </w:t>
            </w:r>
          </w:p>
        </w:tc>
        <w:tc>
          <w:tcPr>
            <w:tcW w:w="1417" w:type="dxa"/>
            <w:shd w:val="clear" w:color="auto" w:fill="C6EFCE"/>
          </w:tcPr>
          <w:p w:rsidRPr="00714B94" w:rsidR="00D87E44" w:rsidRDefault="00D87E44" w14:paraId="15457EBC" w14:textId="77777777">
            <w:pPr>
              <w:spacing w:before="0" w:after="0" w:line="240" w:lineRule="auto"/>
              <w:rPr>
                <w:rFonts w:eastAsia="Times New Roman"/>
                <w:noProof/>
                <w:color w:val="004300"/>
                <w:sz w:val="18"/>
                <w:szCs w:val="18"/>
                <w:lang w:val="en-IE" w:eastAsia="en-GB"/>
              </w:rPr>
            </w:pPr>
          </w:p>
        </w:tc>
        <w:tc>
          <w:tcPr>
            <w:tcW w:w="1239" w:type="dxa"/>
            <w:shd w:val="clear" w:color="auto" w:fill="C6EFCE"/>
          </w:tcPr>
          <w:p w:rsidRPr="00714B94" w:rsidR="00D87E44" w:rsidRDefault="00D87E44" w14:paraId="15457EBD"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Number of projects</w:t>
            </w:r>
          </w:p>
        </w:tc>
        <w:tc>
          <w:tcPr>
            <w:tcW w:w="1029" w:type="dxa"/>
            <w:shd w:val="clear" w:color="auto" w:fill="C6EFCE"/>
          </w:tcPr>
          <w:p w:rsidRPr="00714B94" w:rsidR="00D87E44" w:rsidRDefault="00D87E44" w14:paraId="15457EBE"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0</w:t>
            </w:r>
          </w:p>
        </w:tc>
        <w:tc>
          <w:tcPr>
            <w:tcW w:w="814" w:type="dxa"/>
            <w:shd w:val="clear" w:color="auto" w:fill="C6EFCE"/>
          </w:tcPr>
          <w:p w:rsidRPr="00714B94" w:rsidR="00D87E44" w:rsidRDefault="00D87E44" w14:paraId="15457EBF"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4 890</w:t>
            </w:r>
          </w:p>
        </w:tc>
        <w:tc>
          <w:tcPr>
            <w:tcW w:w="1077" w:type="dxa"/>
            <w:shd w:val="clear" w:color="auto" w:fill="C6EFCE"/>
          </w:tcPr>
          <w:p w:rsidRPr="00714B94" w:rsidR="00D87E44" w:rsidRDefault="00D87E44" w14:paraId="15457EC0"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Q4</w:t>
            </w:r>
          </w:p>
        </w:tc>
        <w:tc>
          <w:tcPr>
            <w:tcW w:w="665" w:type="dxa"/>
            <w:shd w:val="clear" w:color="auto" w:fill="C6EFCE"/>
          </w:tcPr>
          <w:p w:rsidRPr="00714B94" w:rsidR="00D87E44" w:rsidRDefault="00D87E44" w14:paraId="15457EC1"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2025</w:t>
            </w:r>
          </w:p>
        </w:tc>
        <w:tc>
          <w:tcPr>
            <w:tcW w:w="5387" w:type="dxa"/>
            <w:shd w:val="clear" w:color="auto" w:fill="C6EFCE"/>
          </w:tcPr>
          <w:p w:rsidRPr="00714B94" w:rsidR="00D87E44" w:rsidRDefault="00D87E44" w14:paraId="15457EC2" w14:textId="77777777">
            <w:p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 xml:space="preserve">4 890 projects shall receive </w:t>
            </w:r>
            <w:r w:rsidRPr="00500055">
              <w:rPr>
                <w:rFonts w:eastAsia="Times New Roman"/>
                <w:noProof/>
                <w:color w:val="004300"/>
                <w:sz w:val="18"/>
                <w:szCs w:val="18"/>
                <w:lang w:val="en-IE" w:eastAsia="en-GB"/>
              </w:rPr>
              <w:t>counselling</w:t>
            </w:r>
            <w:r w:rsidRPr="00714B94">
              <w:rPr>
                <w:rFonts w:eastAsia="Times New Roman"/>
                <w:noProof/>
                <w:color w:val="004300"/>
                <w:sz w:val="18"/>
                <w:szCs w:val="18"/>
                <w:lang w:val="en-IE" w:eastAsia="en-GB"/>
              </w:rPr>
              <w:t xml:space="preserve"> for project preparation, including:</w:t>
            </w:r>
            <w:r w:rsidRPr="008C7FAF">
              <w:rPr>
                <w:rFonts w:eastAsia="Times New Roman"/>
                <w:noProof/>
                <w:color w:val="004300"/>
                <w:sz w:val="18"/>
                <w:szCs w:val="18"/>
                <w:lang w:val="en-IE" w:eastAsia="en-GB"/>
              </w:rPr>
              <w:t xml:space="preserve"> </w:t>
            </w:r>
          </w:p>
          <w:p w:rsidRPr="00714B94" w:rsidR="00D87E44" w:rsidP="00D226F4" w:rsidRDefault="00D87E44" w14:paraId="15457EC3" w14:textId="77777777">
            <w:pPr>
              <w:pStyle w:val="ListParagraph"/>
              <w:numPr>
                <w:ilvl w:val="0"/>
                <w:numId w:val="41"/>
              </w:num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 xml:space="preserve">energy community project preparation, </w:t>
            </w:r>
          </w:p>
          <w:p w:rsidRPr="00714B94" w:rsidR="00D87E44" w:rsidP="00D226F4" w:rsidRDefault="00D87E44" w14:paraId="15457EC4" w14:textId="77777777">
            <w:pPr>
              <w:pStyle w:val="ListParagraph"/>
              <w:numPr>
                <w:ilvl w:val="0"/>
                <w:numId w:val="41"/>
              </w:num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 xml:space="preserve">project preparation studies for family houses, </w:t>
            </w:r>
          </w:p>
          <w:p w:rsidRPr="00714B94" w:rsidR="00D87E44" w:rsidP="00D226F4" w:rsidRDefault="00D87E44" w14:paraId="15457EC5" w14:textId="77777777">
            <w:pPr>
              <w:pStyle w:val="ListParagraph"/>
              <w:numPr>
                <w:ilvl w:val="0"/>
                <w:numId w:val="41"/>
              </w:num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 xml:space="preserve">project preparation studies for apartment buildings, and  </w:t>
            </w:r>
          </w:p>
          <w:p w:rsidRPr="00714B94" w:rsidR="00D87E44" w:rsidP="00FF1320" w:rsidRDefault="00D87E44" w14:paraId="15457EC6" w14:textId="77777777">
            <w:pPr>
              <w:pStyle w:val="ListParagraph"/>
              <w:numPr>
                <w:ilvl w:val="0"/>
                <w:numId w:val="41"/>
              </w:numPr>
              <w:spacing w:before="0" w:after="0" w:line="240" w:lineRule="auto"/>
              <w:rPr>
                <w:rFonts w:eastAsia="Times New Roman"/>
                <w:noProof/>
                <w:color w:val="004300"/>
                <w:sz w:val="18"/>
                <w:szCs w:val="18"/>
                <w:lang w:val="en-IE" w:eastAsia="en-GB"/>
              </w:rPr>
            </w:pPr>
            <w:r w:rsidRPr="00714B94">
              <w:rPr>
                <w:rFonts w:eastAsia="Times New Roman"/>
                <w:noProof/>
                <w:color w:val="004300"/>
                <w:sz w:val="18"/>
                <w:szCs w:val="18"/>
                <w:lang w:val="en-IE" w:eastAsia="en-GB"/>
              </w:rPr>
              <w:t>projects of Energy Consultation and Information Centres</w:t>
            </w:r>
            <w:r>
              <w:rPr>
                <w:rFonts w:eastAsia="Times New Roman"/>
                <w:noProof/>
                <w:color w:val="004300"/>
                <w:sz w:val="18"/>
                <w:szCs w:val="18"/>
                <w:lang w:val="en-IE" w:eastAsia="en-GB"/>
              </w:rPr>
              <w:t>.</w:t>
            </w:r>
          </w:p>
        </w:tc>
      </w:tr>
    </w:tbl>
    <w:p w:rsidRPr="00FE48E2" w:rsidR="00D87E44" w:rsidP="00D226F4" w:rsidRDefault="00D87E44" w14:paraId="15457EC8" w14:textId="77777777">
      <w:pPr>
        <w:spacing w:before="0" w:after="200" w:line="276" w:lineRule="auto"/>
        <w:rPr>
          <w:b/>
          <w:smallCaps/>
          <w:noProof/>
          <w:lang w:val="en-IE"/>
        </w:rPr>
        <w:sectPr w:rsidRPr="00FE48E2" w:rsidR="00C16C1F" w:rsidSect="00D226F4">
          <w:headerReference w:type="even" r:id="Rac8032133a5d43f6"/>
          <w:headerReference w:type="default" r:id="Rcd404230036b4c14"/>
          <w:footerReference w:type="even" r:id="R76d0fd2184244bce"/>
          <w:footerReference w:type="default" r:id="R046598b773c249c0"/>
          <w:headerReference w:type="first" r:id="Rd4afd2b7da25461b"/>
          <w:footerReference w:type="first" r:id="R69316d3d5cf34f14"/>
          <w:pgSz w:w="16839" w:h="11907" w:orient="landscape"/>
          <w:pgMar w:top="1134" w:right="1134" w:bottom="1134" w:left="1134" w:header="567" w:footer="567" w:gutter="0"/>
          <w:cols w:space="720"/>
          <w:docGrid w:linePitch="326"/>
        </w:sectPr>
      </w:pPr>
    </w:p>
    <w:p w:rsidRPr="00FE48E2" w:rsidR="00D87E44" w:rsidP="00D226F4" w:rsidRDefault="00D87E44" w14:paraId="15457EC9" w14:textId="77777777">
      <w:pPr>
        <w:keepNext/>
        <w:spacing w:before="360" w:line="240" w:lineRule="auto"/>
        <w:ind w:left="850" w:hanging="850"/>
        <w:jc w:val="both"/>
        <w:outlineLvl w:val="0"/>
        <w:rPr>
          <w:rFonts w:eastAsia="Times New Roman"/>
          <w:b/>
          <w:smallCaps/>
          <w:noProof/>
          <w:szCs w:val="28"/>
          <w:highlight w:val="yellow"/>
          <w:lang w:val="en-IE"/>
        </w:rPr>
      </w:pPr>
      <w:r w:rsidRPr="7B10ABD9">
        <w:rPr>
          <w:rFonts w:eastAsia="Times New Roman"/>
          <w:b/>
          <w:bCs/>
          <w:smallCaps/>
          <w:noProof/>
          <w:lang w:val="en-IE"/>
        </w:rPr>
        <w:lastRenderedPageBreak/>
        <w:t>M</w:t>
      </w:r>
      <w:r w:rsidRPr="00FE48E2">
        <w:rPr>
          <w:rFonts w:eastAsia="Times New Roman"/>
          <w:b/>
          <w:smallCaps/>
          <w:noProof/>
          <w:szCs w:val="28"/>
          <w:lang w:val="en-IE"/>
        </w:rPr>
        <w:t xml:space="preserve">. COMPONENT 2.6: Nature Protection and Adaptation to Climate Change </w:t>
      </w:r>
    </w:p>
    <w:p w:rsidRPr="00FE48E2" w:rsidR="00D87E44" w:rsidP="00D226F4" w:rsidRDefault="00D87E44" w14:paraId="15457ECA"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This component of the Czech recovery and resilience plan contributes to addressing, in line with the “Strategy on adaptation to climate change in Czech Republic”, the challenges arising from climate change in the following priority areas: forest management, agriculture, water regime in the landscape, Water management and biodiversity. </w:t>
      </w:r>
    </w:p>
    <w:p w:rsidRPr="00FE48E2" w:rsidR="00D87E44" w:rsidP="00D226F4" w:rsidRDefault="00D87E44" w14:paraId="15457ECB" w14:textId="77777777">
      <w:pPr>
        <w:pBdr>
          <w:top w:val="nil"/>
          <w:left w:val="nil"/>
          <w:bottom w:val="nil"/>
          <w:right w:val="nil"/>
          <w:between w:val="nil"/>
        </w:pBdr>
        <w:spacing w:line="240" w:lineRule="auto"/>
        <w:jc w:val="both"/>
        <w:rPr>
          <w:rFonts w:eastAsia="Times New Roman"/>
          <w:noProof/>
          <w:color w:val="000000"/>
          <w:lang w:val="en-IE"/>
        </w:rPr>
      </w:pPr>
      <w:r w:rsidRPr="3413AB0B">
        <w:rPr>
          <w:rFonts w:eastAsia="Times New Roman"/>
          <w:noProof/>
          <w:lang w:val="en-IE"/>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r w:rsidRPr="764846BE">
        <w:rPr>
          <w:rFonts w:eastAsia="Times New Roman"/>
          <w:noProof/>
          <w:lang w:val="en-IE"/>
        </w:rPr>
        <w:t>).</w:t>
      </w:r>
    </w:p>
    <w:p w:rsidRPr="00FE48E2" w:rsidR="00D87E44" w:rsidP="00D226F4" w:rsidRDefault="00D87E44" w14:paraId="15457ECC" w14:textId="77777777">
      <w:pPr>
        <w:spacing w:line="240" w:lineRule="auto"/>
        <w:jc w:val="both"/>
        <w:rPr>
          <w:noProof/>
          <w:lang w:val="en-IE"/>
        </w:rPr>
      </w:pPr>
    </w:p>
    <w:p w:rsidRPr="00FE48E2" w:rsidR="00D87E44" w:rsidP="00D226F4" w:rsidRDefault="00D87E44" w14:paraId="15457ECD" w14:textId="77777777">
      <w:pPr>
        <w:pBdr>
          <w:top w:val="nil"/>
          <w:left w:val="nil"/>
          <w:bottom w:val="nil"/>
          <w:right w:val="nil"/>
          <w:between w:val="nil"/>
        </w:pBdr>
        <w:spacing w:line="240" w:lineRule="auto"/>
        <w:jc w:val="both"/>
        <w:rPr>
          <w:rFonts w:eastAsia="Times New Roman"/>
          <w:b/>
          <w:bCs/>
          <w:i/>
          <w:iCs/>
          <w:noProof/>
          <w:lang w:val="en-IE"/>
        </w:rPr>
      </w:pPr>
      <w:r w:rsidRPr="3A6A53CF">
        <w:rPr>
          <w:rFonts w:eastAsia="Times New Roman"/>
          <w:b/>
          <w:bCs/>
          <w:noProof/>
          <w:color w:val="000000" w:themeColor="text1"/>
          <w:u w:val="single"/>
          <w:lang w:val="en-IE"/>
        </w:rPr>
        <w:t>M.1. Description of the reforms and investments for non-repayable financial support</w:t>
      </w:r>
    </w:p>
    <w:p w:rsidRPr="00FE48E2" w:rsidR="00D87E44" w:rsidP="00D226F4" w:rsidRDefault="00D87E44" w14:paraId="15457ECE"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 xml:space="preserve">Investment 1: Flood protection </w:t>
      </w:r>
    </w:p>
    <w:p w:rsidRPr="00FE48E2" w:rsidR="00D87E44" w:rsidP="00D226F4" w:rsidRDefault="00D87E44" w14:paraId="15457ECF" w14:textId="77777777">
      <w:pPr>
        <w:pBdr>
          <w:top w:val="nil"/>
          <w:left w:val="nil"/>
          <w:bottom w:val="nil"/>
          <w:right w:val="nil"/>
          <w:between w:val="nil"/>
        </w:pBdr>
        <w:spacing w:line="240" w:lineRule="auto"/>
        <w:jc w:val="both"/>
        <w:rPr>
          <w:rFonts w:eastAsia="Times New Roman"/>
          <w:noProof/>
          <w:color w:val="000000"/>
          <w:lang w:val="en-IE"/>
        </w:rPr>
      </w:pPr>
      <w:r w:rsidRPr="00FE48E2">
        <w:rPr>
          <w:rFonts w:eastAsia="Times New Roman"/>
          <w:noProof/>
          <w:color w:val="000000" w:themeColor="text1"/>
          <w:lang w:val="en-IE"/>
        </w:rPr>
        <w:t>This measure</w:t>
      </w:r>
      <w:r w:rsidRPr="00FE48E2" w:rsidDel="00776B37">
        <w:rPr>
          <w:rFonts w:eastAsia="Times New Roman"/>
          <w:b/>
          <w:noProof/>
          <w:color w:val="000000" w:themeColor="text1"/>
          <w:lang w:val="en-IE"/>
        </w:rPr>
        <w:t xml:space="preserve"> </w:t>
      </w:r>
      <w:r w:rsidRPr="00FE48E2">
        <w:rPr>
          <w:rFonts w:eastAsia="Times New Roman"/>
          <w:noProof/>
          <w:color w:val="000000" w:themeColor="text1"/>
          <w:lang w:val="en-IE"/>
        </w:rPr>
        <w:t>aim</w:t>
      </w:r>
      <w:r>
        <w:rPr>
          <w:rFonts w:eastAsia="Times New Roman"/>
          <w:noProof/>
          <w:color w:val="000000" w:themeColor="text1"/>
          <w:lang w:val="en-IE"/>
        </w:rPr>
        <w:t>s</w:t>
      </w:r>
      <w:r w:rsidRPr="00FE48E2">
        <w:rPr>
          <w:rFonts w:eastAsia="Times New Roman"/>
          <w:noProof/>
          <w:color w:val="000000" w:themeColor="text1"/>
          <w:lang w:val="en-IE"/>
        </w:rPr>
        <w:t xml:space="preserve"> at protecting populated areas against the negative effects of flood, at improving water retention in the landscape, and at facilitating the natural treatment of existing water structures in built-up areas. The investment shall </w:t>
      </w:r>
      <w:r>
        <w:rPr>
          <w:rFonts w:eastAsia="Times New Roman"/>
          <w:noProof/>
          <w:color w:val="000000" w:themeColor="text1"/>
          <w:lang w:val="en-IE"/>
        </w:rPr>
        <w:t>support flood protection projects (e.g.</w:t>
      </w:r>
      <w:r w:rsidRPr="00FE48E2">
        <w:rPr>
          <w:rFonts w:eastAsia="Times New Roman"/>
          <w:noProof/>
          <w:color w:val="000000" w:themeColor="text1"/>
          <w:lang w:val="en-IE"/>
        </w:rPr>
        <w:t xml:space="preserve"> identification of water retention potential; establishment, treatment and reconstruction of polders and absorbing grass strips; construction and reconstruction of natural water reservoirs; </w:t>
      </w:r>
      <w:r>
        <w:rPr>
          <w:rFonts w:eastAsia="Times New Roman"/>
          <w:noProof/>
          <w:color w:val="000000" w:themeColor="text1"/>
          <w:lang w:val="en-IE"/>
        </w:rPr>
        <w:t>or</w:t>
      </w:r>
      <w:r w:rsidRPr="00FE48E2">
        <w:rPr>
          <w:rFonts w:eastAsia="Times New Roman"/>
          <w:noProof/>
          <w:color w:val="000000" w:themeColor="text1"/>
          <w:lang w:val="en-IE"/>
        </w:rPr>
        <w:t xml:space="preserve"> other measures to achieve a retardation of surface r</w:t>
      </w:r>
      <w:r w:rsidRPr="00FE48E2">
        <w:rPr>
          <w:rFonts w:eastAsia="Times New Roman"/>
          <w:noProof/>
          <w:color w:val="000000" w:themeColor="text1"/>
          <w:lang w:val="en-IE"/>
        </w:rPr>
        <w:t>un-off</w:t>
      </w:r>
      <w:r>
        <w:rPr>
          <w:rFonts w:eastAsia="Times New Roman"/>
          <w:noProof/>
          <w:color w:val="000000" w:themeColor="text1"/>
          <w:lang w:val="en-IE"/>
        </w:rPr>
        <w:t>,</w:t>
      </w:r>
      <w:r w:rsidRPr="00FE48E2">
        <w:rPr>
          <w:rFonts w:eastAsia="Times New Roman"/>
          <w:noProof/>
          <w:color w:val="000000" w:themeColor="text1"/>
          <w:lang w:val="en-IE"/>
        </w:rPr>
        <w:t>reduction in flood wave speed</w:t>
      </w:r>
      <w:r>
        <w:rPr>
          <w:rFonts w:eastAsia="Times New Roman"/>
          <w:noProof/>
          <w:color w:val="000000" w:themeColor="text1"/>
          <w:lang w:val="en-IE"/>
        </w:rPr>
        <w:t xml:space="preserve"> or improved rainwater management)</w:t>
      </w:r>
      <w:r w:rsidRPr="00FE48E2">
        <w:rPr>
          <w:rFonts w:eastAsia="Times New Roman"/>
          <w:noProof/>
          <w:color w:val="000000" w:themeColor="text1"/>
          <w:lang w:val="en-IE"/>
        </w:rPr>
        <w:t xml:space="preserve">. </w:t>
      </w:r>
    </w:p>
    <w:p w:rsidRPr="00FE48E2" w:rsidR="00D87E44" w:rsidP="00D226F4" w:rsidRDefault="00D87E44" w14:paraId="15457ED0"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The investment shall be completed by 31 December 2024. </w:t>
      </w:r>
    </w:p>
    <w:p w:rsidRPr="00FE48E2" w:rsidR="00D87E44" w:rsidP="00D226F4" w:rsidRDefault="00D87E44" w14:paraId="15457ED1"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 xml:space="preserve">Investment 2: Small watercourses and small water reservoirs </w:t>
      </w:r>
    </w:p>
    <w:p w:rsidRPr="00FE48E2" w:rsidR="00D87E44" w:rsidP="00D226F4" w:rsidRDefault="00D87E44" w14:paraId="15457ED2"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The measure aim</w:t>
      </w:r>
      <w:r>
        <w:rPr>
          <w:rFonts w:eastAsia="Times New Roman"/>
          <w:noProof/>
          <w:color w:val="000000"/>
          <w:szCs w:val="24"/>
          <w:lang w:val="en-IE"/>
        </w:rPr>
        <w:t>s</w:t>
      </w:r>
      <w:r w:rsidRPr="00FE48E2">
        <w:rPr>
          <w:rFonts w:eastAsia="Times New Roman"/>
          <w:noProof/>
          <w:color w:val="000000"/>
          <w:szCs w:val="24"/>
          <w:lang w:val="en-IE"/>
        </w:rPr>
        <w:t xml:space="preserve"> at a significant improvement in the morphological condition of existing small watercourses and small water reservoirs, in the revitalisation of small water courses, and in the construction of new close-to-nature small ponds. It contributes to water retention, </w:t>
      </w:r>
      <w:r w:rsidRPr="00FE48E2">
        <w:rPr>
          <w:rFonts w:eastAsia="Times New Roman"/>
          <w:noProof/>
          <w:szCs w:val="24"/>
          <w:lang w:val="en-IE"/>
        </w:rPr>
        <w:t xml:space="preserve">and it </w:t>
      </w:r>
      <w:r w:rsidRPr="00FE48E2">
        <w:rPr>
          <w:rFonts w:eastAsia="Times New Roman"/>
          <w:noProof/>
          <w:color w:val="000000"/>
          <w:szCs w:val="24"/>
          <w:lang w:val="en-IE"/>
        </w:rPr>
        <w:t>increases</w:t>
      </w:r>
      <w:r w:rsidRPr="00FE48E2">
        <w:rPr>
          <w:rFonts w:eastAsia="Times New Roman"/>
          <w:noProof/>
          <w:szCs w:val="24"/>
          <w:lang w:val="en-IE"/>
        </w:rPr>
        <w:t xml:space="preserve"> </w:t>
      </w:r>
      <w:r w:rsidRPr="00FE48E2">
        <w:rPr>
          <w:rFonts w:eastAsia="Times New Roman"/>
          <w:noProof/>
          <w:color w:val="000000"/>
          <w:szCs w:val="24"/>
          <w:lang w:val="en-IE"/>
        </w:rPr>
        <w:t>the development of coastal vegetation and water retention in water courses. It also leads</w:t>
      </w:r>
      <w:r w:rsidRPr="00FE48E2">
        <w:rPr>
          <w:rFonts w:eastAsia="Times New Roman"/>
          <w:noProof/>
          <w:szCs w:val="24"/>
          <w:lang w:val="en-IE"/>
        </w:rPr>
        <w:t xml:space="preserve"> </w:t>
      </w:r>
      <w:r w:rsidRPr="00FE48E2">
        <w:rPr>
          <w:rFonts w:eastAsia="Times New Roman"/>
          <w:noProof/>
          <w:color w:val="000000"/>
          <w:szCs w:val="24"/>
          <w:lang w:val="en-IE"/>
        </w:rPr>
        <w:t xml:space="preserve">to increased safety in the event of flows in towns and municipalities. </w:t>
      </w:r>
    </w:p>
    <w:p w:rsidRPr="00FE48E2" w:rsidR="00D87E44" w:rsidP="00D226F4" w:rsidRDefault="00D87E44" w14:paraId="15457ED3"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The investment shall be completed by 31 December 2023. </w:t>
      </w:r>
    </w:p>
    <w:p w:rsidRPr="00FE48E2" w:rsidR="00D87E44" w:rsidP="00D226F4" w:rsidRDefault="00D87E44" w14:paraId="15457ED4" w14:textId="77777777">
      <w:pPr>
        <w:pBdr>
          <w:top w:val="nil"/>
          <w:left w:val="nil"/>
          <w:bottom w:val="nil"/>
          <w:right w:val="nil"/>
          <w:between w:val="nil"/>
        </w:pBdr>
        <w:spacing w:line="240" w:lineRule="auto"/>
        <w:jc w:val="both"/>
        <w:rPr>
          <w:rFonts w:eastAsia="Times New Roman"/>
          <w:b/>
          <w:noProof/>
          <w:color w:val="000000"/>
          <w:lang w:val="en-IE"/>
        </w:rPr>
      </w:pPr>
      <w:r w:rsidRPr="41B14D03">
        <w:rPr>
          <w:rFonts w:eastAsia="Times New Roman"/>
          <w:b/>
          <w:noProof/>
          <w:color w:val="000000" w:themeColor="text1"/>
          <w:lang w:val="en-IE"/>
        </w:rPr>
        <w:t>Investment 3</w:t>
      </w:r>
      <w:r w:rsidRPr="41B14D03">
        <w:rPr>
          <w:rFonts w:eastAsia="Times New Roman"/>
          <w:noProof/>
          <w:lang w:val="en-IE"/>
        </w:rPr>
        <w:t xml:space="preserve">: </w:t>
      </w:r>
      <w:r w:rsidRPr="41B14D03">
        <w:rPr>
          <w:rFonts w:eastAsia="Times New Roman"/>
          <w:b/>
          <w:noProof/>
          <w:color w:val="000000" w:themeColor="text1"/>
          <w:lang w:val="en-IE"/>
        </w:rPr>
        <w:t xml:space="preserve">Land consolidation </w:t>
      </w:r>
    </w:p>
    <w:p w:rsidRPr="00FE48E2" w:rsidR="00D87E44" w:rsidP="00D226F4" w:rsidRDefault="00D87E44" w14:paraId="15457ED5" w14:textId="77777777">
      <w:pPr>
        <w:pBdr>
          <w:top w:val="nil"/>
          <w:left w:val="nil"/>
          <w:bottom w:val="nil"/>
          <w:right w:val="nil"/>
          <w:between w:val="nil"/>
        </w:pBdr>
        <w:spacing w:line="240" w:lineRule="auto"/>
        <w:jc w:val="both"/>
        <w:rPr>
          <w:rFonts w:eastAsia="Times New Roman"/>
          <w:noProof/>
          <w:color w:val="000000"/>
          <w:lang w:val="en-IE"/>
        </w:rPr>
      </w:pPr>
      <w:r w:rsidRPr="31E9347F">
        <w:rPr>
          <w:rFonts w:eastAsia="Times New Roman"/>
          <w:noProof/>
          <w:color w:val="000000" w:themeColor="text1"/>
          <w:lang w:val="en-IE"/>
        </w:rPr>
        <w:t xml:space="preserve">The measure aims at increasing the ecological stability of the landscape and its resilience to climate change, at promoting biodiversity and non-productive functions of the landscape and at protecting agricultural lands and water resources. </w:t>
      </w:r>
      <w:r>
        <w:rPr>
          <w:rFonts w:eastAsia="Times New Roman"/>
          <w:noProof/>
          <w:color w:val="000000" w:themeColor="text1"/>
          <w:lang w:val="en-IE"/>
        </w:rPr>
        <w:t xml:space="preserve">The measures focus on </w:t>
      </w:r>
      <w:r w:rsidRPr="31E9347F">
        <w:rPr>
          <w:rFonts w:eastAsia="Times New Roman"/>
          <w:noProof/>
          <w:color w:val="000000" w:themeColor="text1"/>
          <w:lang w:val="en-IE"/>
        </w:rPr>
        <w:t>protecting soil and water</w:t>
      </w:r>
      <w:r w:rsidRPr="766EFB00">
        <w:rPr>
          <w:rFonts w:eastAsia="Times New Roman"/>
          <w:noProof/>
          <w:color w:val="000000" w:themeColor="text1"/>
          <w:lang w:val="en-IE"/>
        </w:rPr>
        <w:t xml:space="preserve"> by implementing </w:t>
      </w:r>
      <w:r w:rsidRPr="31E9347F">
        <w:rPr>
          <w:rFonts w:eastAsia="Times New Roman"/>
          <w:noProof/>
          <w:color w:val="000000" w:themeColor="text1"/>
          <w:lang w:val="en-IE"/>
        </w:rPr>
        <w:t xml:space="preserve">anti-erosion measures </w:t>
      </w:r>
      <w:r w:rsidRPr="7F5950BA">
        <w:rPr>
          <w:rFonts w:eastAsia="Times New Roman"/>
          <w:noProof/>
          <w:color w:val="000000" w:themeColor="text1"/>
          <w:lang w:val="en-IE"/>
        </w:rPr>
        <w:t>that may include but are not limited to</w:t>
      </w:r>
      <w:r w:rsidRPr="7DC1F37F">
        <w:rPr>
          <w:rFonts w:eastAsia="Times New Roman"/>
          <w:noProof/>
          <w:color w:val="000000" w:themeColor="text1"/>
          <w:lang w:val="en-IE"/>
        </w:rPr>
        <w:t xml:space="preserve"> </w:t>
      </w:r>
      <w:r w:rsidRPr="31E9347F">
        <w:rPr>
          <w:rFonts w:eastAsia="Times New Roman"/>
          <w:noProof/>
          <w:color w:val="000000" w:themeColor="text1"/>
          <w:lang w:val="en-IE"/>
        </w:rPr>
        <w:t>balks, diagonals, trenches</w:t>
      </w:r>
      <w:r w:rsidRPr="7DC1F37F">
        <w:rPr>
          <w:rFonts w:eastAsia="Times New Roman"/>
          <w:noProof/>
          <w:color w:val="000000" w:themeColor="text1"/>
          <w:lang w:val="en-IE"/>
        </w:rPr>
        <w:t xml:space="preserve"> or</w:t>
      </w:r>
      <w:r w:rsidRPr="31E9347F">
        <w:rPr>
          <w:rFonts w:eastAsia="Times New Roman"/>
          <w:noProof/>
          <w:color w:val="000000" w:themeColor="text1"/>
          <w:lang w:val="en-IE"/>
        </w:rPr>
        <w:t xml:space="preserve"> grass strips</w:t>
      </w:r>
      <w:r w:rsidRPr="766EFB00">
        <w:rPr>
          <w:rFonts w:eastAsia="Times New Roman"/>
          <w:noProof/>
          <w:color w:val="000000" w:themeColor="text1"/>
          <w:lang w:val="en-IE"/>
        </w:rPr>
        <w:t xml:space="preserve">. </w:t>
      </w:r>
      <w:r w:rsidRPr="31E9347F">
        <w:rPr>
          <w:rFonts w:eastAsia="Times New Roman"/>
          <w:noProof/>
          <w:color w:val="000000" w:themeColor="text1"/>
          <w:lang w:val="en-IE"/>
        </w:rPr>
        <w:t xml:space="preserve">This investment shall also include the implementation of green infrastructure measures supporting biodiversity </w:t>
      </w:r>
      <w:r w:rsidRPr="5C6519E7">
        <w:rPr>
          <w:rFonts w:eastAsia="Times New Roman"/>
          <w:noProof/>
          <w:color w:val="000000" w:themeColor="text1"/>
          <w:lang w:val="en-IE"/>
        </w:rPr>
        <w:t>which may</w:t>
      </w:r>
      <w:r w:rsidRPr="2CCF95F7">
        <w:rPr>
          <w:rFonts w:eastAsia="Times New Roman"/>
          <w:noProof/>
          <w:color w:val="000000" w:themeColor="text1"/>
          <w:lang w:val="en-IE"/>
        </w:rPr>
        <w:t xml:space="preserve"> include, but </w:t>
      </w:r>
      <w:r w:rsidRPr="5C6519E7">
        <w:rPr>
          <w:rFonts w:eastAsia="Times New Roman"/>
          <w:noProof/>
          <w:color w:val="000000" w:themeColor="text1"/>
          <w:lang w:val="en-IE"/>
        </w:rPr>
        <w:t>are</w:t>
      </w:r>
      <w:r w:rsidRPr="2CCF95F7">
        <w:rPr>
          <w:rFonts w:eastAsia="Times New Roman"/>
          <w:noProof/>
          <w:color w:val="000000" w:themeColor="text1"/>
          <w:lang w:val="en-IE"/>
        </w:rPr>
        <w:t xml:space="preserve"> not limited to </w:t>
      </w:r>
      <w:r w:rsidRPr="31E9347F">
        <w:rPr>
          <w:rFonts w:eastAsia="Times New Roman"/>
          <w:noProof/>
          <w:color w:val="000000" w:themeColor="text1"/>
          <w:lang w:val="en-IE"/>
        </w:rPr>
        <w:t xml:space="preserve">bio centres and bio corridors. </w:t>
      </w:r>
    </w:p>
    <w:p w:rsidR="00D87E44" w:rsidP="00D226F4" w:rsidRDefault="00D87E44" w14:paraId="15457ED6" w14:textId="77777777">
      <w:pPr>
        <w:pBdr>
          <w:top w:val="nil"/>
          <w:left w:val="nil"/>
          <w:bottom w:val="nil"/>
          <w:right w:val="nil"/>
          <w:between w:val="nil"/>
        </w:pBdr>
        <w:spacing w:line="240" w:lineRule="auto"/>
        <w:jc w:val="both"/>
        <w:rPr>
          <w:rFonts w:eastAsia="Times New Roman"/>
          <w:b/>
          <w:bCs/>
          <w:noProof/>
          <w:color w:val="000000" w:themeColor="text1"/>
          <w:lang w:val="en-IE"/>
        </w:rPr>
      </w:pPr>
      <w:r w:rsidRPr="764846BE">
        <w:rPr>
          <w:rFonts w:eastAsia="Times New Roman"/>
          <w:noProof/>
          <w:color w:val="000000" w:themeColor="text1"/>
          <w:lang w:val="en-IE"/>
        </w:rPr>
        <w:t xml:space="preserve">The investment shall be completed by 31 December 2024. </w:t>
      </w:r>
    </w:p>
    <w:p w:rsidRPr="00FE48E2" w:rsidR="00D87E44" w:rsidP="00D226F4" w:rsidRDefault="00D87E44" w14:paraId="15457ED7"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b/>
          <w:noProof/>
          <w:color w:val="000000"/>
          <w:szCs w:val="24"/>
          <w:lang w:val="en-IE"/>
        </w:rPr>
        <w:t>Investment 4</w:t>
      </w:r>
      <w:r w:rsidRPr="00FE48E2">
        <w:rPr>
          <w:rFonts w:eastAsia="Times New Roman"/>
          <w:noProof/>
          <w:szCs w:val="24"/>
          <w:lang w:val="en-IE"/>
        </w:rPr>
        <w:t xml:space="preserve">: </w:t>
      </w:r>
      <w:r w:rsidRPr="00FE48E2">
        <w:rPr>
          <w:rFonts w:eastAsia="Times New Roman"/>
          <w:b/>
          <w:noProof/>
          <w:color w:val="000000"/>
          <w:szCs w:val="24"/>
          <w:lang w:val="en-IE"/>
        </w:rPr>
        <w:t xml:space="preserve">Building forests resilient to climate change </w:t>
      </w:r>
    </w:p>
    <w:p w:rsidRPr="00FE48E2" w:rsidR="00D87E44" w:rsidP="00D226F4" w:rsidRDefault="00D87E44" w14:paraId="15457ED8" w14:textId="77777777">
      <w:pPr>
        <w:pBdr>
          <w:top w:val="nil"/>
          <w:left w:val="nil"/>
          <w:bottom w:val="nil"/>
          <w:right w:val="nil"/>
          <w:between w:val="nil"/>
        </w:pBdr>
        <w:spacing w:line="240" w:lineRule="auto"/>
        <w:jc w:val="both"/>
        <w:rPr>
          <w:rFonts w:eastAsia="Times New Roman"/>
          <w:noProof/>
          <w:color w:val="000000"/>
          <w:lang w:val="en-IE"/>
        </w:rPr>
      </w:pPr>
      <w:r w:rsidRPr="00FE48E2">
        <w:rPr>
          <w:rFonts w:eastAsia="Times New Roman"/>
          <w:noProof/>
          <w:color w:val="000000" w:themeColor="text1"/>
          <w:lang w:val="en-IE"/>
        </w:rPr>
        <w:lastRenderedPageBreak/>
        <w:t>This measure aim</w:t>
      </w:r>
      <w:r>
        <w:rPr>
          <w:rFonts w:eastAsia="Times New Roman"/>
          <w:noProof/>
          <w:color w:val="000000" w:themeColor="text1"/>
          <w:lang w:val="en-IE"/>
        </w:rPr>
        <w:t>s</w:t>
      </w:r>
      <w:r w:rsidRPr="00FE48E2">
        <w:rPr>
          <w:rFonts w:eastAsia="Times New Roman"/>
          <w:noProof/>
          <w:color w:val="000000" w:themeColor="text1"/>
          <w:lang w:val="en-IE"/>
        </w:rPr>
        <w:t xml:space="preserve"> at restoring a stable forest by planting native and heterogeneous species, while aiming for multigenerational and spatial composition of the forest to be resilient to climate change, and consistent with the National Action Plan for Climate Change Adaptation. This investment</w:t>
      </w:r>
      <w:r w:rsidRPr="00FE48E2" w:rsidDel="00DD0B66">
        <w:rPr>
          <w:rFonts w:eastAsia="Times New Roman"/>
          <w:noProof/>
          <w:color w:val="000000" w:themeColor="text1"/>
          <w:lang w:val="en-IE"/>
        </w:rPr>
        <w:t xml:space="preserve"> </w:t>
      </w:r>
      <w:r w:rsidRPr="00FE48E2">
        <w:rPr>
          <w:rFonts w:eastAsia="Times New Roman"/>
          <w:noProof/>
          <w:color w:val="000000" w:themeColor="text1"/>
          <w:lang w:val="en-IE"/>
        </w:rPr>
        <w:t>shall be</w:t>
      </w:r>
      <w:r w:rsidRPr="00FE48E2" w:rsidDel="00DD0B66">
        <w:rPr>
          <w:rFonts w:eastAsia="Times New Roman"/>
          <w:noProof/>
          <w:color w:val="000000" w:themeColor="text1"/>
          <w:lang w:val="en-IE"/>
        </w:rPr>
        <w:t xml:space="preserve"> </w:t>
      </w:r>
      <w:r w:rsidRPr="00FE48E2">
        <w:rPr>
          <w:rFonts w:eastAsia="Times New Roman"/>
          <w:noProof/>
          <w:color w:val="000000" w:themeColor="text1"/>
          <w:lang w:val="en-IE"/>
        </w:rPr>
        <w:t xml:space="preserve">complemented by an amendment to the ministerial decree on forest management planning, which shall specifically pave the way for multigenerational, multispecies and resilient forests. </w:t>
      </w:r>
    </w:p>
    <w:p w:rsidRPr="00FE48E2" w:rsidR="00D87E44" w:rsidP="00D226F4" w:rsidRDefault="00D87E44" w14:paraId="15457ED9"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The investment shall be completed by 30 September 2024. </w:t>
      </w:r>
    </w:p>
    <w:p w:rsidR="00D87E44" w:rsidRDefault="00D87E44" w14:paraId="15457EDA" w14:textId="77777777">
      <w:pPr>
        <w:spacing w:before="0" w:after="160" w:line="259" w:lineRule="auto"/>
        <w:rPr>
          <w:rFonts w:eastAsia="Times New Roman"/>
          <w:b/>
          <w:noProof/>
          <w:color w:val="000000"/>
          <w:szCs w:val="24"/>
          <w:lang w:val="en-IE"/>
        </w:rPr>
      </w:pPr>
      <w:r>
        <w:rPr>
          <w:rFonts w:eastAsia="Times New Roman"/>
          <w:b/>
          <w:noProof/>
          <w:color w:val="000000"/>
          <w:szCs w:val="24"/>
          <w:lang w:val="en-IE"/>
        </w:rPr>
        <w:br w:type="page"/>
      </w:r>
    </w:p>
    <w:p w:rsidRPr="00FE48E2" w:rsidR="00D87E44" w:rsidP="00D226F4" w:rsidRDefault="00D87E44" w14:paraId="15457EDB"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lastRenderedPageBreak/>
        <w:t>Investment 5</w:t>
      </w:r>
      <w:r w:rsidRPr="00FE48E2">
        <w:rPr>
          <w:rFonts w:eastAsia="Times New Roman"/>
          <w:noProof/>
          <w:szCs w:val="24"/>
          <w:lang w:val="en-IE"/>
        </w:rPr>
        <w:t xml:space="preserve">: </w:t>
      </w:r>
      <w:r w:rsidRPr="00FE48E2">
        <w:rPr>
          <w:rFonts w:eastAsia="Times New Roman"/>
          <w:b/>
          <w:noProof/>
          <w:color w:val="000000"/>
          <w:szCs w:val="24"/>
          <w:lang w:val="en-IE"/>
        </w:rPr>
        <w:t xml:space="preserve">Water retention in forest </w:t>
      </w:r>
    </w:p>
    <w:p w:rsidRPr="00FE48E2" w:rsidR="00D87E44" w:rsidP="00D226F4" w:rsidRDefault="00D87E44" w14:paraId="15457EDC"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This measure aim</w:t>
      </w:r>
      <w:r>
        <w:rPr>
          <w:rFonts w:eastAsia="Times New Roman"/>
          <w:noProof/>
          <w:color w:val="000000"/>
          <w:szCs w:val="24"/>
          <w:lang w:val="en-IE"/>
        </w:rPr>
        <w:t>s</w:t>
      </w:r>
      <w:r w:rsidRPr="00FE48E2">
        <w:rPr>
          <w:rFonts w:eastAsia="Times New Roman"/>
          <w:noProof/>
          <w:color w:val="000000"/>
          <w:szCs w:val="24"/>
          <w:lang w:val="en-IE"/>
        </w:rPr>
        <w:t xml:space="preserve"> at strengthening water retention capacity in forests through the implementation of projects improving soil, water and microclimatic conditions such as treatment of forest watercourses, small water reservoirs in forests, and natural water retention measures aimed at slowing down the runoff, and through the monitoring of accelerated erosion and the protection of the shedding basins. </w:t>
      </w:r>
    </w:p>
    <w:p w:rsidRPr="00FE48E2" w:rsidR="00D87E44" w:rsidP="00D226F4" w:rsidRDefault="00D87E44" w14:paraId="15457EDD" w14:textId="77777777">
      <w:pPr>
        <w:pBdr>
          <w:top w:val="nil"/>
          <w:left w:val="nil"/>
          <w:bottom w:val="nil"/>
          <w:right w:val="nil"/>
          <w:between w:val="nil"/>
        </w:pBdr>
        <w:spacing w:line="240" w:lineRule="auto"/>
        <w:rPr>
          <w:rFonts w:eastAsia="Times New Roman"/>
          <w:noProof/>
          <w:color w:val="000000"/>
          <w:szCs w:val="24"/>
          <w:u w:val="single"/>
          <w:lang w:val="en-IE"/>
        </w:rPr>
        <w:sectPr w:rsidRPr="00FE48E2" w:rsidR="00C16C1F" w:rsidSect="00D226F4">
          <w:headerReference w:type="even" r:id="Ra17e8acde1454903"/>
          <w:headerReference w:type="default" r:id="Rb75300eccf784a2e"/>
          <w:footerReference w:type="even" r:id="R16e2d1c5e2d3499a"/>
          <w:footerReference w:type="default" r:id="Rd70b56fd6e5643a8"/>
          <w:headerReference w:type="first" r:id="R829c1cef39dc42f3"/>
          <w:footerReference w:type="first" r:id="R57b379c5d307491e"/>
          <w:pgSz w:w="11907" w:h="16839"/>
          <w:pgMar w:top="1134" w:right="1134" w:bottom="1134" w:left="1134" w:header="567" w:footer="567" w:gutter="0"/>
          <w:cols w:space="720"/>
          <w:docGrid w:linePitch="326"/>
        </w:sectPr>
      </w:pPr>
      <w:r w:rsidRPr="00FE48E2">
        <w:rPr>
          <w:rFonts w:eastAsia="Times New Roman"/>
          <w:noProof/>
          <w:color w:val="000000"/>
          <w:szCs w:val="24"/>
          <w:lang w:val="en-IE"/>
        </w:rPr>
        <w:t>The investment shall be completed by 31 March 2024.</w:t>
      </w:r>
    </w:p>
    <w:p w:rsidRPr="00FE48E2" w:rsidR="00D87E44" w:rsidP="00D226F4" w:rsidRDefault="00D87E44" w14:paraId="15457EDE" w14:textId="77777777">
      <w:pPr>
        <w:pBdr>
          <w:top w:val="nil"/>
          <w:left w:val="nil"/>
          <w:bottom w:val="nil"/>
          <w:right w:val="nil"/>
          <w:between w:val="nil"/>
        </w:pBdr>
        <w:spacing w:line="240" w:lineRule="auto"/>
        <w:jc w:val="both"/>
        <w:rPr>
          <w:rFonts w:eastAsia="Times New Roman"/>
          <w:b/>
          <w:bCs/>
          <w:noProof/>
          <w:color w:val="000000"/>
          <w:u w:val="single"/>
          <w:lang w:val="en-IE"/>
        </w:rPr>
      </w:pPr>
      <w:r w:rsidRPr="3A6A53CF">
        <w:rPr>
          <w:rFonts w:eastAsia="Times New Roman"/>
          <w:b/>
          <w:bCs/>
          <w:noProof/>
          <w:color w:val="000000" w:themeColor="text1"/>
          <w:u w:val="single"/>
          <w:lang w:val="en-IE"/>
        </w:rPr>
        <w:lastRenderedPageBreak/>
        <w:t>M.2. Milestones, targets, indicators, and timetable for monitoring and implementation for non-repayable financial support</w:t>
      </w:r>
    </w:p>
    <w:tbl>
      <w:tblPr>
        <w:tblW w:w="15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559"/>
        <w:gridCol w:w="993"/>
        <w:gridCol w:w="1417"/>
        <w:gridCol w:w="1592"/>
        <w:gridCol w:w="1385"/>
        <w:gridCol w:w="992"/>
        <w:gridCol w:w="992"/>
        <w:gridCol w:w="851"/>
        <w:gridCol w:w="850"/>
        <w:gridCol w:w="4134"/>
      </w:tblGrid>
      <w:tr w:rsidRPr="00FE48E2" w:rsidR="00E3458A" w:rsidTr="009F3A8B" w14:paraId="15457EE7" w14:textId="77777777">
        <w:trPr>
          <w:trHeight w:val="945"/>
          <w:tblHeader/>
          <w:jc w:val="center"/>
        </w:trPr>
        <w:tc>
          <w:tcPr>
            <w:tcW w:w="704" w:type="dxa"/>
            <w:vMerge w:val="restart"/>
            <w:shd w:val="clear" w:color="auto" w:fill="BDD7EE"/>
            <w:vAlign w:val="center"/>
          </w:tcPr>
          <w:p w:rsidRPr="00FE48E2" w:rsidR="00D87E44" w:rsidRDefault="00D87E44" w14:paraId="15457EDF"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Seq. Num.</w:t>
            </w:r>
          </w:p>
        </w:tc>
        <w:tc>
          <w:tcPr>
            <w:tcW w:w="1559" w:type="dxa"/>
            <w:vMerge w:val="restart"/>
            <w:shd w:val="clear" w:color="auto" w:fill="BDD7EE"/>
            <w:vAlign w:val="center"/>
          </w:tcPr>
          <w:p w:rsidRPr="00FE48E2" w:rsidR="00D87E44" w:rsidRDefault="00D87E44" w14:paraId="15457EE0"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Related Measure (Reform or Investment)</w:t>
            </w:r>
          </w:p>
        </w:tc>
        <w:tc>
          <w:tcPr>
            <w:tcW w:w="993" w:type="dxa"/>
            <w:vMerge w:val="restart"/>
            <w:shd w:val="clear" w:color="auto" w:fill="BDD7EE"/>
            <w:vAlign w:val="center"/>
          </w:tcPr>
          <w:p w:rsidRPr="00FE48E2" w:rsidR="00D87E44" w:rsidRDefault="00D87E44" w14:paraId="15457EE1"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Milestone / Target</w:t>
            </w:r>
          </w:p>
        </w:tc>
        <w:tc>
          <w:tcPr>
            <w:tcW w:w="1417" w:type="dxa"/>
            <w:vMerge w:val="restart"/>
            <w:shd w:val="clear" w:color="auto" w:fill="BDD7EE"/>
            <w:vAlign w:val="center"/>
          </w:tcPr>
          <w:p w:rsidRPr="00FE48E2" w:rsidR="00D87E44" w:rsidRDefault="00D87E44" w14:paraId="15457EE2"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Name</w:t>
            </w:r>
          </w:p>
        </w:tc>
        <w:tc>
          <w:tcPr>
            <w:tcW w:w="1592" w:type="dxa"/>
            <w:vMerge w:val="restart"/>
            <w:shd w:val="clear" w:color="auto" w:fill="BDD7EE"/>
            <w:vAlign w:val="center"/>
          </w:tcPr>
          <w:p w:rsidRPr="00FE48E2" w:rsidR="00D87E44" w:rsidRDefault="00D87E44" w14:paraId="15457EE3"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Qualitative indicators </w:t>
            </w:r>
            <w:r w:rsidRPr="00FE48E2">
              <w:rPr>
                <w:rFonts w:ascii="Calibri" w:hAnsi="Calibri"/>
                <w:noProof/>
                <w:sz w:val="18"/>
                <w:szCs w:val="18"/>
                <w:lang w:val="en-IE"/>
              </w:rPr>
              <w:br/>
            </w:r>
            <w:r w:rsidRPr="00FE48E2">
              <w:rPr>
                <w:rFonts w:eastAsia="Times New Roman"/>
                <w:b/>
                <w:noProof/>
                <w:sz w:val="18"/>
                <w:szCs w:val="18"/>
                <w:lang w:val="en-IE"/>
              </w:rPr>
              <w:t>(for milestones)</w:t>
            </w:r>
          </w:p>
        </w:tc>
        <w:tc>
          <w:tcPr>
            <w:tcW w:w="2377" w:type="dxa"/>
            <w:gridSpan w:val="2"/>
            <w:shd w:val="clear" w:color="auto" w:fill="BDD7EE"/>
            <w:vAlign w:val="center"/>
          </w:tcPr>
          <w:p w:rsidRPr="00FE48E2" w:rsidR="00D87E44" w:rsidRDefault="00D87E44" w14:paraId="15457EE4"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Quantitative indicators </w:t>
            </w:r>
            <w:r w:rsidRPr="00FE48E2">
              <w:rPr>
                <w:rFonts w:ascii="Calibri" w:hAnsi="Calibri"/>
                <w:noProof/>
                <w:sz w:val="18"/>
                <w:szCs w:val="18"/>
                <w:lang w:val="en-IE"/>
              </w:rPr>
              <w:br/>
            </w:r>
            <w:r w:rsidRPr="00FE48E2">
              <w:rPr>
                <w:rFonts w:eastAsia="Times New Roman"/>
                <w:b/>
                <w:noProof/>
                <w:sz w:val="18"/>
                <w:szCs w:val="18"/>
                <w:lang w:val="en-IE"/>
              </w:rPr>
              <w:t>(for targets)</w:t>
            </w:r>
          </w:p>
        </w:tc>
        <w:tc>
          <w:tcPr>
            <w:tcW w:w="2693" w:type="dxa"/>
            <w:gridSpan w:val="3"/>
            <w:shd w:val="clear" w:color="auto" w:fill="BDD7EE"/>
            <w:vAlign w:val="center"/>
          </w:tcPr>
          <w:p w:rsidRPr="00FE48E2" w:rsidR="00D87E44" w:rsidRDefault="00D87E44" w14:paraId="15457EE5"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 xml:space="preserve">Indicative timeline for completion </w:t>
            </w:r>
          </w:p>
        </w:tc>
        <w:tc>
          <w:tcPr>
            <w:tcW w:w="4134" w:type="dxa"/>
            <w:vMerge w:val="restart"/>
            <w:shd w:val="clear" w:color="auto" w:fill="BDD7EE"/>
            <w:vAlign w:val="center"/>
          </w:tcPr>
          <w:p w:rsidRPr="00FE48E2" w:rsidR="00D87E44" w:rsidRDefault="00D87E44" w14:paraId="15457EE6" w14:textId="77777777">
            <w:pPr>
              <w:spacing w:line="240" w:lineRule="auto"/>
              <w:jc w:val="center"/>
              <w:rPr>
                <w:rFonts w:ascii="Calibri" w:hAnsi="Calibri"/>
                <w:noProof/>
                <w:sz w:val="18"/>
                <w:szCs w:val="18"/>
                <w:lang w:val="en-IE"/>
              </w:rPr>
            </w:pPr>
            <w:r w:rsidRPr="00FE48E2">
              <w:rPr>
                <w:rFonts w:eastAsia="Times New Roman"/>
                <w:b/>
                <w:noProof/>
                <w:sz w:val="18"/>
                <w:szCs w:val="18"/>
                <w:lang w:val="en-IE"/>
              </w:rPr>
              <w:t>Description of each milestone and target</w:t>
            </w:r>
          </w:p>
        </w:tc>
      </w:tr>
      <w:tr w:rsidRPr="00FE48E2" w:rsidR="00E3458A" w:rsidTr="009F3A8B" w14:paraId="15457EF3" w14:textId="77777777">
        <w:trPr>
          <w:trHeight w:val="90"/>
          <w:tblHeader/>
          <w:jc w:val="center"/>
        </w:trPr>
        <w:tc>
          <w:tcPr>
            <w:tcW w:w="704" w:type="dxa"/>
            <w:vMerge/>
            <w:vAlign w:val="center"/>
          </w:tcPr>
          <w:p w:rsidRPr="00FE48E2" w:rsidR="00D87E44" w:rsidRDefault="00D87E44" w14:paraId="15457EE8" w14:textId="77777777">
            <w:pPr>
              <w:spacing w:line="240" w:lineRule="auto"/>
              <w:rPr>
                <w:rFonts w:ascii="Calibri" w:hAnsi="Calibri"/>
                <w:noProof/>
                <w:sz w:val="18"/>
                <w:szCs w:val="18"/>
                <w:lang w:val="en-IE"/>
              </w:rPr>
            </w:pPr>
          </w:p>
        </w:tc>
        <w:tc>
          <w:tcPr>
            <w:tcW w:w="1559" w:type="dxa"/>
            <w:vMerge/>
            <w:vAlign w:val="center"/>
          </w:tcPr>
          <w:p w:rsidRPr="00FE48E2" w:rsidR="00D87E44" w:rsidRDefault="00D87E44" w14:paraId="15457EE9" w14:textId="77777777">
            <w:pPr>
              <w:spacing w:line="240" w:lineRule="auto"/>
              <w:rPr>
                <w:rFonts w:ascii="Calibri" w:hAnsi="Calibri"/>
                <w:noProof/>
                <w:sz w:val="18"/>
                <w:szCs w:val="18"/>
                <w:lang w:val="en-IE"/>
              </w:rPr>
            </w:pPr>
          </w:p>
        </w:tc>
        <w:tc>
          <w:tcPr>
            <w:tcW w:w="993" w:type="dxa"/>
            <w:vMerge/>
            <w:vAlign w:val="center"/>
          </w:tcPr>
          <w:p w:rsidRPr="00FE48E2" w:rsidR="00D87E44" w:rsidRDefault="00D87E44" w14:paraId="15457EEA" w14:textId="77777777">
            <w:pPr>
              <w:spacing w:line="240" w:lineRule="auto"/>
              <w:rPr>
                <w:rFonts w:ascii="Calibri" w:hAnsi="Calibri"/>
                <w:noProof/>
                <w:sz w:val="18"/>
                <w:szCs w:val="18"/>
                <w:lang w:val="en-IE"/>
              </w:rPr>
            </w:pPr>
          </w:p>
        </w:tc>
        <w:tc>
          <w:tcPr>
            <w:tcW w:w="1417" w:type="dxa"/>
            <w:vMerge/>
            <w:vAlign w:val="center"/>
          </w:tcPr>
          <w:p w:rsidRPr="00FE48E2" w:rsidR="00D87E44" w:rsidRDefault="00D87E44" w14:paraId="15457EEB" w14:textId="77777777">
            <w:pPr>
              <w:spacing w:line="240" w:lineRule="auto"/>
              <w:rPr>
                <w:rFonts w:ascii="Calibri" w:hAnsi="Calibri"/>
                <w:noProof/>
                <w:sz w:val="18"/>
                <w:szCs w:val="18"/>
                <w:lang w:val="en-IE"/>
              </w:rPr>
            </w:pPr>
          </w:p>
        </w:tc>
        <w:tc>
          <w:tcPr>
            <w:tcW w:w="1592" w:type="dxa"/>
            <w:vMerge/>
            <w:vAlign w:val="center"/>
          </w:tcPr>
          <w:p w:rsidRPr="00FE48E2" w:rsidR="00D87E44" w:rsidRDefault="00D87E44" w14:paraId="15457EEC" w14:textId="77777777">
            <w:pPr>
              <w:spacing w:line="240" w:lineRule="auto"/>
              <w:rPr>
                <w:rFonts w:ascii="Calibri" w:hAnsi="Calibri"/>
                <w:noProof/>
                <w:sz w:val="18"/>
                <w:szCs w:val="18"/>
                <w:lang w:val="en-IE"/>
              </w:rPr>
            </w:pPr>
          </w:p>
        </w:tc>
        <w:tc>
          <w:tcPr>
            <w:tcW w:w="1385" w:type="dxa"/>
            <w:shd w:val="clear" w:color="auto" w:fill="BDD7EE"/>
            <w:vAlign w:val="center"/>
          </w:tcPr>
          <w:p w:rsidRPr="00C86F28" w:rsidR="00D87E44" w:rsidRDefault="00D87E44" w14:paraId="15457EED" w14:textId="77777777">
            <w:pPr>
              <w:spacing w:line="240" w:lineRule="auto"/>
              <w:jc w:val="center"/>
              <w:rPr>
                <w:rFonts w:ascii="Calibri" w:hAnsi="Calibri"/>
                <w:noProof/>
                <w:sz w:val="18"/>
                <w:szCs w:val="18"/>
                <w:lang w:val="en-IE"/>
              </w:rPr>
            </w:pPr>
            <w:r w:rsidRPr="00C86F28">
              <w:rPr>
                <w:rFonts w:eastAsia="Times New Roman"/>
                <w:b/>
                <w:noProof/>
                <w:sz w:val="18"/>
                <w:szCs w:val="18"/>
                <w:lang w:val="en-IE"/>
              </w:rPr>
              <w:t>Unit of measure</w:t>
            </w:r>
          </w:p>
        </w:tc>
        <w:tc>
          <w:tcPr>
            <w:tcW w:w="992" w:type="dxa"/>
            <w:shd w:val="clear" w:color="auto" w:fill="BDD7EE"/>
            <w:vAlign w:val="center"/>
          </w:tcPr>
          <w:p w:rsidRPr="00C86F28" w:rsidR="00D87E44" w:rsidRDefault="00D87E44" w14:paraId="15457EEE" w14:textId="77777777">
            <w:pPr>
              <w:spacing w:line="240" w:lineRule="auto"/>
              <w:jc w:val="center"/>
              <w:rPr>
                <w:rFonts w:ascii="Calibri" w:hAnsi="Calibri"/>
                <w:noProof/>
                <w:sz w:val="18"/>
                <w:szCs w:val="18"/>
                <w:lang w:val="en-IE"/>
              </w:rPr>
            </w:pPr>
            <w:r w:rsidRPr="00C86F28">
              <w:rPr>
                <w:rFonts w:eastAsia="Times New Roman"/>
                <w:b/>
                <w:noProof/>
                <w:sz w:val="18"/>
                <w:szCs w:val="18"/>
                <w:lang w:val="en-IE"/>
              </w:rPr>
              <w:t xml:space="preserve">Baseline </w:t>
            </w:r>
          </w:p>
        </w:tc>
        <w:tc>
          <w:tcPr>
            <w:tcW w:w="992" w:type="dxa"/>
            <w:shd w:val="clear" w:color="auto" w:fill="BDD7EE"/>
            <w:vAlign w:val="center"/>
          </w:tcPr>
          <w:p w:rsidRPr="00C86F28" w:rsidR="00D87E44" w:rsidRDefault="00D87E44" w14:paraId="15457EEF" w14:textId="77777777">
            <w:pPr>
              <w:spacing w:line="240" w:lineRule="auto"/>
              <w:jc w:val="center"/>
              <w:rPr>
                <w:rFonts w:ascii="Calibri" w:hAnsi="Calibri"/>
                <w:noProof/>
                <w:sz w:val="18"/>
                <w:szCs w:val="18"/>
                <w:lang w:val="en-IE"/>
              </w:rPr>
            </w:pPr>
            <w:r w:rsidRPr="00C86F28">
              <w:rPr>
                <w:rFonts w:eastAsia="Times New Roman"/>
                <w:b/>
                <w:noProof/>
                <w:sz w:val="18"/>
                <w:szCs w:val="18"/>
                <w:lang w:val="en-IE"/>
              </w:rPr>
              <w:t xml:space="preserve">Goal </w:t>
            </w:r>
          </w:p>
        </w:tc>
        <w:tc>
          <w:tcPr>
            <w:tcW w:w="851" w:type="dxa"/>
            <w:shd w:val="clear" w:color="auto" w:fill="BDD7EE"/>
            <w:vAlign w:val="center"/>
          </w:tcPr>
          <w:p w:rsidRPr="00C86F28" w:rsidR="00D87E44" w:rsidRDefault="00D87E44" w14:paraId="15457EF0" w14:textId="77777777">
            <w:pPr>
              <w:spacing w:line="240" w:lineRule="auto"/>
              <w:jc w:val="center"/>
              <w:rPr>
                <w:rFonts w:ascii="Calibri" w:hAnsi="Calibri"/>
                <w:noProof/>
                <w:sz w:val="18"/>
                <w:szCs w:val="18"/>
                <w:lang w:val="en-IE"/>
              </w:rPr>
            </w:pPr>
            <w:r w:rsidRPr="00C86F28">
              <w:rPr>
                <w:rFonts w:eastAsia="Times New Roman"/>
                <w:b/>
                <w:noProof/>
                <w:sz w:val="18"/>
                <w:szCs w:val="18"/>
                <w:lang w:val="en-IE"/>
              </w:rPr>
              <w:t>Quarter</w:t>
            </w:r>
          </w:p>
        </w:tc>
        <w:tc>
          <w:tcPr>
            <w:tcW w:w="850" w:type="dxa"/>
            <w:shd w:val="clear" w:color="auto" w:fill="BDD7EE"/>
            <w:vAlign w:val="center"/>
          </w:tcPr>
          <w:p w:rsidRPr="00C86F28" w:rsidR="00D87E44" w:rsidRDefault="00D87E44" w14:paraId="15457EF1" w14:textId="77777777">
            <w:pPr>
              <w:spacing w:line="240" w:lineRule="auto"/>
              <w:jc w:val="center"/>
              <w:rPr>
                <w:rFonts w:ascii="Calibri" w:hAnsi="Calibri"/>
                <w:noProof/>
                <w:sz w:val="18"/>
                <w:szCs w:val="18"/>
                <w:lang w:val="en-IE"/>
              </w:rPr>
            </w:pPr>
            <w:r w:rsidRPr="00C86F28">
              <w:rPr>
                <w:rFonts w:eastAsia="Times New Roman"/>
                <w:b/>
                <w:noProof/>
                <w:sz w:val="18"/>
                <w:szCs w:val="18"/>
                <w:lang w:val="en-IE"/>
              </w:rPr>
              <w:t>Year</w:t>
            </w:r>
          </w:p>
        </w:tc>
        <w:tc>
          <w:tcPr>
            <w:tcW w:w="4134" w:type="dxa"/>
            <w:vMerge/>
            <w:vAlign w:val="center"/>
          </w:tcPr>
          <w:p w:rsidRPr="00FE48E2" w:rsidR="00D87E44" w:rsidRDefault="00D87E44" w14:paraId="15457EF2" w14:textId="77777777">
            <w:pPr>
              <w:spacing w:line="240" w:lineRule="auto"/>
              <w:rPr>
                <w:rFonts w:ascii="Calibri" w:hAnsi="Calibri"/>
                <w:noProof/>
                <w:sz w:val="18"/>
                <w:szCs w:val="18"/>
                <w:lang w:val="en-IE"/>
              </w:rPr>
            </w:pPr>
          </w:p>
        </w:tc>
      </w:tr>
      <w:tr w:rsidRPr="00FE48E2" w:rsidR="00E3458A" w:rsidTr="009F3A8B" w14:paraId="15457EFF" w14:textId="77777777">
        <w:trPr>
          <w:trHeight w:val="315"/>
          <w:jc w:val="center"/>
        </w:trPr>
        <w:tc>
          <w:tcPr>
            <w:tcW w:w="704" w:type="dxa"/>
            <w:shd w:val="clear" w:color="auto" w:fill="C6EFCE"/>
          </w:tcPr>
          <w:p w:rsidRPr="00B41A05" w:rsidR="00D87E44" w:rsidRDefault="00D87E44" w14:paraId="15457EF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131</w:t>
            </w:r>
          </w:p>
        </w:tc>
        <w:tc>
          <w:tcPr>
            <w:tcW w:w="1559" w:type="dxa"/>
            <w:shd w:val="clear" w:color="auto" w:fill="C6EFCE"/>
          </w:tcPr>
          <w:p w:rsidRPr="00B41A05" w:rsidR="00D87E44" w:rsidRDefault="00D87E44" w14:paraId="15457EF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 Flood protection</w:t>
            </w:r>
          </w:p>
        </w:tc>
        <w:tc>
          <w:tcPr>
            <w:tcW w:w="993" w:type="dxa"/>
            <w:shd w:val="clear" w:color="auto" w:fill="C6EFCE"/>
          </w:tcPr>
          <w:p w:rsidRPr="00B41A05" w:rsidR="00D87E44" w:rsidRDefault="00D87E44" w14:paraId="15457EF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1417" w:type="dxa"/>
            <w:shd w:val="clear" w:color="auto" w:fill="C6EFCE"/>
          </w:tcPr>
          <w:p w:rsidRPr="00B41A05" w:rsidR="00D87E44" w:rsidRDefault="00D87E44" w14:paraId="15457EF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Notification of award of flood protection contracts</w:t>
            </w:r>
          </w:p>
        </w:tc>
        <w:tc>
          <w:tcPr>
            <w:tcW w:w="1592" w:type="dxa"/>
            <w:shd w:val="clear" w:color="auto" w:fill="C6EFCE"/>
          </w:tcPr>
          <w:p w:rsidRPr="00FE48E2" w:rsidR="00D87E44" w:rsidRDefault="00D87E44" w14:paraId="15457EF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Notification of awarded projects and contracted tenderers by [name of managing authority]</w:t>
            </w:r>
          </w:p>
        </w:tc>
        <w:tc>
          <w:tcPr>
            <w:tcW w:w="1385" w:type="dxa"/>
            <w:shd w:val="clear" w:color="auto" w:fill="C6EFCE"/>
          </w:tcPr>
          <w:p w:rsidRPr="00FE48E2" w:rsidR="00D87E44" w:rsidRDefault="00D87E44" w14:paraId="15457EF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FE48E2" w:rsidR="00D87E44" w:rsidRDefault="00D87E44" w14:paraId="15457EF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FE48E2" w:rsidR="00D87E44" w:rsidRDefault="00D87E44" w14:paraId="15457EF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851" w:type="dxa"/>
            <w:shd w:val="clear" w:color="auto" w:fill="C6EFCE"/>
          </w:tcPr>
          <w:p w:rsidRPr="00FE48E2" w:rsidR="00D87E44" w:rsidRDefault="00D87E44" w14:paraId="15457EFC" w14:textId="77777777">
            <w:pPr>
              <w:spacing w:before="0" w:after="0" w:line="259"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850" w:type="dxa"/>
            <w:shd w:val="clear" w:color="auto" w:fill="C6EFCE"/>
          </w:tcPr>
          <w:p w:rsidRPr="00FE48E2" w:rsidR="00D87E44" w:rsidRDefault="00D87E44" w14:paraId="15457EF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2022 </w:t>
            </w:r>
          </w:p>
        </w:tc>
        <w:tc>
          <w:tcPr>
            <w:tcW w:w="4134" w:type="dxa"/>
            <w:shd w:val="clear" w:color="auto" w:fill="C6EFCE"/>
          </w:tcPr>
          <w:p w:rsidRPr="00FE48E2" w:rsidR="00D87E44" w:rsidRDefault="00D87E44" w14:paraId="15457EF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Notification of awarded flood protection projects (total number of projects: 40). For each project, full compliance with the requirements of the Water Framework Directive shall be ensured and demonstrated before the commencement of any construction works. </w:t>
            </w:r>
          </w:p>
        </w:tc>
      </w:tr>
      <w:tr w:rsidRPr="00FE48E2" w:rsidR="00E3458A" w:rsidTr="009F3A8B" w14:paraId="15457F0E" w14:textId="77777777">
        <w:trPr>
          <w:trHeight w:val="671"/>
          <w:jc w:val="center"/>
        </w:trPr>
        <w:tc>
          <w:tcPr>
            <w:tcW w:w="704" w:type="dxa"/>
            <w:shd w:val="clear" w:color="auto" w:fill="C6EFCE"/>
          </w:tcPr>
          <w:p w:rsidRPr="00B41A05" w:rsidR="00D87E44" w:rsidRDefault="00D87E44" w14:paraId="15457F0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132</w:t>
            </w:r>
          </w:p>
        </w:tc>
        <w:tc>
          <w:tcPr>
            <w:tcW w:w="1559" w:type="dxa"/>
            <w:shd w:val="clear" w:color="auto" w:fill="C6EFCE"/>
          </w:tcPr>
          <w:p w:rsidRPr="00B41A05" w:rsidR="00D87E44" w:rsidRDefault="00D87E44" w14:paraId="15457F0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 Flood Protection</w:t>
            </w:r>
          </w:p>
        </w:tc>
        <w:tc>
          <w:tcPr>
            <w:tcW w:w="993" w:type="dxa"/>
            <w:shd w:val="clear" w:color="auto" w:fill="C6EFCE"/>
          </w:tcPr>
          <w:p w:rsidRPr="00B41A05" w:rsidR="00D87E44" w:rsidRDefault="00D87E44" w14:paraId="15457F0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0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T1: Completion of </w:t>
            </w:r>
            <w:r>
              <w:rPr>
                <w:rFonts w:eastAsia="Times New Roman"/>
                <w:noProof/>
                <w:color w:val="004300"/>
                <w:sz w:val="18"/>
                <w:szCs w:val="18"/>
                <w:lang w:val="en-IE" w:eastAsia="en-GB"/>
              </w:rPr>
              <w:t>15</w:t>
            </w:r>
            <w:r w:rsidRPr="00FE48E2">
              <w:rPr>
                <w:rFonts w:eastAsia="Times New Roman"/>
                <w:noProof/>
                <w:color w:val="004300"/>
                <w:sz w:val="18"/>
                <w:szCs w:val="18"/>
                <w:lang w:val="en-IE" w:eastAsia="en-GB"/>
              </w:rPr>
              <w:t xml:space="preserve"> projects aiming at establishing resilient flood protection.</w:t>
            </w:r>
          </w:p>
        </w:tc>
        <w:tc>
          <w:tcPr>
            <w:tcW w:w="1592" w:type="dxa"/>
            <w:shd w:val="clear" w:color="auto" w:fill="C6EFCE"/>
          </w:tcPr>
          <w:p w:rsidRPr="00FE48E2" w:rsidR="00D87E44" w:rsidRDefault="00D87E44" w14:paraId="15457F04" w14:textId="77777777">
            <w:pPr>
              <w:spacing w:before="0" w:after="0" w:line="240" w:lineRule="auto"/>
              <w:rPr>
                <w:rFonts w:eastAsia="Times New Roman"/>
                <w:noProof/>
                <w:color w:val="004300"/>
                <w:sz w:val="18"/>
                <w:szCs w:val="18"/>
                <w:lang w:val="en-IE" w:eastAsia="en-GB"/>
              </w:rPr>
            </w:pPr>
          </w:p>
        </w:tc>
        <w:tc>
          <w:tcPr>
            <w:tcW w:w="1385" w:type="dxa"/>
            <w:shd w:val="clear" w:color="auto" w:fill="C6EFCE"/>
          </w:tcPr>
          <w:p w:rsidRPr="00FE48E2" w:rsidR="00D87E44" w:rsidRDefault="00D87E44" w14:paraId="15457F0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92" w:type="dxa"/>
            <w:shd w:val="clear" w:color="auto" w:fill="C6EFCE"/>
          </w:tcPr>
          <w:p w:rsidRPr="00FE48E2" w:rsidR="00D87E44" w:rsidRDefault="00D87E44" w14:paraId="15457F0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0</w:t>
            </w:r>
          </w:p>
        </w:tc>
        <w:tc>
          <w:tcPr>
            <w:tcW w:w="992" w:type="dxa"/>
            <w:shd w:val="clear" w:color="auto" w:fill="C6EFCE"/>
          </w:tcPr>
          <w:p w:rsidRPr="00FE48E2" w:rsidR="00D87E44" w:rsidRDefault="00D87E44" w14:paraId="15457F0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r>
              <w:rPr>
                <w:rFonts w:eastAsia="Times New Roman"/>
                <w:noProof/>
                <w:color w:val="004300"/>
                <w:sz w:val="18"/>
                <w:szCs w:val="18"/>
                <w:lang w:val="en-IE" w:eastAsia="en-GB"/>
              </w:rPr>
              <w:t>15</w:t>
            </w:r>
          </w:p>
        </w:tc>
        <w:tc>
          <w:tcPr>
            <w:tcW w:w="851" w:type="dxa"/>
            <w:shd w:val="clear" w:color="auto" w:fill="C6EFCE"/>
          </w:tcPr>
          <w:p w:rsidRPr="00FE48E2" w:rsidR="00D87E44" w:rsidRDefault="00D87E44" w14:paraId="15457F0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850" w:type="dxa"/>
            <w:shd w:val="clear" w:color="auto" w:fill="C6EFCE"/>
          </w:tcPr>
          <w:p w:rsidRPr="00FE48E2" w:rsidR="00D87E44" w:rsidRDefault="00D87E44" w14:paraId="15457F0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w:t>
            </w:r>
            <w:r>
              <w:rPr>
                <w:rFonts w:eastAsia="Times New Roman"/>
                <w:noProof/>
                <w:color w:val="004300"/>
                <w:sz w:val="18"/>
                <w:szCs w:val="18"/>
                <w:lang w:val="en-IE" w:eastAsia="en-GB"/>
              </w:rPr>
              <w:t xml:space="preserve">2 </w:t>
            </w:r>
          </w:p>
        </w:tc>
        <w:tc>
          <w:tcPr>
            <w:tcW w:w="4134" w:type="dxa"/>
            <w:shd w:val="clear" w:color="auto" w:fill="C6EFCE"/>
          </w:tcPr>
          <w:p w:rsidRPr="00FE48E2" w:rsidR="00D87E44" w:rsidRDefault="00D87E44" w14:paraId="15457F0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First completion report by independent engineer for </w:t>
            </w:r>
            <w:r w:rsidRPr="0E1C017C">
              <w:rPr>
                <w:rFonts w:eastAsia="Times New Roman"/>
                <w:noProof/>
                <w:color w:val="004300"/>
                <w:sz w:val="18"/>
                <w:szCs w:val="18"/>
                <w:lang w:val="en-IE"/>
              </w:rPr>
              <w:t>15</w:t>
            </w:r>
            <w:r w:rsidRPr="00FE48E2">
              <w:rPr>
                <w:rFonts w:eastAsia="Times New Roman"/>
                <w:noProof/>
                <w:color w:val="004300"/>
                <w:sz w:val="18"/>
                <w:szCs w:val="18"/>
                <w:lang w:val="en-IE"/>
              </w:rPr>
              <w:t xml:space="preserve"> listed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rsidRPr="00FE48E2" w:rsidR="00D87E44" w:rsidRDefault="00D87E44" w14:paraId="15457F0B"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The listed projects shall be implemented only once permits are granted by the relevant water authority based on an environmental impact assessment, </w:t>
            </w:r>
            <w:r>
              <w:rPr>
                <w:rFonts w:eastAsia="Times New Roman"/>
                <w:noProof/>
                <w:color w:val="004300"/>
                <w:sz w:val="18"/>
                <w:szCs w:val="18"/>
                <w:lang w:val="en-IE"/>
              </w:rPr>
              <w:t>where this is required</w:t>
            </w:r>
            <w:r w:rsidRPr="00FE48E2">
              <w:rPr>
                <w:rFonts w:eastAsia="Times New Roman"/>
                <w:noProof/>
                <w:color w:val="004300"/>
                <w:sz w:val="18"/>
                <w:szCs w:val="18"/>
                <w:lang w:val="en-IE"/>
              </w:rPr>
              <w:t xml:space="preserve"> in accordance with Directive 2011/92/EU</w:t>
            </w:r>
            <w:r>
              <w:rPr>
                <w:rFonts w:eastAsia="Times New Roman"/>
                <w:noProof/>
                <w:color w:val="004300"/>
                <w:sz w:val="18"/>
                <w:szCs w:val="18"/>
                <w:lang w:val="en-IE"/>
              </w:rPr>
              <w:t>,</w:t>
            </w:r>
            <w:r w:rsidRPr="00FE48E2">
              <w:rPr>
                <w:rFonts w:eastAsia="Times New Roman"/>
                <w:noProof/>
                <w:color w:val="004300"/>
                <w:sz w:val="18"/>
                <w:szCs w:val="18"/>
                <w:lang w:val="en-IE"/>
              </w:rPr>
              <w:t xml:space="preserve">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w:t>
            </w:r>
            <w:r w:rsidRPr="00FE48E2">
              <w:rPr>
                <w:rFonts w:eastAsia="Times New Roman"/>
                <w:noProof/>
                <w:color w:val="004300"/>
                <w:sz w:val="18"/>
                <w:szCs w:val="18"/>
                <w:lang w:val="en-IE"/>
              </w:rPr>
              <w:t xml:space="preserve">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Projects shall contribute to the achievement of good ecological status or potential of </w:t>
            </w:r>
            <w:r w:rsidRPr="00FE48E2">
              <w:rPr>
                <w:rFonts w:eastAsia="Times New Roman"/>
                <w:noProof/>
                <w:color w:val="004300"/>
                <w:sz w:val="18"/>
                <w:szCs w:val="18"/>
                <w:lang w:val="en-IE"/>
              </w:rPr>
              <w:lastRenderedPageBreak/>
              <w:t>the water bodies concerned in accordance with the requirements of the Water Fram</w:t>
            </w:r>
            <w:r w:rsidRPr="00FE48E2">
              <w:rPr>
                <w:rFonts w:eastAsia="Times New Roman"/>
                <w:noProof/>
                <w:color w:val="004300"/>
                <w:sz w:val="18"/>
                <w:szCs w:val="18"/>
                <w:lang w:val="en-IE"/>
              </w:rPr>
              <w:t xml:space="preserve">ework Directive 2000/60/EC. </w:t>
            </w:r>
          </w:p>
          <w:p w:rsidRPr="00FE48E2" w:rsidR="00D87E44" w:rsidRDefault="00D87E44" w14:paraId="15457F0C"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Similarly, all the necessary results and conditions from the Environmental Impact Assessment  completed in accordance with Directive 2011/92/EU, shall be respected (in particular stakeholders’ consultation) as well as relevant assessments under the Habitats Directive</w:t>
            </w:r>
            <w:r>
              <w:rPr>
                <w:rFonts w:eastAsia="Times New Roman"/>
                <w:noProof/>
                <w:color w:val="004300"/>
                <w:sz w:val="18"/>
                <w:szCs w:val="18"/>
                <w:lang w:val="en-IE"/>
              </w:rPr>
              <w:t>,</w:t>
            </w:r>
            <w:r w:rsidRPr="00FE48E2">
              <w:rPr>
                <w:rFonts w:eastAsia="Times New Roman"/>
                <w:noProof/>
                <w:color w:val="004300"/>
                <w:sz w:val="18"/>
                <w:szCs w:val="18"/>
                <w:lang w:val="en-IE"/>
              </w:rPr>
              <w:t xml:space="preserve"> as included in the conditions stipulated by the nature protection authorities. </w:t>
            </w:r>
          </w:p>
          <w:p w:rsidRPr="00FE48E2" w:rsidR="00D87E44" w:rsidRDefault="00D87E44" w14:paraId="15457F0D"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Regarding the projects aiming at reconstruction or modernization of dams: the project’s design shall incorporate the necessary results and conditions from the Environmental Impact Assessment, which shall be completed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w:t>
            </w:r>
            <w:r w:rsidRPr="00FE48E2">
              <w:rPr>
                <w:rFonts w:eastAsia="Times New Roman"/>
                <w:noProof/>
                <w:color w:val="004300"/>
                <w:sz w:val="18"/>
                <w:szCs w:val="18"/>
                <w:lang w:val="en-IE"/>
              </w:rPr>
              <w:t>nd the assessment under Directive 2000/60/EC as necessary to ensure compliance with the DNSH principle shall be integrated into the project and strictly complied with at the stages of construction, operation and decommissioning of the infrastructure. The completion report shall confirm the full respect of the outcome of the EIA including the implementation of required mitigation measures, ensuring compliance with the DNSH Technical Guidance (2021/C58/01). A risk analysis of the project shall be conducted. T</w:t>
            </w:r>
            <w:r w:rsidRPr="00FE48E2">
              <w:rPr>
                <w:rFonts w:eastAsia="Times New Roman"/>
                <w:noProof/>
                <w:color w:val="004300"/>
                <w:sz w:val="18"/>
                <w:szCs w:val="18"/>
                <w:lang w:val="en-IE"/>
              </w:rPr>
              <w:t>his risk analysis shall also address future climatic conditions. Any reconstruction or modernization shall not lead to an increase of the dam capacity</w:t>
            </w:r>
          </w:p>
        </w:tc>
      </w:tr>
      <w:tr w:rsidRPr="00FE48E2" w:rsidR="00E3458A" w:rsidTr="009F3A8B" w14:paraId="15457F1D" w14:textId="77777777">
        <w:trPr>
          <w:trHeight w:val="1095"/>
          <w:jc w:val="center"/>
        </w:trPr>
        <w:tc>
          <w:tcPr>
            <w:tcW w:w="704" w:type="dxa"/>
            <w:shd w:val="clear" w:color="auto" w:fill="C6EFCE"/>
          </w:tcPr>
          <w:p w:rsidRPr="00B41A05" w:rsidR="00D87E44" w:rsidRDefault="00D87E44" w14:paraId="15457F0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133</w:t>
            </w:r>
          </w:p>
        </w:tc>
        <w:tc>
          <w:tcPr>
            <w:tcW w:w="1559" w:type="dxa"/>
            <w:shd w:val="clear" w:color="auto" w:fill="C6EFCE"/>
          </w:tcPr>
          <w:p w:rsidRPr="00B41A05" w:rsidR="00D87E44" w:rsidRDefault="00D87E44" w14:paraId="15457F1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 Flood Protection</w:t>
            </w:r>
          </w:p>
        </w:tc>
        <w:tc>
          <w:tcPr>
            <w:tcW w:w="993" w:type="dxa"/>
            <w:shd w:val="clear" w:color="auto" w:fill="C6EFCE"/>
          </w:tcPr>
          <w:p w:rsidRPr="00B41A05" w:rsidR="00D87E44" w:rsidRDefault="00D87E44" w14:paraId="15457F1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Target </w:t>
            </w:r>
          </w:p>
        </w:tc>
        <w:tc>
          <w:tcPr>
            <w:tcW w:w="1417" w:type="dxa"/>
            <w:shd w:val="clear" w:color="auto" w:fill="C6EFCE"/>
          </w:tcPr>
          <w:p w:rsidRPr="00B41A05" w:rsidR="00D87E44" w:rsidRDefault="00D87E44" w14:paraId="15457F1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T2: Completion of additional </w:t>
            </w:r>
            <w:r w:rsidRPr="1F14DF38">
              <w:rPr>
                <w:rFonts w:eastAsia="Times New Roman"/>
                <w:noProof/>
                <w:color w:val="004300"/>
                <w:sz w:val="18"/>
                <w:szCs w:val="18"/>
                <w:lang w:val="en-IE" w:eastAsia="en-GB"/>
              </w:rPr>
              <w:t>23</w:t>
            </w:r>
            <w:r w:rsidRPr="00FE48E2">
              <w:rPr>
                <w:rFonts w:eastAsia="Times New Roman"/>
                <w:noProof/>
                <w:color w:val="004300"/>
                <w:sz w:val="18"/>
                <w:szCs w:val="18"/>
                <w:lang w:val="en-IE" w:eastAsia="en-GB"/>
              </w:rPr>
              <w:t xml:space="preserve"> projects aiming at establishing resilient flood protection. </w:t>
            </w:r>
          </w:p>
        </w:tc>
        <w:tc>
          <w:tcPr>
            <w:tcW w:w="1592" w:type="dxa"/>
            <w:shd w:val="clear" w:color="auto" w:fill="C6EFCE"/>
          </w:tcPr>
          <w:p w:rsidRPr="00FE48E2" w:rsidR="00D87E44" w:rsidRDefault="00D87E44" w14:paraId="15457F13" w14:textId="77777777">
            <w:pPr>
              <w:spacing w:before="0" w:after="0" w:line="240" w:lineRule="auto"/>
              <w:rPr>
                <w:rFonts w:eastAsia="Times New Roman"/>
                <w:noProof/>
                <w:color w:val="004300"/>
                <w:sz w:val="18"/>
                <w:szCs w:val="18"/>
                <w:lang w:val="en-IE" w:eastAsia="en-GB"/>
              </w:rPr>
            </w:pPr>
          </w:p>
        </w:tc>
        <w:tc>
          <w:tcPr>
            <w:tcW w:w="1385" w:type="dxa"/>
            <w:shd w:val="clear" w:color="auto" w:fill="C6EFCE"/>
          </w:tcPr>
          <w:p w:rsidRPr="00B41A05" w:rsidR="00D87E44" w:rsidRDefault="00D87E44" w14:paraId="15457F14" w14:textId="77777777">
            <w:pPr>
              <w:spacing w:before="0" w:after="0" w:line="257"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projects </w:t>
            </w:r>
          </w:p>
        </w:tc>
        <w:tc>
          <w:tcPr>
            <w:tcW w:w="992" w:type="dxa"/>
            <w:shd w:val="clear" w:color="auto" w:fill="C6EFCE"/>
          </w:tcPr>
          <w:p w:rsidRPr="00B41A05" w:rsidR="00D87E44" w:rsidRDefault="00D87E44" w14:paraId="15457F15"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15</w:t>
            </w: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1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38</w:t>
            </w:r>
          </w:p>
        </w:tc>
        <w:tc>
          <w:tcPr>
            <w:tcW w:w="851" w:type="dxa"/>
            <w:shd w:val="clear" w:color="auto" w:fill="C6EFCE"/>
          </w:tcPr>
          <w:p w:rsidRPr="00B41A05" w:rsidR="00D87E44" w:rsidRDefault="00D87E44" w14:paraId="15457F1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850" w:type="dxa"/>
            <w:shd w:val="clear" w:color="auto" w:fill="C6EFCE"/>
          </w:tcPr>
          <w:p w:rsidRPr="00B41A05" w:rsidR="00D87E44" w:rsidRDefault="00D87E44" w14:paraId="15457F1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4134" w:type="dxa"/>
            <w:shd w:val="clear" w:color="auto" w:fill="C6EFCE"/>
          </w:tcPr>
          <w:p w:rsidRPr="00FE48E2" w:rsidR="00D87E44" w:rsidRDefault="00D87E44" w14:paraId="15457F19" w14:textId="77777777">
            <w:pPr>
              <w:spacing w:before="0" w:after="0" w:line="240" w:lineRule="auto"/>
              <w:rPr>
                <w:noProof/>
                <w:color w:val="004300"/>
                <w:sz w:val="18"/>
                <w:szCs w:val="18"/>
                <w:lang w:val="en-IE"/>
              </w:rPr>
            </w:pPr>
            <w:r w:rsidRPr="00E52633">
              <w:rPr>
                <w:rFonts w:eastAsia="Times New Roman"/>
                <w:noProof/>
                <w:color w:val="004300"/>
                <w:sz w:val="18"/>
                <w:szCs w:val="18"/>
                <w:lang w:val="en-IE"/>
              </w:rPr>
              <w:t>C</w:t>
            </w:r>
            <w:r w:rsidRPr="00D01726">
              <w:rPr>
                <w:rFonts w:eastAsia="Times New Roman"/>
                <w:noProof/>
                <w:color w:val="004300"/>
                <w:sz w:val="18"/>
                <w:szCs w:val="18"/>
                <w:lang w:val="en-IE"/>
              </w:rPr>
              <w:t>ompletion reports by independent engineer</w:t>
            </w:r>
            <w:r w:rsidRPr="00E52633">
              <w:rPr>
                <w:rFonts w:eastAsia="Times New Roman"/>
                <w:noProof/>
                <w:color w:val="004300"/>
                <w:sz w:val="18"/>
                <w:szCs w:val="18"/>
                <w:lang w:val="en-IE"/>
              </w:rPr>
              <w:t>s</w:t>
            </w:r>
            <w:r w:rsidRPr="00D01726">
              <w:rPr>
                <w:rFonts w:eastAsia="Times New Roman"/>
                <w:noProof/>
                <w:color w:val="004300"/>
                <w:sz w:val="18"/>
                <w:szCs w:val="18"/>
                <w:lang w:val="en-IE"/>
              </w:rPr>
              <w:t xml:space="preserve"> for a</w:t>
            </w:r>
            <w:r w:rsidRPr="781FE9D9">
              <w:rPr>
                <w:rFonts w:eastAsia="Times New Roman"/>
                <w:noProof/>
                <w:color w:val="004300"/>
                <w:sz w:val="18"/>
                <w:szCs w:val="18"/>
                <w:lang w:val="en-IE"/>
              </w:rPr>
              <w:t>dditional 23 listed projects. In line with the National Action plan for Climate Change Adaptation and State Policy of the Environment in the Czech Republic 2030 with a view to 2050, nature-based solutions shall be given a preference, while constructing or refurbishing of artificial concrete-based flood protection infrastructure shall be avoided as much as possible.</w:t>
            </w:r>
          </w:p>
          <w:p w:rsidRPr="00FE48E2" w:rsidR="00D87E44" w:rsidRDefault="00D87E44" w14:paraId="15457F1A" w14:textId="77777777">
            <w:pPr>
              <w:spacing w:line="240" w:lineRule="auto"/>
              <w:rPr>
                <w:noProof/>
                <w:color w:val="004300"/>
                <w:sz w:val="18"/>
                <w:szCs w:val="18"/>
                <w:lang w:val="en-IE"/>
              </w:rPr>
            </w:pPr>
            <w:r w:rsidRPr="00111744">
              <w:rPr>
                <w:rFonts w:eastAsia="Times New Roman"/>
                <w:noProof/>
                <w:color w:val="004300"/>
                <w:sz w:val="18"/>
                <w:szCs w:val="18"/>
                <w:lang w:val="en-IE"/>
              </w:rPr>
              <w:t>In case of projects for which building permits are required</w:t>
            </w:r>
            <w:r>
              <w:rPr>
                <w:rFonts w:eastAsia="Times New Roman"/>
                <w:noProof/>
                <w:color w:val="000000" w:themeColor="text1"/>
                <w:sz w:val="18"/>
                <w:szCs w:val="18"/>
                <w:lang w:val="en-IE"/>
              </w:rPr>
              <w:t>:</w:t>
            </w:r>
            <w:r w:rsidRPr="3872F9C1">
              <w:rPr>
                <w:rFonts w:eastAsia="Times New Roman"/>
                <w:noProof/>
                <w:sz w:val="18"/>
                <w:szCs w:val="18"/>
                <w:lang w:val="en-IE"/>
              </w:rPr>
              <w:t xml:space="preserve"> </w:t>
            </w:r>
            <w:r w:rsidRPr="3872F9C1">
              <w:rPr>
                <w:rFonts w:eastAsia="Times New Roman"/>
                <w:noProof/>
                <w:color w:val="004300"/>
                <w:sz w:val="18"/>
                <w:szCs w:val="18"/>
                <w:lang w:val="en-IE"/>
              </w:rPr>
              <w:t xml:space="preserve">projects shall be implemented only once permits are granted by the relevant water authority based on an environmental impact assessment, where </w:t>
            </w:r>
            <w:r>
              <w:rPr>
                <w:rFonts w:eastAsia="Times New Roman"/>
                <w:noProof/>
                <w:color w:val="004300"/>
                <w:sz w:val="18"/>
                <w:szCs w:val="18"/>
                <w:lang w:val="en-IE"/>
              </w:rPr>
              <w:t xml:space="preserve">this is </w:t>
            </w:r>
            <w:r w:rsidRPr="3872F9C1">
              <w:rPr>
                <w:rFonts w:eastAsia="Times New Roman"/>
                <w:noProof/>
                <w:color w:val="004300"/>
                <w:sz w:val="18"/>
                <w:szCs w:val="18"/>
                <w:lang w:val="en-IE"/>
              </w:rPr>
              <w:t>required in accordance with Directive 2011/92/EU, and relevant assessments in the context of Directive 2000/60/EC. Where required, these permits shall assess all potential impacts on the status of water bodies within the same river basin and on protected habitats and species directly dependent on water, considering in particular migration corridors, free-flow</w:t>
            </w:r>
            <w:r w:rsidRPr="3872F9C1">
              <w:rPr>
                <w:rFonts w:eastAsia="Times New Roman"/>
                <w:noProof/>
                <w:color w:val="004300"/>
                <w:sz w:val="18"/>
                <w:szCs w:val="18"/>
                <w:lang w:val="en-IE"/>
              </w:rPr>
              <w:t xml:space="preserve">ing rivers or ecosystems close to undisturbed conditions, as well as current pressures related to water abstraction </w:t>
            </w:r>
            <w:r>
              <w:rPr>
                <w:rFonts w:eastAsia="Times New Roman"/>
                <w:noProof/>
                <w:color w:val="004300"/>
                <w:sz w:val="18"/>
                <w:szCs w:val="18"/>
                <w:lang w:val="en-IE"/>
              </w:rPr>
              <w:t>and t</w:t>
            </w:r>
            <w:r w:rsidRPr="3872F9C1">
              <w:rPr>
                <w:rFonts w:eastAsia="Times New Roman"/>
                <w:noProof/>
                <w:color w:val="004300"/>
                <w:sz w:val="18"/>
                <w:szCs w:val="18"/>
                <w:lang w:val="en-IE"/>
              </w:rPr>
              <w: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Where relev</w:t>
            </w:r>
            <w:r w:rsidRPr="3872F9C1">
              <w:rPr>
                <w:rFonts w:eastAsia="Times New Roman"/>
                <w:noProof/>
                <w:color w:val="004300"/>
                <w:sz w:val="18"/>
                <w:szCs w:val="18"/>
                <w:lang w:val="en-IE"/>
              </w:rPr>
              <w:t>ant, projects shall contribute to the achievement of good ecological status or potential of the water bodies concerned in accordance with the requirements of the Water Framework Directive 2000/60/EC</w:t>
            </w:r>
          </w:p>
          <w:p w:rsidRPr="00FE48E2" w:rsidR="00D87E44" w:rsidRDefault="00D87E44" w14:paraId="15457F1B" w14:textId="77777777">
            <w:pPr>
              <w:spacing w:line="240" w:lineRule="auto"/>
              <w:rPr>
                <w:noProof/>
                <w:color w:val="004300"/>
                <w:sz w:val="18"/>
                <w:szCs w:val="18"/>
                <w:lang w:val="en-IE"/>
              </w:rPr>
            </w:pPr>
            <w:r w:rsidRPr="00FE48E2">
              <w:rPr>
                <w:rFonts w:eastAsia="Times New Roman"/>
                <w:noProof/>
                <w:color w:val="004300"/>
                <w:sz w:val="18"/>
                <w:szCs w:val="18"/>
                <w:lang w:val="en-IE"/>
              </w:rPr>
              <w:t xml:space="preserve">Similarly, all the necessary results and conditions from the Environmental Impact Assessment, completed in accordance with Directive 2011/92/EU shall be </w:t>
            </w:r>
            <w:r w:rsidRPr="00FE48E2">
              <w:rPr>
                <w:rFonts w:eastAsia="Times New Roman"/>
                <w:noProof/>
                <w:color w:val="004300"/>
                <w:sz w:val="18"/>
                <w:szCs w:val="18"/>
                <w:lang w:val="en-IE"/>
              </w:rPr>
              <w:lastRenderedPageBreak/>
              <w:t>respected (in particular stakeholders’ consultation) as well as relevant assessments under the Habitats Directive</w:t>
            </w:r>
            <w:r>
              <w:rPr>
                <w:rFonts w:eastAsia="Times New Roman"/>
                <w:noProof/>
                <w:color w:val="004300"/>
                <w:sz w:val="18"/>
                <w:szCs w:val="18"/>
                <w:lang w:val="en-IE"/>
              </w:rPr>
              <w:t>,</w:t>
            </w:r>
            <w:r w:rsidRPr="00FE48E2">
              <w:rPr>
                <w:rFonts w:eastAsia="Times New Roman"/>
                <w:noProof/>
                <w:color w:val="004300"/>
                <w:sz w:val="18"/>
                <w:szCs w:val="18"/>
                <w:lang w:val="en-IE"/>
              </w:rPr>
              <w:t xml:space="preserve"> as included in the conditions stipulated by the nature protection authorities. </w:t>
            </w:r>
          </w:p>
          <w:p w:rsidRPr="00FE48E2" w:rsidR="00D87E44" w:rsidRDefault="00D87E44" w14:paraId="15457F1C" w14:textId="77777777">
            <w:pPr>
              <w:spacing w:line="240" w:lineRule="auto"/>
              <w:rPr>
                <w:noProof/>
                <w:color w:val="004300"/>
                <w:sz w:val="18"/>
                <w:szCs w:val="18"/>
                <w:lang w:val="en-IE"/>
              </w:rPr>
            </w:pPr>
            <w:r w:rsidRPr="00FE48E2">
              <w:rPr>
                <w:rFonts w:eastAsia="Times New Roman"/>
                <w:noProof/>
                <w:color w:val="004300"/>
                <w:sz w:val="18"/>
                <w:szCs w:val="18"/>
                <w:lang w:val="en-IE"/>
              </w:rPr>
              <w:t xml:space="preserve">Regarding the projects aiming at reconstruction or modernization of dams: the project’s design shall incorporate the necessary results and conditions from the Environmental Impact Assessment, </w:t>
            </w:r>
            <w:r>
              <w:rPr>
                <w:rFonts w:eastAsia="Times New Roman"/>
                <w:noProof/>
                <w:color w:val="004300"/>
                <w:sz w:val="18"/>
                <w:szCs w:val="18"/>
                <w:lang w:val="en-IE"/>
              </w:rPr>
              <w:t>where this is required</w:t>
            </w:r>
            <w:r w:rsidRPr="00FE48E2">
              <w:rPr>
                <w:rFonts w:eastAsia="Times New Roman"/>
                <w:noProof/>
                <w:color w:val="004300"/>
                <w:sz w:val="18"/>
                <w:szCs w:val="18"/>
                <w:lang w:val="en-IE"/>
              </w:rPr>
              <w:t xml:space="preserve">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and the assessment under Directive 2000/60/EC as necessary to ensure compliance with the DNSH principle shall be integrated into the project and strictly complied with at the stages of constructi</w:t>
            </w:r>
            <w:r w:rsidRPr="00FE48E2">
              <w:rPr>
                <w:rFonts w:eastAsia="Times New Roman"/>
                <w:noProof/>
                <w:color w:val="004300"/>
                <w:sz w:val="18"/>
                <w:szCs w:val="18"/>
                <w:lang w:val="en-IE"/>
              </w:rPr>
              <w:t>on, operation and decommissioning of the infrastructure. The completion report shall confirm the full respect of the outcome of the EIA including the implementation of required mitigation measures, ensuring compliance with the DNSH Technical Guidance (2021/C58/01). A risk analysis of the project shall be conducted. This risk analysis shall also address future climatic conditions. Any reconstruction or modernization shall not lead to an increase of the dam capacity</w:t>
            </w:r>
          </w:p>
        </w:tc>
      </w:tr>
      <w:tr w:rsidRPr="00FE48E2" w:rsidR="00E3458A" w:rsidTr="009F3A8B" w14:paraId="15457F29" w14:textId="77777777">
        <w:trPr>
          <w:trHeight w:val="1095"/>
          <w:jc w:val="center"/>
        </w:trPr>
        <w:tc>
          <w:tcPr>
            <w:tcW w:w="704" w:type="dxa"/>
            <w:shd w:val="clear" w:color="auto" w:fill="C6EFCE"/>
          </w:tcPr>
          <w:p w:rsidRPr="00B41A05" w:rsidR="00D87E44" w:rsidRDefault="00D87E44" w14:paraId="15457F1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134</w:t>
            </w:r>
          </w:p>
        </w:tc>
        <w:tc>
          <w:tcPr>
            <w:tcW w:w="1559" w:type="dxa"/>
            <w:shd w:val="clear" w:color="auto" w:fill="C6EFCE"/>
          </w:tcPr>
          <w:p w:rsidRPr="00B41A05" w:rsidR="00D87E44" w:rsidRDefault="00D87E44" w14:paraId="15457F1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Small watercourses and water reservoirs</w:t>
            </w:r>
          </w:p>
        </w:tc>
        <w:tc>
          <w:tcPr>
            <w:tcW w:w="993" w:type="dxa"/>
            <w:shd w:val="clear" w:color="auto" w:fill="C6EFCE"/>
          </w:tcPr>
          <w:p w:rsidRPr="00B41A05" w:rsidR="00D87E44" w:rsidRDefault="00D87E44" w14:paraId="15457F2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1417" w:type="dxa"/>
            <w:shd w:val="clear" w:color="auto" w:fill="C6EFCE"/>
          </w:tcPr>
          <w:p w:rsidRPr="00B41A05" w:rsidR="00D87E44" w:rsidRDefault="00D87E44" w14:paraId="15457F2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Submission by the Ministry of Agriculture of the list of projects to be supported under investment 2</w:t>
            </w:r>
          </w:p>
        </w:tc>
        <w:tc>
          <w:tcPr>
            <w:tcW w:w="1592" w:type="dxa"/>
            <w:shd w:val="clear" w:color="auto" w:fill="C6EFCE"/>
          </w:tcPr>
          <w:p w:rsidRPr="00B41A05" w:rsidR="00D87E44" w:rsidRDefault="00D87E44" w14:paraId="15457F2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Submission of the list of projects to be supported under investment 2 </w:t>
            </w:r>
          </w:p>
        </w:tc>
        <w:tc>
          <w:tcPr>
            <w:tcW w:w="1385" w:type="dxa"/>
            <w:shd w:val="clear" w:color="auto" w:fill="C6EFCE"/>
          </w:tcPr>
          <w:p w:rsidRPr="00B41A05" w:rsidR="00D87E44" w:rsidRDefault="00D87E44" w14:paraId="15457F23" w14:textId="77777777">
            <w:pPr>
              <w:spacing w:before="0" w:after="0" w:line="257"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2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2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851" w:type="dxa"/>
            <w:shd w:val="clear" w:color="auto" w:fill="C6EFCE"/>
          </w:tcPr>
          <w:p w:rsidRPr="00FE48E2" w:rsidR="00D87E44" w:rsidRDefault="00D87E44" w14:paraId="15457F2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Q3</w:t>
            </w:r>
          </w:p>
        </w:tc>
        <w:tc>
          <w:tcPr>
            <w:tcW w:w="850" w:type="dxa"/>
            <w:shd w:val="clear" w:color="auto" w:fill="C6EFCE"/>
          </w:tcPr>
          <w:p w:rsidRPr="00FE48E2" w:rsidR="00D87E44" w:rsidRDefault="00D87E44" w14:paraId="15457F2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2021</w:t>
            </w:r>
          </w:p>
        </w:tc>
        <w:tc>
          <w:tcPr>
            <w:tcW w:w="4134" w:type="dxa"/>
            <w:shd w:val="clear" w:color="auto" w:fill="C6EFCE"/>
          </w:tcPr>
          <w:p w:rsidRPr="00FE48E2" w:rsidR="00D87E44" w:rsidRDefault="00D87E44" w14:paraId="15457F2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The Ministry of Agriculture shall submit to the </w:t>
            </w:r>
            <w:r w:rsidRPr="00FE48E2">
              <w:rPr>
                <w:rFonts w:eastAsia="Times New Roman"/>
                <w:noProof/>
                <w:color w:val="004300"/>
                <w:sz w:val="18"/>
                <w:szCs w:val="18"/>
                <w:lang w:val="en-IE" w:eastAsia="en-GB"/>
              </w:rPr>
              <w:t xml:space="preserve">Commission a database including identification of the projects, a short description and timeline for completion. The projects shall consist of construction and reconstruction of small water reservoirs throughout the Czech Republic. The projects’ designs shall incorporate the necessary results and conditions from the Environmental Impact Assessment, which shall be </w:t>
            </w:r>
            <w:r w:rsidRPr="00FE48E2">
              <w:rPr>
                <w:rFonts w:eastAsia="Times New Roman"/>
                <w:noProof/>
                <w:color w:val="004300"/>
                <w:sz w:val="18"/>
                <w:szCs w:val="18"/>
                <w:lang w:val="en-IE" w:eastAsia="en-GB"/>
              </w:rPr>
              <w:lastRenderedPageBreak/>
              <w:t>completed in accordance with Directive 2011/92/EU as well as relevant assessments in the context of Directive 2000/60/EC and Council Directive 92/</w:t>
            </w:r>
            <w:r w:rsidRPr="00FE48E2">
              <w:rPr>
                <w:rFonts w:eastAsia="Times New Roman"/>
                <w:noProof/>
                <w:color w:val="004300"/>
                <w:sz w:val="18"/>
                <w:szCs w:val="18"/>
                <w:lang w:val="en-IE" w:eastAsia="en-GB"/>
              </w:rPr>
              <w:t xml:space="preserve">43/EE. </w:t>
            </w:r>
          </w:p>
        </w:tc>
      </w:tr>
      <w:tr w:rsidRPr="00FE48E2" w:rsidR="00E3458A" w:rsidTr="009F3A8B" w14:paraId="15457F38" w14:textId="77777777">
        <w:trPr>
          <w:trHeight w:val="3000"/>
          <w:jc w:val="center"/>
        </w:trPr>
        <w:tc>
          <w:tcPr>
            <w:tcW w:w="704" w:type="dxa"/>
            <w:shd w:val="clear" w:color="auto" w:fill="C6EFCE"/>
          </w:tcPr>
          <w:p w:rsidRPr="00B41A05" w:rsidR="00D87E44" w:rsidRDefault="00D87E44" w14:paraId="15457F2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135</w:t>
            </w:r>
          </w:p>
        </w:tc>
        <w:tc>
          <w:tcPr>
            <w:tcW w:w="1559" w:type="dxa"/>
            <w:shd w:val="clear" w:color="auto" w:fill="C6EFCE"/>
          </w:tcPr>
          <w:p w:rsidRPr="00B41A05" w:rsidR="00D87E44" w:rsidRDefault="00D87E44" w14:paraId="15457F2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Small watercourses and water reservoirs</w:t>
            </w:r>
          </w:p>
        </w:tc>
        <w:tc>
          <w:tcPr>
            <w:tcW w:w="993" w:type="dxa"/>
            <w:shd w:val="clear" w:color="auto" w:fill="C6EFCE"/>
          </w:tcPr>
          <w:p w:rsidRPr="00FE48E2" w:rsidR="00D87E44" w:rsidRDefault="00D87E44" w14:paraId="15457F2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Target </w:t>
            </w:r>
          </w:p>
        </w:tc>
        <w:tc>
          <w:tcPr>
            <w:tcW w:w="1417" w:type="dxa"/>
            <w:shd w:val="clear" w:color="auto" w:fill="C6EFCE"/>
          </w:tcPr>
          <w:p w:rsidRPr="00B41A05" w:rsidR="00D87E44" w:rsidRDefault="00D87E44" w14:paraId="15457F2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T1: Completion of 50% of the small watercourses and water reservoirs projects </w:t>
            </w:r>
          </w:p>
        </w:tc>
        <w:tc>
          <w:tcPr>
            <w:tcW w:w="1592" w:type="dxa"/>
            <w:shd w:val="clear" w:color="auto" w:fill="C6EFCE"/>
          </w:tcPr>
          <w:p w:rsidRPr="00FE48E2" w:rsidR="00D87E44" w:rsidRDefault="00D87E44" w14:paraId="15457F2E" w14:textId="77777777">
            <w:pPr>
              <w:spacing w:before="0" w:after="0" w:line="240" w:lineRule="auto"/>
              <w:rPr>
                <w:rFonts w:eastAsia="Times New Roman"/>
                <w:noProof/>
                <w:color w:val="004300"/>
                <w:sz w:val="18"/>
                <w:szCs w:val="18"/>
                <w:lang w:val="en-IE" w:eastAsia="en-GB"/>
              </w:rPr>
            </w:pPr>
          </w:p>
        </w:tc>
        <w:tc>
          <w:tcPr>
            <w:tcW w:w="1385" w:type="dxa"/>
            <w:shd w:val="clear" w:color="auto" w:fill="C6EFCE"/>
          </w:tcPr>
          <w:p w:rsidRPr="00B41A05" w:rsidR="00D87E44" w:rsidRDefault="00D87E44" w14:paraId="15457F2F" w14:textId="77777777">
            <w:pPr>
              <w:spacing w:before="0" w:after="0" w:line="257"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Number of projects </w:t>
            </w:r>
          </w:p>
        </w:tc>
        <w:tc>
          <w:tcPr>
            <w:tcW w:w="992" w:type="dxa"/>
            <w:shd w:val="clear" w:color="auto" w:fill="C6EFCE"/>
          </w:tcPr>
          <w:p w:rsidRPr="00B41A05" w:rsidR="00D87E44" w:rsidRDefault="00D87E44" w14:paraId="15457F3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0</w:t>
            </w:r>
          </w:p>
        </w:tc>
        <w:tc>
          <w:tcPr>
            <w:tcW w:w="992" w:type="dxa"/>
            <w:shd w:val="clear" w:color="auto" w:fill="C6EFCE"/>
          </w:tcPr>
          <w:p w:rsidRPr="00B41A05" w:rsidR="00D87E44" w:rsidRDefault="00D87E44" w14:paraId="15457F3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450</w:t>
            </w:r>
          </w:p>
        </w:tc>
        <w:tc>
          <w:tcPr>
            <w:tcW w:w="851" w:type="dxa"/>
            <w:shd w:val="clear" w:color="auto" w:fill="C6EFCE"/>
          </w:tcPr>
          <w:p w:rsidRPr="00FE48E2" w:rsidR="00D87E44" w:rsidRDefault="00D87E44" w14:paraId="15457F3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Q2</w:t>
            </w:r>
          </w:p>
        </w:tc>
        <w:tc>
          <w:tcPr>
            <w:tcW w:w="850" w:type="dxa"/>
            <w:shd w:val="clear" w:color="auto" w:fill="C6EFCE"/>
          </w:tcPr>
          <w:p w:rsidRPr="00FE48E2" w:rsidR="00D87E44" w:rsidRDefault="00D87E44" w14:paraId="15457F3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2022</w:t>
            </w:r>
          </w:p>
        </w:tc>
        <w:tc>
          <w:tcPr>
            <w:tcW w:w="4134" w:type="dxa"/>
            <w:shd w:val="clear" w:color="auto" w:fill="C6EFCE"/>
          </w:tcPr>
          <w:p w:rsidRPr="00FE48E2" w:rsidR="00D87E44" w:rsidRDefault="00D87E44" w14:paraId="15457F34" w14:textId="77777777">
            <w:pPr>
              <w:spacing w:before="0" w:after="0" w:line="240" w:lineRule="auto"/>
              <w:rPr>
                <w:noProof/>
                <w:color w:val="004300"/>
                <w:sz w:val="18"/>
                <w:szCs w:val="18"/>
                <w:lang w:val="en-IE"/>
              </w:rPr>
            </w:pPr>
            <w:r w:rsidRPr="00FE48E2">
              <w:rPr>
                <w:rFonts w:eastAsia="Times New Roman"/>
                <w:noProof/>
                <w:color w:val="004300"/>
                <w:sz w:val="18"/>
                <w:szCs w:val="18"/>
                <w:lang w:val="en-IE"/>
              </w:rPr>
              <w:t>Completion report by an independent engineer for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rsidRPr="00FE48E2" w:rsidR="00D87E44" w:rsidRDefault="00D87E44" w14:paraId="15457F35" w14:textId="77777777">
            <w:pPr>
              <w:spacing w:line="240" w:lineRule="auto"/>
              <w:rPr>
                <w:noProof/>
                <w:color w:val="004300"/>
                <w:sz w:val="18"/>
                <w:szCs w:val="18"/>
                <w:lang w:val="en-IE"/>
              </w:rPr>
            </w:pPr>
            <w:r w:rsidRPr="00FE48E2">
              <w:rPr>
                <w:rFonts w:eastAsia="Times New Roman"/>
                <w:noProof/>
                <w:color w:val="004300"/>
                <w:sz w:val="18"/>
                <w:szCs w:val="18"/>
                <w:lang w:val="en-IE"/>
              </w:rPr>
              <w:t xml:space="preserve">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w:t>
            </w:r>
            <w:r w:rsidRPr="00FE48E2">
              <w:rPr>
                <w:rFonts w:eastAsia="Times New Roman"/>
                <w:noProof/>
                <w:color w:val="004300"/>
                <w:sz w:val="18"/>
                <w:szCs w:val="18"/>
                <w:lang w:val="en-IE"/>
              </w:rPr>
              <w:t xml:space="preserve">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w:t>
            </w:r>
            <w:r w:rsidRPr="00FE48E2" w:rsidDel="009A6CBB">
              <w:rPr>
                <w:rFonts w:eastAsia="Times New Roman"/>
                <w:noProof/>
                <w:color w:val="004300"/>
                <w:sz w:val="18"/>
                <w:szCs w:val="18"/>
                <w:lang w:val="en-IE"/>
              </w:rPr>
              <w:t>Good ecological status/potential of the relevant water bodies in accordance with the require</w:t>
            </w:r>
            <w:r w:rsidRPr="00FE48E2" w:rsidDel="009A6CBB">
              <w:rPr>
                <w:rFonts w:eastAsia="Times New Roman"/>
                <w:noProof/>
                <w:color w:val="004300"/>
                <w:sz w:val="18"/>
                <w:szCs w:val="18"/>
                <w:lang w:val="en-IE"/>
              </w:rPr>
              <w:t>ments of the Water Framework Directive 2000/60/EC has been achieved and evidenced by latest relevant supporting data.</w:t>
            </w:r>
          </w:p>
          <w:p w:rsidRPr="00FE48E2" w:rsidR="00D87E44" w:rsidRDefault="00D87E44" w14:paraId="15457F36" w14:textId="77777777">
            <w:pPr>
              <w:spacing w:before="0" w:after="0" w:line="240" w:lineRule="auto"/>
              <w:rPr>
                <w:noProof/>
                <w:color w:val="004300"/>
                <w:sz w:val="18"/>
                <w:szCs w:val="18"/>
                <w:lang w:val="en-IE"/>
              </w:rPr>
            </w:pPr>
            <w:r w:rsidRPr="00FE48E2">
              <w:rPr>
                <w:rFonts w:eastAsia="Times New Roman"/>
                <w:noProof/>
                <w:color w:val="004300"/>
                <w:sz w:val="18"/>
                <w:szCs w:val="18"/>
                <w:lang w:val="en-IE"/>
              </w:rPr>
              <w:lastRenderedPageBreak/>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rsidRPr="00FE48E2" w:rsidR="00D87E44" w:rsidRDefault="00D87E44" w14:paraId="15457F37"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r>
      <w:tr w:rsidRPr="00FE48E2" w:rsidR="00E3458A" w:rsidTr="009F3A8B" w14:paraId="15457F47" w14:textId="77777777">
        <w:trPr>
          <w:trHeight w:val="1095"/>
          <w:jc w:val="center"/>
        </w:trPr>
        <w:tc>
          <w:tcPr>
            <w:tcW w:w="704" w:type="dxa"/>
            <w:shd w:val="clear" w:color="auto" w:fill="C6EFCE"/>
          </w:tcPr>
          <w:p w:rsidRPr="00B41A05" w:rsidR="00D87E44" w:rsidRDefault="00D87E44" w14:paraId="15457F3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136</w:t>
            </w:r>
          </w:p>
        </w:tc>
        <w:tc>
          <w:tcPr>
            <w:tcW w:w="1559" w:type="dxa"/>
            <w:shd w:val="clear" w:color="auto" w:fill="C6EFCE"/>
          </w:tcPr>
          <w:p w:rsidRPr="00B41A05" w:rsidR="00D87E44" w:rsidRDefault="00D87E44" w14:paraId="15457F3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2: Small watercourses and water reservoirs </w:t>
            </w:r>
          </w:p>
        </w:tc>
        <w:tc>
          <w:tcPr>
            <w:tcW w:w="993" w:type="dxa"/>
            <w:shd w:val="clear" w:color="auto" w:fill="C6EFCE"/>
          </w:tcPr>
          <w:p w:rsidRPr="00B41A05" w:rsidR="00D87E44" w:rsidRDefault="00D87E44" w14:paraId="15457F3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FE48E2" w:rsidR="00D87E44" w:rsidRDefault="00D87E44" w14:paraId="15457F3C" w14:textId="77777777">
            <w:pPr>
              <w:spacing w:before="0" w:after="0" w:line="259"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T2: Completion of 50% additional small watercourses and water reservoir </w:t>
            </w:r>
            <w:r w:rsidRPr="00383DB2">
              <w:rPr>
                <w:rFonts w:eastAsia="Times New Roman"/>
                <w:noProof/>
                <w:color w:val="004300"/>
                <w:sz w:val="18"/>
                <w:szCs w:val="18"/>
                <w:lang w:val="en-IE" w:eastAsia="en-GB"/>
              </w:rPr>
              <w:t>projects</w:t>
            </w:r>
          </w:p>
        </w:tc>
        <w:tc>
          <w:tcPr>
            <w:tcW w:w="1592" w:type="dxa"/>
            <w:shd w:val="clear" w:color="auto" w:fill="C6EFCE"/>
          </w:tcPr>
          <w:p w:rsidRPr="00B41A05" w:rsidR="00D87E44" w:rsidRDefault="00D87E44" w14:paraId="15457F3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1385" w:type="dxa"/>
            <w:shd w:val="clear" w:color="auto" w:fill="C6EFCE"/>
          </w:tcPr>
          <w:p w:rsidRPr="00B41A05" w:rsidR="00D87E44" w:rsidRDefault="00D87E44" w14:paraId="15457F3E" w14:textId="77777777">
            <w:pPr>
              <w:spacing w:before="0" w:after="0" w:line="257"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Number of projects </w:t>
            </w:r>
          </w:p>
        </w:tc>
        <w:tc>
          <w:tcPr>
            <w:tcW w:w="992" w:type="dxa"/>
            <w:shd w:val="clear" w:color="auto" w:fill="C6EFCE"/>
          </w:tcPr>
          <w:p w:rsidRPr="00B41A05" w:rsidR="00D87E44" w:rsidRDefault="00D87E44" w14:paraId="15457F3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450 </w:t>
            </w:r>
          </w:p>
        </w:tc>
        <w:tc>
          <w:tcPr>
            <w:tcW w:w="992" w:type="dxa"/>
            <w:shd w:val="clear" w:color="auto" w:fill="C6EFCE"/>
          </w:tcPr>
          <w:p w:rsidRPr="00B41A05" w:rsidR="00D87E44" w:rsidRDefault="00D87E44" w14:paraId="15457F4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900</w:t>
            </w:r>
          </w:p>
        </w:tc>
        <w:tc>
          <w:tcPr>
            <w:tcW w:w="851" w:type="dxa"/>
            <w:shd w:val="clear" w:color="auto" w:fill="C6EFCE"/>
          </w:tcPr>
          <w:p w:rsidRPr="00B41A05" w:rsidR="00D87E44" w:rsidRDefault="00D87E44" w14:paraId="15457F4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850" w:type="dxa"/>
            <w:shd w:val="clear" w:color="auto" w:fill="C6EFCE"/>
          </w:tcPr>
          <w:p w:rsidRPr="00B41A05" w:rsidR="00D87E44" w:rsidRDefault="00D87E44" w14:paraId="15457F4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134" w:type="dxa"/>
            <w:shd w:val="clear" w:color="auto" w:fill="C6EFCE"/>
          </w:tcPr>
          <w:p w:rsidRPr="00FE48E2" w:rsidR="00D87E44" w:rsidRDefault="00D87E44" w14:paraId="15457F43" w14:textId="77777777">
            <w:pPr>
              <w:spacing w:before="0" w:after="0" w:line="240" w:lineRule="auto"/>
              <w:rPr>
                <w:noProof/>
                <w:color w:val="004300"/>
                <w:sz w:val="18"/>
                <w:szCs w:val="18"/>
                <w:lang w:val="en-IE"/>
              </w:rPr>
            </w:pPr>
            <w:r w:rsidRPr="00FE48E2">
              <w:rPr>
                <w:rFonts w:eastAsia="Times New Roman"/>
                <w:noProof/>
                <w:color w:val="004300"/>
                <w:sz w:val="18"/>
                <w:szCs w:val="18"/>
                <w:lang w:val="en-IE" w:eastAsia="en-GB"/>
              </w:rPr>
              <w:t>Completion</w:t>
            </w:r>
            <w:r w:rsidRPr="00FE48E2">
              <w:rPr>
                <w:rFonts w:eastAsia="Times New Roman"/>
                <w:noProof/>
                <w:color w:val="004300"/>
                <w:sz w:val="18"/>
                <w:szCs w:val="18"/>
                <w:lang w:val="en-IE"/>
              </w:rPr>
              <w:t xml:space="preserve"> report by an independent engineer certified by the Ministry of Agriculture for the remaining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rsidRPr="00FE48E2" w:rsidR="00D87E44" w:rsidRDefault="00D87E44" w14:paraId="15457F44" w14:textId="77777777">
            <w:pPr>
              <w:spacing w:line="240" w:lineRule="auto"/>
              <w:rPr>
                <w:noProof/>
                <w:color w:val="004300"/>
                <w:sz w:val="18"/>
                <w:szCs w:val="18"/>
                <w:lang w:val="en-IE"/>
              </w:rPr>
            </w:pPr>
            <w:r w:rsidRPr="00FE48E2">
              <w:rPr>
                <w:rFonts w:eastAsia="Times New Roman"/>
                <w:noProof/>
                <w:color w:val="004300"/>
                <w:sz w:val="18"/>
                <w:szCs w:val="18"/>
                <w:lang w:val="en-IE"/>
              </w:rPr>
              <w:t xml:space="preserve">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w:t>
            </w:r>
            <w:r w:rsidRPr="00FE48E2">
              <w:rPr>
                <w:rFonts w:eastAsia="Times New Roman"/>
                <w:noProof/>
                <w:color w:val="004300"/>
                <w:sz w:val="18"/>
                <w:szCs w:val="18"/>
                <w:lang w:val="en-IE"/>
              </w:rPr>
              <w:t xml:space="preserve">pressures related to water abstraction The impact assessment shall establish that </w:t>
            </w:r>
            <w:r w:rsidRPr="00FE48E2">
              <w:rPr>
                <w:rFonts w:eastAsia="Times New Roman"/>
                <w:noProof/>
                <w:color w:val="004300"/>
                <w:sz w:val="18"/>
                <w:szCs w:val="18"/>
                <w:lang w:val="en-IE"/>
              </w:rPr>
              <w:lastRenderedPageBreak/>
              <w:t xml:space="preserve">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Projects shall contribute to the achievement of good ecological status or potential of the </w:t>
            </w:r>
            <w:r w:rsidRPr="00FE48E2">
              <w:rPr>
                <w:rFonts w:eastAsia="Times New Roman"/>
                <w:noProof/>
                <w:color w:val="004300"/>
                <w:sz w:val="18"/>
                <w:szCs w:val="18"/>
                <w:lang w:val="en-IE"/>
              </w:rPr>
              <w:t>water bodies concerned in accordance with the requirements of the Water Framework Directive 2000/60/EC</w:t>
            </w:r>
          </w:p>
          <w:p w:rsidRPr="00FE48E2" w:rsidR="00D87E44" w:rsidRDefault="00D87E44" w14:paraId="15457F45" w14:textId="77777777">
            <w:pPr>
              <w:spacing w:line="240" w:lineRule="auto"/>
              <w:rPr>
                <w:noProof/>
                <w:color w:val="004300"/>
                <w:sz w:val="18"/>
                <w:szCs w:val="18"/>
                <w:lang w:val="en-IE"/>
              </w:rPr>
            </w:pPr>
            <w:r w:rsidRPr="00FE48E2">
              <w:rPr>
                <w:rFonts w:eastAsia="Times New Roman"/>
                <w:noProof/>
                <w:color w:val="004300"/>
                <w:sz w:val="18"/>
                <w:szCs w:val="18"/>
                <w:lang w:val="en-IE"/>
              </w:rPr>
              <w:t>Similarly, all the necessary results and conditions from the Environmental Impact Assessment, completed in accordance with Directive 2011/92/EU shall be respected (in particular stakeholders’ consultation) as well as relevant assessments under the Habitats Directive</w:t>
            </w:r>
            <w:r>
              <w:rPr>
                <w:rFonts w:eastAsia="Times New Roman"/>
                <w:noProof/>
                <w:color w:val="004300"/>
                <w:sz w:val="18"/>
                <w:szCs w:val="18"/>
                <w:lang w:val="en-IE"/>
              </w:rPr>
              <w:t>,</w:t>
            </w:r>
            <w:r w:rsidRPr="00FE48E2">
              <w:rPr>
                <w:rFonts w:eastAsia="Times New Roman"/>
                <w:noProof/>
                <w:color w:val="004300"/>
                <w:sz w:val="18"/>
                <w:szCs w:val="18"/>
                <w:lang w:val="en-IE"/>
              </w:rPr>
              <w:t xml:space="preserve"> as included in the conditions stipulated by the nature protection authorities. </w:t>
            </w:r>
          </w:p>
          <w:p w:rsidRPr="00FE48E2" w:rsidR="00D87E44" w:rsidRDefault="00D87E44" w14:paraId="15457F46" w14:textId="77777777">
            <w:pPr>
              <w:spacing w:line="240" w:lineRule="auto"/>
              <w:rPr>
                <w:noProof/>
                <w:color w:val="004300"/>
                <w:sz w:val="18"/>
                <w:szCs w:val="18"/>
                <w:lang w:val="en-IE"/>
              </w:rPr>
            </w:pPr>
            <w:r w:rsidRPr="00FE48E2">
              <w:rPr>
                <w:rFonts w:eastAsia="Times New Roman"/>
                <w:noProof/>
                <w:color w:val="004300"/>
                <w:sz w:val="18"/>
                <w:szCs w:val="18"/>
                <w:lang w:val="en-IE"/>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r>
      <w:tr w:rsidRPr="00FE48E2" w:rsidR="00E3458A" w:rsidTr="009F3A8B" w14:paraId="15457F54" w14:textId="77777777">
        <w:trPr>
          <w:trHeight w:val="813"/>
          <w:jc w:val="center"/>
        </w:trPr>
        <w:tc>
          <w:tcPr>
            <w:tcW w:w="704" w:type="dxa"/>
            <w:shd w:val="clear" w:color="auto" w:fill="C6EFCE"/>
          </w:tcPr>
          <w:p w:rsidRPr="00B41A05" w:rsidR="00D87E44" w:rsidRDefault="00D87E44" w14:paraId="15457F4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137</w:t>
            </w:r>
          </w:p>
        </w:tc>
        <w:tc>
          <w:tcPr>
            <w:tcW w:w="1559" w:type="dxa"/>
            <w:shd w:val="clear" w:color="auto" w:fill="C6EFCE"/>
          </w:tcPr>
          <w:p w:rsidRPr="00B41A05" w:rsidR="00D87E44" w:rsidRDefault="00D87E44" w14:paraId="15457F4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3: Land consolidation </w:t>
            </w:r>
          </w:p>
        </w:tc>
        <w:tc>
          <w:tcPr>
            <w:tcW w:w="993" w:type="dxa"/>
            <w:shd w:val="clear" w:color="auto" w:fill="C6EFCE"/>
          </w:tcPr>
          <w:p w:rsidRPr="00B41A05" w:rsidR="00D87E44" w:rsidRDefault="00D87E44" w14:paraId="15457F4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4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Completion of green infrastructure projects promoting biodiversity including bio centres, bio corridors and planting of locally </w:t>
            </w:r>
            <w:r w:rsidRPr="00FE48E2">
              <w:rPr>
                <w:rFonts w:eastAsia="Times New Roman"/>
                <w:noProof/>
                <w:color w:val="004300"/>
                <w:sz w:val="18"/>
                <w:szCs w:val="18"/>
                <w:lang w:val="en-IE" w:eastAsia="en-GB"/>
              </w:rPr>
              <w:lastRenderedPageBreak/>
              <w:t>typical greenery in the agriculture landscape (in ha of land served by the investment).</w:t>
            </w:r>
          </w:p>
        </w:tc>
        <w:tc>
          <w:tcPr>
            <w:tcW w:w="1592" w:type="dxa"/>
            <w:shd w:val="clear" w:color="auto" w:fill="C6EFCE"/>
          </w:tcPr>
          <w:p w:rsidRPr="00B41A05" w:rsidR="00D87E44" w:rsidRDefault="00D87E44" w14:paraId="15457F4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 xml:space="preserve"> </w:t>
            </w:r>
          </w:p>
        </w:tc>
        <w:tc>
          <w:tcPr>
            <w:tcW w:w="1385" w:type="dxa"/>
            <w:shd w:val="clear" w:color="auto" w:fill="C6EFCE"/>
          </w:tcPr>
          <w:p w:rsidRPr="00B41A05" w:rsidR="00D87E44" w:rsidRDefault="00D87E44" w14:paraId="15457F4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Hectares of green infrastructure projects</w:t>
            </w:r>
          </w:p>
          <w:p w:rsidRPr="00B41A05" w:rsidR="00D87E44" w:rsidRDefault="00D87E44" w14:paraId="15457F4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4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992" w:type="dxa"/>
            <w:shd w:val="clear" w:color="auto" w:fill="C6EFCE"/>
          </w:tcPr>
          <w:p w:rsidRPr="00B41A05" w:rsidR="00D87E44" w:rsidRDefault="00D87E44" w14:paraId="15457F5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90</w:t>
            </w:r>
          </w:p>
        </w:tc>
        <w:tc>
          <w:tcPr>
            <w:tcW w:w="851" w:type="dxa"/>
            <w:shd w:val="clear" w:color="auto" w:fill="C6EFCE"/>
          </w:tcPr>
          <w:p w:rsidRPr="00B41A05" w:rsidR="00D87E44" w:rsidRDefault="00D87E44" w14:paraId="15457F5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Q4 </w:t>
            </w:r>
          </w:p>
        </w:tc>
        <w:tc>
          <w:tcPr>
            <w:tcW w:w="850" w:type="dxa"/>
            <w:shd w:val="clear" w:color="auto" w:fill="C6EFCE"/>
          </w:tcPr>
          <w:p w:rsidRPr="00B41A05" w:rsidR="00D87E44" w:rsidRDefault="00D87E44" w14:paraId="15457F5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2024 </w:t>
            </w:r>
          </w:p>
        </w:tc>
        <w:tc>
          <w:tcPr>
            <w:tcW w:w="4134" w:type="dxa"/>
            <w:shd w:val="clear" w:color="auto" w:fill="C6EFCE"/>
          </w:tcPr>
          <w:p w:rsidRPr="00B41A05" w:rsidR="00D87E44" w:rsidRDefault="00D87E44" w14:paraId="15457F53" w14:textId="77777777">
            <w:pPr>
              <w:spacing w:before="0" w:after="0" w:line="257"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At least 90ha of green infrastructures projects shall be completed. </w:t>
            </w:r>
          </w:p>
        </w:tc>
      </w:tr>
      <w:tr w:rsidRPr="00FE48E2" w:rsidR="00E3458A" w:rsidTr="009F3A8B" w14:paraId="15457F60" w14:textId="77777777">
        <w:trPr>
          <w:trHeight w:val="2243"/>
          <w:jc w:val="center"/>
        </w:trPr>
        <w:tc>
          <w:tcPr>
            <w:tcW w:w="704" w:type="dxa"/>
            <w:shd w:val="clear" w:color="auto" w:fill="C6EFCE"/>
          </w:tcPr>
          <w:p w:rsidRPr="00B41A05" w:rsidR="00D87E44" w:rsidRDefault="00D87E44" w14:paraId="15457F5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138</w:t>
            </w:r>
          </w:p>
        </w:tc>
        <w:tc>
          <w:tcPr>
            <w:tcW w:w="1559" w:type="dxa"/>
            <w:shd w:val="clear" w:color="auto" w:fill="C6EFCE"/>
          </w:tcPr>
          <w:p w:rsidRPr="00B41A05" w:rsidR="00D87E44" w:rsidRDefault="00D87E44" w14:paraId="15457F5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3: Land consolidation </w:t>
            </w:r>
          </w:p>
        </w:tc>
        <w:tc>
          <w:tcPr>
            <w:tcW w:w="993" w:type="dxa"/>
            <w:shd w:val="clear" w:color="auto" w:fill="C6EFCE"/>
          </w:tcPr>
          <w:p w:rsidRPr="00B41A05" w:rsidR="00D87E44" w:rsidRDefault="00D87E44" w14:paraId="15457F5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5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Completion of environmental protection activities and adaptation to climate change (in ha of land served by the investment). </w:t>
            </w:r>
          </w:p>
        </w:tc>
        <w:tc>
          <w:tcPr>
            <w:tcW w:w="1592" w:type="dxa"/>
            <w:shd w:val="clear" w:color="auto" w:fill="C6EFCE"/>
          </w:tcPr>
          <w:p w:rsidRPr="00B41A05" w:rsidR="00D87E44" w:rsidRDefault="00D87E44" w14:paraId="15457F5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1385" w:type="dxa"/>
            <w:shd w:val="clear" w:color="auto" w:fill="C6EFCE"/>
          </w:tcPr>
          <w:p w:rsidRPr="00B41A05" w:rsidR="00D87E44" w:rsidRDefault="00D87E44" w14:paraId="15457F5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Hectares of land</w:t>
            </w:r>
          </w:p>
        </w:tc>
        <w:tc>
          <w:tcPr>
            <w:tcW w:w="992" w:type="dxa"/>
            <w:shd w:val="clear" w:color="auto" w:fill="C6EFCE"/>
          </w:tcPr>
          <w:p w:rsidRPr="00B41A05" w:rsidR="00D87E44" w:rsidRDefault="00D87E44" w14:paraId="15457F5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992" w:type="dxa"/>
            <w:shd w:val="clear" w:color="auto" w:fill="C6EFCE"/>
          </w:tcPr>
          <w:p w:rsidRPr="00B41A05" w:rsidR="00D87E44" w:rsidRDefault="00D87E44" w14:paraId="15457F5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150</w:t>
            </w:r>
          </w:p>
        </w:tc>
        <w:tc>
          <w:tcPr>
            <w:tcW w:w="851" w:type="dxa"/>
            <w:shd w:val="clear" w:color="auto" w:fill="C6EFCE"/>
          </w:tcPr>
          <w:p w:rsidRPr="00B41A05" w:rsidR="00D87E44" w:rsidRDefault="00D87E44" w14:paraId="15457F5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850" w:type="dxa"/>
            <w:shd w:val="clear" w:color="auto" w:fill="C6EFCE"/>
          </w:tcPr>
          <w:p w:rsidRPr="00B41A05" w:rsidR="00D87E44" w:rsidRDefault="00D87E44" w14:paraId="15457F5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4134" w:type="dxa"/>
            <w:shd w:val="clear" w:color="auto" w:fill="C6EFCE"/>
          </w:tcPr>
          <w:p w:rsidRPr="00B41A05" w:rsidR="00D87E44" w:rsidRDefault="00D87E44" w14:paraId="15457F5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At least 150ha of environmental protection  and </w:t>
            </w:r>
            <w:r w:rsidRPr="06726827">
              <w:rPr>
                <w:rFonts w:eastAsia="Times New Roman"/>
                <w:noProof/>
                <w:color w:val="004300"/>
                <w:sz w:val="18"/>
                <w:szCs w:val="18"/>
                <w:lang w:val="en-IE" w:eastAsia="en-GB"/>
              </w:rPr>
              <w:t xml:space="preserve">of </w:t>
            </w:r>
            <w:r w:rsidRPr="00FE48E2">
              <w:rPr>
                <w:rFonts w:eastAsia="Times New Roman"/>
                <w:noProof/>
                <w:color w:val="004300"/>
                <w:sz w:val="18"/>
                <w:szCs w:val="18"/>
                <w:lang w:val="en-IE" w:eastAsia="en-GB"/>
              </w:rPr>
              <w:t xml:space="preserve">adaptation to climate change projects are completed. These </w:t>
            </w:r>
            <w:r w:rsidRPr="06726827">
              <w:rPr>
                <w:rFonts w:eastAsia="Times New Roman"/>
                <w:noProof/>
                <w:color w:val="004300"/>
                <w:sz w:val="18"/>
                <w:szCs w:val="18"/>
                <w:lang w:val="en-IE" w:eastAsia="en-GB"/>
              </w:rPr>
              <w:t>projects</w:t>
            </w:r>
            <w:r w:rsidRPr="00FE48E2">
              <w:rPr>
                <w:rFonts w:eastAsia="Times New Roman"/>
                <w:noProof/>
                <w:color w:val="004300"/>
                <w:sz w:val="18"/>
                <w:szCs w:val="18"/>
                <w:lang w:val="en-IE" w:eastAsia="en-GB"/>
              </w:rPr>
              <w:t xml:space="preserve"> shall focus on the protection of soil and water</w:t>
            </w:r>
            <w:r w:rsidRPr="63B26985">
              <w:rPr>
                <w:rFonts w:eastAsia="Times New Roman"/>
                <w:noProof/>
                <w:color w:val="004300"/>
                <w:sz w:val="18"/>
                <w:szCs w:val="18"/>
                <w:lang w:val="en-IE" w:eastAsia="en-GB"/>
              </w:rPr>
              <w:t xml:space="preserve"> </w:t>
            </w:r>
            <w:r w:rsidRPr="6010E057">
              <w:rPr>
                <w:rFonts w:eastAsia="Times New Roman"/>
                <w:noProof/>
                <w:color w:val="004300"/>
                <w:sz w:val="18"/>
                <w:szCs w:val="18"/>
                <w:lang w:val="en-IE" w:eastAsia="en-GB"/>
              </w:rPr>
              <w:t xml:space="preserve">by the implementation of </w:t>
            </w:r>
            <w:r w:rsidRPr="00A5551D">
              <w:rPr>
                <w:rFonts w:eastAsia="Times New Roman"/>
                <w:noProof/>
                <w:color w:val="004300"/>
                <w:sz w:val="18"/>
                <w:szCs w:val="18"/>
                <w:lang w:val="en-IE" w:eastAsia="en-GB"/>
              </w:rPr>
              <w:t xml:space="preserve">anti-erosion actions in the landscape </w:t>
            </w:r>
            <w:r w:rsidRPr="00033561">
              <w:rPr>
                <w:rFonts w:eastAsia="Times New Roman"/>
                <w:noProof/>
                <w:color w:val="004300"/>
                <w:sz w:val="18"/>
                <w:szCs w:val="18"/>
                <w:lang w:val="en-IE" w:eastAsia="en-GB"/>
              </w:rPr>
              <w:t>that may include</w:t>
            </w:r>
            <w:r>
              <w:rPr>
                <w:rFonts w:eastAsia="Times New Roman"/>
                <w:noProof/>
                <w:color w:val="004300"/>
                <w:sz w:val="18"/>
                <w:szCs w:val="18"/>
                <w:lang w:val="en-IE" w:eastAsia="en-GB"/>
              </w:rPr>
              <w:t>,</w:t>
            </w:r>
            <w:r w:rsidRPr="00FE5744">
              <w:rPr>
                <w:rFonts w:eastAsia="Times New Roman"/>
                <w:noProof/>
                <w:color w:val="004300"/>
                <w:sz w:val="18"/>
                <w:szCs w:val="18"/>
                <w:lang w:val="en-IE" w:eastAsia="en-GB"/>
              </w:rPr>
              <w:t xml:space="preserve"> but are not limited to balks, diagonals, trenches or grass strips.</w:t>
            </w:r>
            <w:r w:rsidRPr="0E6DC3E7">
              <w:rPr>
                <w:rFonts w:eastAsia="Times New Roman"/>
                <w:noProof/>
                <w:color w:val="004300"/>
                <w:sz w:val="18"/>
                <w:szCs w:val="18"/>
                <w:lang w:val="en-IE" w:eastAsia="en-GB"/>
              </w:rPr>
              <w:t xml:space="preserve"> </w:t>
            </w:r>
          </w:p>
        </w:tc>
      </w:tr>
      <w:tr w:rsidRPr="00FE48E2" w:rsidR="00E3458A" w:rsidTr="009F3A8B" w14:paraId="15457F6C" w14:textId="77777777">
        <w:trPr>
          <w:trHeight w:val="75"/>
          <w:jc w:val="center"/>
        </w:trPr>
        <w:tc>
          <w:tcPr>
            <w:tcW w:w="704" w:type="dxa"/>
            <w:shd w:val="clear" w:color="auto" w:fill="C6EFCE"/>
          </w:tcPr>
          <w:p w:rsidRPr="00B41A05" w:rsidR="00D87E44" w:rsidRDefault="00D87E44" w14:paraId="15457F6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139</w:t>
            </w:r>
          </w:p>
        </w:tc>
        <w:tc>
          <w:tcPr>
            <w:tcW w:w="1559" w:type="dxa"/>
            <w:shd w:val="clear" w:color="auto" w:fill="C6EFCE"/>
          </w:tcPr>
          <w:p w:rsidRPr="00B41A05" w:rsidR="00D87E44" w:rsidRDefault="00D87E44" w14:paraId="15457F6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4: Building forests resilient to climate change  </w:t>
            </w:r>
          </w:p>
        </w:tc>
        <w:tc>
          <w:tcPr>
            <w:tcW w:w="993" w:type="dxa"/>
            <w:shd w:val="clear" w:color="auto" w:fill="C6EFCE"/>
          </w:tcPr>
          <w:p w:rsidRPr="00B41A05" w:rsidR="00D87E44" w:rsidRDefault="00D87E44" w14:paraId="15457F6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1417" w:type="dxa"/>
            <w:shd w:val="clear" w:color="auto" w:fill="C6EFCE"/>
          </w:tcPr>
          <w:p w:rsidRPr="00FE48E2" w:rsidR="00D87E44" w:rsidRDefault="00D87E44" w14:paraId="15457F6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Amendment to the ministerial decree on forest management planning (amendment to Decree No. 84/1996 Coll. on forest management planning)</w:t>
            </w:r>
          </w:p>
        </w:tc>
        <w:tc>
          <w:tcPr>
            <w:tcW w:w="1592" w:type="dxa"/>
            <w:shd w:val="clear" w:color="auto" w:fill="C6EFCE"/>
          </w:tcPr>
          <w:p w:rsidRPr="00B41A05" w:rsidR="00D87E44" w:rsidRDefault="00D87E44" w14:paraId="15457F6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Entry into force of the Amendment to ministerial decree on forest management planning (amendment to Decree No. 84/1996 Coll. on forest management planning) </w:t>
            </w:r>
          </w:p>
        </w:tc>
        <w:tc>
          <w:tcPr>
            <w:tcW w:w="1385" w:type="dxa"/>
            <w:shd w:val="clear" w:color="auto" w:fill="C6EFCE"/>
          </w:tcPr>
          <w:p w:rsidRPr="00B41A05" w:rsidR="00D87E44" w:rsidRDefault="00D87E44" w14:paraId="15457F6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6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992" w:type="dxa"/>
            <w:shd w:val="clear" w:color="auto" w:fill="C6EFCE"/>
          </w:tcPr>
          <w:p w:rsidRPr="00B41A05" w:rsidR="00D87E44" w:rsidRDefault="00D87E44" w14:paraId="15457F6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851" w:type="dxa"/>
            <w:shd w:val="clear" w:color="auto" w:fill="C6EFCE"/>
          </w:tcPr>
          <w:p w:rsidRPr="00FE48E2" w:rsidR="00D87E44" w:rsidRDefault="00D87E44" w14:paraId="15457F6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850" w:type="dxa"/>
            <w:shd w:val="clear" w:color="auto" w:fill="C6EFCE"/>
          </w:tcPr>
          <w:p w:rsidRPr="00FE48E2" w:rsidR="00D87E44" w:rsidRDefault="00D87E44" w14:paraId="15457F6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134" w:type="dxa"/>
            <w:shd w:val="clear" w:color="auto" w:fill="C6EFCE"/>
          </w:tcPr>
          <w:p w:rsidRPr="00B41A05" w:rsidR="00D87E44" w:rsidRDefault="00D87E44" w14:paraId="15457F6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Amendment to the ministerial decree on forest management planning, which shall specifically pave the way for multigenerational, multispecies and resilient forests shall be adopted. </w:t>
            </w:r>
            <w:r w:rsidRPr="00B41A05">
              <w:rPr>
                <w:rFonts w:eastAsia="Times New Roman"/>
                <w:noProof/>
                <w:color w:val="004300"/>
                <w:sz w:val="18"/>
                <w:szCs w:val="18"/>
                <w:lang w:val="en-IE" w:eastAsia="en-GB"/>
              </w:rPr>
              <w:t>The amendment to Forest Management Decree shall aim at the creation of genuine multigenerational forest, introduce innovative methods of forest managements planning for the forests with rich age structure. The Decree shall assure that the tree species composition of newly planted forests aims for close-to-nature composition with significant increase of broadleaved species (so-called "recommended composition" by the research).</w:t>
            </w:r>
          </w:p>
        </w:tc>
      </w:tr>
      <w:tr w:rsidRPr="00FE48E2" w:rsidR="00E3458A" w:rsidTr="009F3A8B" w14:paraId="15457F7D" w14:textId="77777777">
        <w:trPr>
          <w:trHeight w:val="75"/>
          <w:jc w:val="center"/>
        </w:trPr>
        <w:tc>
          <w:tcPr>
            <w:tcW w:w="704" w:type="dxa"/>
            <w:shd w:val="clear" w:color="auto" w:fill="C6EFCE"/>
          </w:tcPr>
          <w:p w:rsidRPr="00FE48E2" w:rsidR="00D87E44" w:rsidRDefault="00D87E44" w14:paraId="15457F6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140</w:t>
            </w:r>
          </w:p>
        </w:tc>
        <w:tc>
          <w:tcPr>
            <w:tcW w:w="1559" w:type="dxa"/>
            <w:shd w:val="clear" w:color="auto" w:fill="C6EFCE"/>
          </w:tcPr>
          <w:p w:rsidRPr="00B41A05" w:rsidR="00D87E44" w:rsidRDefault="00D87E44" w14:paraId="15457F6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4: Building forests resilient to climate change </w:t>
            </w:r>
          </w:p>
        </w:tc>
        <w:tc>
          <w:tcPr>
            <w:tcW w:w="993" w:type="dxa"/>
            <w:shd w:val="clear" w:color="auto" w:fill="C6EFCE"/>
          </w:tcPr>
          <w:p w:rsidRPr="00FE48E2" w:rsidR="00D87E44" w:rsidRDefault="00D87E44" w14:paraId="15457F6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7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T1: Reforestation of 12</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 xml:space="preserve">000 ha of areas by ameliorative and stabilising tree species </w:t>
            </w:r>
          </w:p>
        </w:tc>
        <w:tc>
          <w:tcPr>
            <w:tcW w:w="1592" w:type="dxa"/>
            <w:shd w:val="clear" w:color="auto" w:fill="C6EFCE"/>
          </w:tcPr>
          <w:p w:rsidRPr="00B41A05" w:rsidR="00D87E44" w:rsidRDefault="00D87E44" w14:paraId="15457F7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1385" w:type="dxa"/>
            <w:shd w:val="clear" w:color="auto" w:fill="C6EFCE"/>
          </w:tcPr>
          <w:p w:rsidRPr="00B41A05" w:rsidR="00D87E44" w:rsidRDefault="00D87E44" w14:paraId="15457F7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Hectares of reforestation </w:t>
            </w:r>
          </w:p>
        </w:tc>
        <w:tc>
          <w:tcPr>
            <w:tcW w:w="992" w:type="dxa"/>
            <w:shd w:val="clear" w:color="auto" w:fill="C6EFCE"/>
          </w:tcPr>
          <w:p w:rsidRPr="00B41A05" w:rsidR="00D87E44" w:rsidRDefault="00D87E44" w14:paraId="15457F7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992" w:type="dxa"/>
            <w:shd w:val="clear" w:color="auto" w:fill="C6EFCE"/>
          </w:tcPr>
          <w:p w:rsidRPr="00B41A05" w:rsidR="00D87E44" w:rsidRDefault="00D87E44" w14:paraId="15457F7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12</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000</w:t>
            </w:r>
          </w:p>
        </w:tc>
        <w:tc>
          <w:tcPr>
            <w:tcW w:w="851" w:type="dxa"/>
            <w:shd w:val="clear" w:color="auto" w:fill="C6EFCE"/>
          </w:tcPr>
          <w:p w:rsidRPr="00FE48E2" w:rsidR="00D87E44" w:rsidRDefault="00D87E44" w14:paraId="15457F7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Q3</w:t>
            </w:r>
          </w:p>
        </w:tc>
        <w:tc>
          <w:tcPr>
            <w:tcW w:w="850" w:type="dxa"/>
            <w:shd w:val="clear" w:color="auto" w:fill="C6EFCE"/>
          </w:tcPr>
          <w:p w:rsidRPr="00FE48E2" w:rsidR="00D87E44" w:rsidRDefault="00D87E44" w14:paraId="15457F7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2022</w:t>
            </w:r>
          </w:p>
        </w:tc>
        <w:tc>
          <w:tcPr>
            <w:tcW w:w="4134" w:type="dxa"/>
            <w:shd w:val="clear" w:color="auto" w:fill="C6EFCE"/>
          </w:tcPr>
          <w:p w:rsidRPr="00FE48E2" w:rsidR="00D87E44" w:rsidRDefault="00D87E44" w14:paraId="15457F77"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Completion report by an independent body for 12</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 xml:space="preserve">000 ha reforestation projects. The reforestation shall aim to ensure multigenerational, multispecies forest with regard to spatial composition which are managed according to a continuous cover forestry approach. Even-aged monospecific forests shall be replaced by more biodiverse ecosystems, restricting the use of clear-cutting to cases where it is needed to ensure forest health </w:t>
            </w:r>
            <w:r w:rsidRPr="00FE48E2">
              <w:rPr>
                <w:rFonts w:eastAsia="Times New Roman"/>
                <w:noProof/>
                <w:color w:val="004300"/>
                <w:sz w:val="18"/>
                <w:szCs w:val="18"/>
                <w:lang w:val="en-IE" w:eastAsia="en-GB"/>
              </w:rPr>
              <w:lastRenderedPageBreak/>
              <w:t>and effective regeneration, and limiting the size of the clear-cut area as much as possible. </w:t>
            </w:r>
          </w:p>
          <w:p w:rsidR="00D87E44" w:rsidP="00BC7231" w:rsidRDefault="00D87E44" w14:paraId="15457F78"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Native tree species shall be </w:t>
            </w:r>
            <w:r w:rsidRPr="00FE48E2">
              <w:rPr>
                <w:rFonts w:eastAsia="Times New Roman"/>
                <w:noProof/>
                <w:color w:val="004300"/>
                <w:sz w:val="18"/>
                <w:szCs w:val="18"/>
                <w:lang w:val="en-IE" w:eastAsia="en-GB"/>
              </w:rPr>
              <w:t>used, unless it can be demonstrated that they are no longer adapted to projected climatic and pedo-hydrological conditions. Also, admixtures of not more than 25% of Douglas fir in mixed stands shall be accepted</w:t>
            </w:r>
            <w:r>
              <w:rPr>
                <w:rFonts w:eastAsia="Times New Roman"/>
                <w:noProof/>
                <w:color w:val="004300"/>
                <w:sz w:val="18"/>
                <w:szCs w:val="18"/>
                <w:lang w:val="en-IE" w:eastAsia="en-GB"/>
              </w:rPr>
              <w:t xml:space="preserve"> </w:t>
            </w:r>
          </w:p>
          <w:p w:rsidRPr="00BC7231" w:rsidR="00D87E44" w:rsidP="00FF1320" w:rsidRDefault="00D87E44" w14:paraId="15457F79" w14:textId="77777777">
            <w:pPr>
              <w:pStyle w:val="ListParagraph"/>
              <w:numPr>
                <w:ilvl w:val="0"/>
                <w:numId w:val="50"/>
              </w:numPr>
              <w:autoSpaceDE w:val="0"/>
              <w:autoSpaceDN w:val="0"/>
              <w:spacing w:before="0" w:after="0" w:line="240" w:lineRule="auto"/>
              <w:rPr>
                <w:rFonts w:eastAsia="Times New Roman"/>
                <w:noProof/>
                <w:color w:val="004300"/>
                <w:sz w:val="18"/>
                <w:szCs w:val="18"/>
                <w:lang w:val="en-IE" w:eastAsia="en-GB"/>
              </w:rPr>
            </w:pPr>
            <w:r w:rsidRPr="00BC7231">
              <w:rPr>
                <w:rFonts w:eastAsia="Times New Roman"/>
                <w:noProof/>
                <w:color w:val="004300"/>
                <w:sz w:val="18"/>
                <w:szCs w:val="18"/>
                <w:lang w:val="en-IE" w:eastAsia="en-GB"/>
              </w:rPr>
              <w:t>where allowed by national legislation </w:t>
            </w:r>
          </w:p>
          <w:p w:rsidRPr="00BC7231" w:rsidR="00D87E44" w:rsidP="00FF1320" w:rsidRDefault="00D87E44" w14:paraId="15457F7A" w14:textId="77777777">
            <w:pPr>
              <w:pStyle w:val="ListParagraph"/>
              <w:numPr>
                <w:ilvl w:val="0"/>
                <w:numId w:val="50"/>
              </w:numPr>
              <w:autoSpaceDE w:val="0"/>
              <w:autoSpaceDN w:val="0"/>
              <w:spacing w:before="0" w:after="0" w:line="240" w:lineRule="auto"/>
              <w:rPr>
                <w:rFonts w:eastAsia="Times New Roman"/>
                <w:noProof/>
                <w:color w:val="004300"/>
                <w:sz w:val="18"/>
                <w:szCs w:val="18"/>
                <w:lang w:val="en-IE" w:eastAsia="en-GB"/>
              </w:rPr>
            </w:pPr>
            <w:r w:rsidRPr="00BC7231">
              <w:rPr>
                <w:rFonts w:eastAsia="Times New Roman"/>
                <w:noProof/>
                <w:color w:val="004300"/>
                <w:sz w:val="18"/>
                <w:szCs w:val="18"/>
                <w:lang w:val="en-IE" w:eastAsia="en-GB"/>
              </w:rPr>
              <w:t>excluding Natura 2000 and other protected areas</w:t>
            </w:r>
          </w:p>
          <w:p w:rsidR="00D87E44" w:rsidP="00FF1320" w:rsidRDefault="00D87E44" w14:paraId="15457F7B" w14:textId="77777777">
            <w:pPr>
              <w:pStyle w:val="ListParagraph"/>
              <w:numPr>
                <w:ilvl w:val="0"/>
                <w:numId w:val="50"/>
              </w:numPr>
              <w:autoSpaceDE w:val="0"/>
              <w:autoSpaceDN w:val="0"/>
              <w:spacing w:before="0" w:after="0" w:line="240" w:lineRule="auto"/>
              <w:rPr>
                <w:rFonts w:eastAsia="Times New Roman"/>
                <w:noProof/>
                <w:color w:val="004300"/>
                <w:sz w:val="18"/>
                <w:szCs w:val="18"/>
                <w:lang w:val="en-IE" w:eastAsia="en-GB"/>
              </w:rPr>
            </w:pPr>
            <w:r w:rsidRPr="00BC7231">
              <w:rPr>
                <w:rFonts w:eastAsia="Times New Roman"/>
                <w:noProof/>
                <w:color w:val="004300"/>
                <w:sz w:val="18"/>
                <w:szCs w:val="18"/>
                <w:lang w:val="en-IE" w:eastAsia="en-GB"/>
              </w:rPr>
              <w:t>and if the suitability of Douglas fir for the projected</w:t>
            </w:r>
          </w:p>
          <w:p w:rsidRPr="009D3751" w:rsidR="00D87E44" w:rsidP="009D3751" w:rsidRDefault="00D87E44" w14:paraId="15457F7C" w14:textId="77777777">
            <w:pPr>
              <w:autoSpaceDE w:val="0"/>
              <w:autoSpaceDN w:val="0"/>
              <w:spacing w:before="0" w:after="0" w:line="240" w:lineRule="auto"/>
              <w:rPr>
                <w:rFonts w:eastAsia="Times New Roman"/>
                <w:noProof/>
                <w:color w:val="004300"/>
                <w:sz w:val="18"/>
                <w:szCs w:val="18"/>
                <w:lang w:val="en-IE" w:eastAsia="en-GB"/>
              </w:rPr>
            </w:pPr>
            <w:r w:rsidRPr="009D3751">
              <w:rPr>
                <w:rFonts w:eastAsia="Times New Roman"/>
                <w:noProof/>
                <w:color w:val="004300"/>
                <w:sz w:val="18"/>
                <w:szCs w:val="18"/>
                <w:lang w:val="en-IE" w:eastAsia="en-GB"/>
              </w:rPr>
              <w:t xml:space="preserve">climatic conditions of the site of reforestation can be demonstrated. </w:t>
            </w:r>
          </w:p>
        </w:tc>
      </w:tr>
      <w:tr w:rsidRPr="00FE48E2" w:rsidR="00E3458A" w:rsidTr="009F3A8B" w14:paraId="15457F8D" w14:textId="77777777">
        <w:trPr>
          <w:trHeight w:val="671"/>
          <w:jc w:val="center"/>
        </w:trPr>
        <w:tc>
          <w:tcPr>
            <w:tcW w:w="704" w:type="dxa"/>
            <w:shd w:val="clear" w:color="auto" w:fill="C6EFCE"/>
          </w:tcPr>
          <w:p w:rsidRPr="00B41A05" w:rsidR="00D87E44" w:rsidRDefault="00D87E44" w14:paraId="15457F7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141</w:t>
            </w:r>
          </w:p>
        </w:tc>
        <w:tc>
          <w:tcPr>
            <w:tcW w:w="1559" w:type="dxa"/>
            <w:shd w:val="clear" w:color="auto" w:fill="C6EFCE"/>
          </w:tcPr>
          <w:p w:rsidRPr="00B41A05" w:rsidR="00D87E44" w:rsidRDefault="00D87E44" w14:paraId="15457F7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4: Building forests resilient to climate change</w:t>
            </w:r>
          </w:p>
        </w:tc>
        <w:tc>
          <w:tcPr>
            <w:tcW w:w="993" w:type="dxa"/>
            <w:shd w:val="clear" w:color="auto" w:fill="C6EFCE"/>
          </w:tcPr>
          <w:p w:rsidRPr="00FE48E2" w:rsidR="00D87E44" w:rsidRDefault="00D87E44" w14:paraId="15457F8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8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T2: </w:t>
            </w:r>
            <w:r w:rsidRPr="00FE48E2">
              <w:rPr>
                <w:rFonts w:eastAsia="Times New Roman"/>
                <w:noProof/>
                <w:color w:val="004300"/>
                <w:sz w:val="18"/>
                <w:szCs w:val="18"/>
                <w:lang w:val="en-IE" w:eastAsia="en-GB"/>
              </w:rPr>
              <w:t>Reforestation of additional 24</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 xml:space="preserve">000ha of areas by ameliorative and stabilising tree species </w:t>
            </w:r>
          </w:p>
        </w:tc>
        <w:tc>
          <w:tcPr>
            <w:tcW w:w="1592" w:type="dxa"/>
            <w:shd w:val="clear" w:color="auto" w:fill="C6EFCE"/>
          </w:tcPr>
          <w:p w:rsidRPr="00FE48E2" w:rsidR="00D87E44" w:rsidRDefault="00D87E44" w14:paraId="15457F82" w14:textId="77777777">
            <w:pPr>
              <w:spacing w:before="0" w:after="0" w:line="240" w:lineRule="auto"/>
              <w:rPr>
                <w:rFonts w:eastAsia="Times New Roman"/>
                <w:noProof/>
                <w:color w:val="004300"/>
                <w:sz w:val="18"/>
                <w:szCs w:val="18"/>
                <w:lang w:val="en-IE" w:eastAsia="en-GB"/>
              </w:rPr>
            </w:pPr>
          </w:p>
        </w:tc>
        <w:tc>
          <w:tcPr>
            <w:tcW w:w="1385" w:type="dxa"/>
            <w:shd w:val="clear" w:color="auto" w:fill="C6EFCE"/>
          </w:tcPr>
          <w:p w:rsidRPr="00FE48E2" w:rsidR="00D87E44" w:rsidRDefault="00D87E44" w14:paraId="15457F8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Hectares of reforestation </w:t>
            </w:r>
          </w:p>
        </w:tc>
        <w:tc>
          <w:tcPr>
            <w:tcW w:w="992" w:type="dxa"/>
            <w:shd w:val="clear" w:color="auto" w:fill="C6EFCE"/>
          </w:tcPr>
          <w:p w:rsidRPr="00B41A05" w:rsidR="00D87E44" w:rsidRDefault="00D87E44" w14:paraId="15457F8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12</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000</w:t>
            </w:r>
          </w:p>
        </w:tc>
        <w:tc>
          <w:tcPr>
            <w:tcW w:w="992" w:type="dxa"/>
            <w:shd w:val="clear" w:color="auto" w:fill="C6EFCE"/>
          </w:tcPr>
          <w:p w:rsidRPr="00B41A05" w:rsidR="00D87E44" w:rsidRDefault="00D87E44" w14:paraId="15457F8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36</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000</w:t>
            </w:r>
          </w:p>
        </w:tc>
        <w:tc>
          <w:tcPr>
            <w:tcW w:w="851" w:type="dxa"/>
            <w:shd w:val="clear" w:color="auto" w:fill="C6EFCE"/>
          </w:tcPr>
          <w:p w:rsidRPr="00B41A05" w:rsidR="00D87E44" w:rsidRDefault="00D87E44" w14:paraId="15457F8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Q3</w:t>
            </w:r>
          </w:p>
        </w:tc>
        <w:tc>
          <w:tcPr>
            <w:tcW w:w="850" w:type="dxa"/>
            <w:shd w:val="clear" w:color="auto" w:fill="C6EFCE"/>
          </w:tcPr>
          <w:p w:rsidRPr="00B41A05" w:rsidR="00D87E44" w:rsidRDefault="00D87E44" w14:paraId="15457F8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4134" w:type="dxa"/>
            <w:shd w:val="clear" w:color="auto" w:fill="C6EFCE"/>
          </w:tcPr>
          <w:p w:rsidRPr="00FE48E2" w:rsidR="00D87E44" w:rsidRDefault="00D87E44" w14:paraId="15457F88"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Completion report by an independent body for an additional 24</w:t>
            </w:r>
            <w:r w:rsidRPr="00B41A05">
              <w:rPr>
                <w:rFonts w:eastAsia="Times New Roman"/>
                <w:noProof/>
                <w:color w:val="004300"/>
                <w:sz w:val="18"/>
                <w:szCs w:val="18"/>
                <w:lang w:val="en-IE" w:eastAsia="en-GB"/>
              </w:rPr>
              <w:t> </w:t>
            </w:r>
            <w:r w:rsidRPr="00FE48E2">
              <w:rPr>
                <w:rFonts w:eastAsia="Times New Roman"/>
                <w:noProof/>
                <w:color w:val="004300"/>
                <w:sz w:val="18"/>
                <w:szCs w:val="18"/>
                <w:lang w:val="en-IE" w:eastAsia="en-GB"/>
              </w:rPr>
              <w:t xml:space="preserve">000ha. </w:t>
            </w:r>
          </w:p>
          <w:p w:rsidRPr="00FE48E2" w:rsidR="00D87E44" w:rsidRDefault="00D87E44" w14:paraId="15457F89"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Native tree species shall be used, unless it can be demonstrated that they are no longer adapted to projected climatic and pedo-hydrological conditions. Also, admixtures of not more than 25% of Douglas fir in mixed stands shall be accepted</w:t>
            </w:r>
          </w:p>
          <w:p w:rsidRPr="00FE48E2" w:rsidR="00D87E44" w:rsidRDefault="00D87E44" w14:paraId="15457F8A"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where allowed by national legislation </w:t>
            </w:r>
          </w:p>
          <w:p w:rsidRPr="00FE48E2" w:rsidR="00D87E44" w:rsidRDefault="00D87E44" w14:paraId="15457F8B"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excluding Natura 2</w:t>
            </w:r>
            <w:r>
              <w:rPr>
                <w:rFonts w:eastAsia="Times New Roman"/>
                <w:noProof/>
                <w:color w:val="004300"/>
                <w:sz w:val="18"/>
                <w:szCs w:val="18"/>
                <w:lang w:val="en-IE" w:eastAsia="en-GB"/>
              </w:rPr>
              <w:t> </w:t>
            </w:r>
            <w:r w:rsidRPr="00FE48E2">
              <w:rPr>
                <w:rFonts w:eastAsia="Times New Roman"/>
                <w:noProof/>
                <w:color w:val="004300"/>
                <w:sz w:val="18"/>
                <w:szCs w:val="18"/>
                <w:lang w:val="en-IE" w:eastAsia="en-GB"/>
              </w:rPr>
              <w:t>000 and other protected areas</w:t>
            </w:r>
          </w:p>
          <w:p w:rsidRPr="00B41A05" w:rsidR="00D87E44" w:rsidRDefault="00D87E44" w14:paraId="15457F8C" w14:textId="77777777">
            <w:pPr>
              <w:autoSpaceDE w:val="0"/>
              <w:autoSpaceDN w:val="0"/>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and if the suitability of Douglas fir for the projected climatic conditions of the site of reforestation can be demonstrated.</w:t>
            </w:r>
          </w:p>
        </w:tc>
      </w:tr>
      <w:tr w:rsidRPr="00FE48E2" w:rsidR="00E3458A" w:rsidTr="009F3A8B" w14:paraId="15457F99" w14:textId="77777777">
        <w:trPr>
          <w:trHeight w:val="315"/>
          <w:jc w:val="center"/>
        </w:trPr>
        <w:tc>
          <w:tcPr>
            <w:tcW w:w="704" w:type="dxa"/>
            <w:shd w:val="clear" w:color="auto" w:fill="C6EFCE"/>
          </w:tcPr>
          <w:p w:rsidRPr="00B41A05" w:rsidR="00D87E44" w:rsidRDefault="00D87E44" w14:paraId="15457F8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142</w:t>
            </w:r>
          </w:p>
        </w:tc>
        <w:tc>
          <w:tcPr>
            <w:tcW w:w="1559" w:type="dxa"/>
            <w:shd w:val="clear" w:color="auto" w:fill="C6EFCE"/>
          </w:tcPr>
          <w:p w:rsidRPr="00B41A05" w:rsidR="00D87E44" w:rsidRDefault="00D87E44" w14:paraId="15457F8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5: Water retention in </w:t>
            </w:r>
            <w:r w:rsidRPr="00FE48E2">
              <w:rPr>
                <w:rFonts w:eastAsia="Times New Roman"/>
                <w:noProof/>
                <w:color w:val="004300"/>
                <w:sz w:val="18"/>
                <w:szCs w:val="18"/>
                <w:lang w:val="en-IE" w:eastAsia="en-GB"/>
              </w:rPr>
              <w:t>forest</w:t>
            </w:r>
          </w:p>
        </w:tc>
        <w:tc>
          <w:tcPr>
            <w:tcW w:w="993" w:type="dxa"/>
            <w:shd w:val="clear" w:color="auto" w:fill="C6EFCE"/>
          </w:tcPr>
          <w:p w:rsidRPr="00B41A05" w:rsidR="00D87E44" w:rsidRDefault="00D87E44" w14:paraId="15457F9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9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T1: Completion of 40 projects of torrent control (small scale wooden and natural stone dams) to slow down surface runoff and water retention projects in forests </w:t>
            </w:r>
            <w:r w:rsidRPr="00FE48E2">
              <w:rPr>
                <w:rFonts w:eastAsia="Times New Roman"/>
                <w:noProof/>
                <w:color w:val="004300"/>
                <w:sz w:val="18"/>
                <w:szCs w:val="18"/>
                <w:lang w:val="en-IE" w:eastAsia="en-GB"/>
              </w:rPr>
              <w:lastRenderedPageBreak/>
              <w:t>(retention and small reservoirs).</w:t>
            </w:r>
          </w:p>
        </w:tc>
        <w:tc>
          <w:tcPr>
            <w:tcW w:w="1592" w:type="dxa"/>
            <w:shd w:val="clear" w:color="auto" w:fill="C6EFCE"/>
          </w:tcPr>
          <w:p w:rsidRPr="00FE48E2" w:rsidR="00D87E44" w:rsidRDefault="00D87E44" w14:paraId="15457F92" w14:textId="77777777">
            <w:pPr>
              <w:spacing w:before="0" w:after="0" w:line="240" w:lineRule="auto"/>
              <w:rPr>
                <w:rFonts w:eastAsia="Times New Roman"/>
                <w:noProof/>
                <w:color w:val="004300"/>
                <w:sz w:val="18"/>
                <w:szCs w:val="18"/>
                <w:lang w:val="en-IE" w:eastAsia="en-GB"/>
              </w:rPr>
            </w:pPr>
          </w:p>
        </w:tc>
        <w:tc>
          <w:tcPr>
            <w:tcW w:w="1385" w:type="dxa"/>
            <w:shd w:val="clear" w:color="auto" w:fill="C6EFCE"/>
          </w:tcPr>
          <w:p w:rsidRPr="00B41A05" w:rsidR="00D87E44" w:rsidRDefault="00D87E44" w14:paraId="15457F9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Number of projects</w:t>
            </w:r>
          </w:p>
        </w:tc>
        <w:tc>
          <w:tcPr>
            <w:tcW w:w="992" w:type="dxa"/>
            <w:shd w:val="clear" w:color="auto" w:fill="C6EFCE"/>
          </w:tcPr>
          <w:p w:rsidRPr="00B41A05" w:rsidR="00D87E44" w:rsidRDefault="00D87E44" w14:paraId="15457F9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0</w:t>
            </w:r>
          </w:p>
        </w:tc>
        <w:tc>
          <w:tcPr>
            <w:tcW w:w="992" w:type="dxa"/>
            <w:shd w:val="clear" w:color="auto" w:fill="C6EFCE"/>
          </w:tcPr>
          <w:p w:rsidRPr="00B41A05" w:rsidR="00D87E44" w:rsidRDefault="00D87E44" w14:paraId="15457F9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40</w:t>
            </w:r>
          </w:p>
        </w:tc>
        <w:tc>
          <w:tcPr>
            <w:tcW w:w="851" w:type="dxa"/>
            <w:shd w:val="clear" w:color="auto" w:fill="C6EFCE"/>
          </w:tcPr>
          <w:p w:rsidRPr="00FE48E2" w:rsidR="00D87E44" w:rsidRDefault="00D87E44" w14:paraId="15457F9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850" w:type="dxa"/>
            <w:shd w:val="clear" w:color="auto" w:fill="C6EFCE"/>
          </w:tcPr>
          <w:p w:rsidRPr="00FE48E2" w:rsidR="00D87E44" w:rsidRDefault="00D87E44" w14:paraId="15457F9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134" w:type="dxa"/>
            <w:shd w:val="clear" w:color="auto" w:fill="C6EFCE"/>
          </w:tcPr>
          <w:p w:rsidRPr="00B41A05" w:rsidR="00D87E44" w:rsidRDefault="00D87E44" w14:paraId="15457F9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Completion report by an independent body for 40 projects</w:t>
            </w:r>
            <w:r>
              <w:rPr>
                <w:rFonts w:eastAsia="Times New Roman"/>
                <w:noProof/>
                <w:color w:val="004300"/>
                <w:sz w:val="18"/>
                <w:szCs w:val="18"/>
                <w:lang w:val="en-IE" w:eastAsia="en-GB"/>
              </w:rPr>
              <w:t>.</w:t>
            </w:r>
            <w:r w:rsidRPr="00B41A05">
              <w:rPr>
                <w:rFonts w:eastAsia="Times New Roman"/>
                <w:noProof/>
                <w:color w:val="004300"/>
                <w:sz w:val="18"/>
                <w:szCs w:val="18"/>
                <w:lang w:val="en-IE" w:eastAsia="en-GB"/>
              </w:rPr>
              <w:t xml:space="preserve"> </w:t>
            </w:r>
            <w:r w:rsidRPr="008A5B03">
              <w:rPr>
                <w:rFonts w:eastAsia="Times New Roman"/>
                <w:noProof/>
                <w:color w:val="004300"/>
                <w:sz w:val="18"/>
                <w:szCs w:val="18"/>
                <w:lang w:val="en-IE" w:eastAsia="en-GB"/>
              </w:rPr>
              <w:t>Projects shall be as far as possible nature-based</w:t>
            </w:r>
            <w:r w:rsidRPr="006C0170">
              <w:rPr>
                <w:rFonts w:eastAsia="Times New Roman"/>
                <w:noProof/>
                <w:color w:val="004300"/>
                <w:sz w:val="18"/>
                <w:szCs w:val="18"/>
                <w:lang w:val="en-IE" w:eastAsia="en-GB"/>
              </w:rPr>
              <w:t xml:space="preserve"> </w:t>
            </w:r>
            <w:r w:rsidRPr="00FE48E2">
              <w:rPr>
                <w:rFonts w:eastAsia="Times New Roman"/>
                <w:noProof/>
                <w:color w:val="004300"/>
                <w:sz w:val="18"/>
                <w:szCs w:val="18"/>
                <w:lang w:val="en-IE" w:eastAsia="en-GB"/>
              </w:rPr>
              <w:t>(in line with the National Action Plan for Climate Change Adaptation as well as the National Policy of the Czech Republic to combat droughts). The projects’ designs shall incorporate the necessary results and conditions from the Environmental Impact Assessment, which shall be completed in accordance with Directive 2011/92/EU as well as relevant assessments in the context of Directive 2000/60/EC and Council Directive 92/43/EE.</w:t>
            </w:r>
          </w:p>
        </w:tc>
      </w:tr>
      <w:tr w:rsidRPr="00FE48E2" w:rsidR="00E3458A" w:rsidTr="009F3A8B" w14:paraId="15457FA5" w14:textId="77777777">
        <w:trPr>
          <w:trHeight w:val="755"/>
          <w:jc w:val="center"/>
        </w:trPr>
        <w:tc>
          <w:tcPr>
            <w:tcW w:w="704" w:type="dxa"/>
            <w:shd w:val="clear" w:color="auto" w:fill="C6EFCE"/>
          </w:tcPr>
          <w:p w:rsidRPr="00FE48E2" w:rsidR="00D87E44" w:rsidRDefault="00D87E44" w14:paraId="15457F9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143</w:t>
            </w:r>
          </w:p>
        </w:tc>
        <w:tc>
          <w:tcPr>
            <w:tcW w:w="1559" w:type="dxa"/>
            <w:shd w:val="clear" w:color="auto" w:fill="C6EFCE"/>
          </w:tcPr>
          <w:p w:rsidRPr="00B41A05" w:rsidR="00D87E44" w:rsidRDefault="00D87E44" w14:paraId="15457F9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5: Water retention in forest</w:t>
            </w:r>
          </w:p>
        </w:tc>
        <w:tc>
          <w:tcPr>
            <w:tcW w:w="993" w:type="dxa"/>
            <w:shd w:val="clear" w:color="auto" w:fill="C6EFCE"/>
          </w:tcPr>
          <w:p w:rsidRPr="00B41A05" w:rsidR="00D87E44" w:rsidRDefault="00D87E44" w14:paraId="15457F9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417" w:type="dxa"/>
            <w:shd w:val="clear" w:color="auto" w:fill="C6EFCE"/>
          </w:tcPr>
          <w:p w:rsidRPr="00B41A05" w:rsidR="00D87E44" w:rsidRDefault="00D87E44" w14:paraId="15457F9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T2: Completion of 20 additional projects of torrent control (small scale wooden and natural stone dams) to slow down surface runoff and water retention projects in forests </w:t>
            </w:r>
            <w:r w:rsidRPr="00FE48E2">
              <w:rPr>
                <w:rFonts w:eastAsia="Times New Roman"/>
                <w:noProof/>
                <w:color w:val="004300"/>
                <w:sz w:val="18"/>
                <w:szCs w:val="18"/>
                <w:lang w:val="en-IE" w:eastAsia="en-GB"/>
              </w:rPr>
              <w:t>(retention and small reservoirs).</w:t>
            </w:r>
          </w:p>
        </w:tc>
        <w:tc>
          <w:tcPr>
            <w:tcW w:w="1592" w:type="dxa"/>
            <w:shd w:val="clear" w:color="auto" w:fill="C6EFCE"/>
          </w:tcPr>
          <w:p w:rsidRPr="00B41A05" w:rsidR="00D87E44" w:rsidRDefault="00D87E44" w14:paraId="15457F9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p>
        </w:tc>
        <w:tc>
          <w:tcPr>
            <w:tcW w:w="1385" w:type="dxa"/>
            <w:shd w:val="clear" w:color="auto" w:fill="C6EFCE"/>
          </w:tcPr>
          <w:p w:rsidRPr="00B41A05" w:rsidR="00D87E44" w:rsidRDefault="00D87E44" w14:paraId="15457F9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92" w:type="dxa"/>
            <w:shd w:val="clear" w:color="auto" w:fill="C6EFCE"/>
          </w:tcPr>
          <w:p w:rsidRPr="00B41A05" w:rsidR="00D87E44" w:rsidRDefault="00D87E44" w14:paraId="15457FA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40 </w:t>
            </w:r>
          </w:p>
        </w:tc>
        <w:tc>
          <w:tcPr>
            <w:tcW w:w="992" w:type="dxa"/>
            <w:shd w:val="clear" w:color="auto" w:fill="C6EFCE"/>
          </w:tcPr>
          <w:p w:rsidRPr="00B41A05" w:rsidR="00D87E44" w:rsidRDefault="00D87E44" w14:paraId="15457FA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60</w:t>
            </w:r>
          </w:p>
        </w:tc>
        <w:tc>
          <w:tcPr>
            <w:tcW w:w="851" w:type="dxa"/>
            <w:shd w:val="clear" w:color="auto" w:fill="C6EFCE"/>
          </w:tcPr>
          <w:p w:rsidRPr="00B41A05" w:rsidR="00D87E44" w:rsidRDefault="00D87E44" w14:paraId="15457FA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Q1</w:t>
            </w:r>
          </w:p>
        </w:tc>
        <w:tc>
          <w:tcPr>
            <w:tcW w:w="850" w:type="dxa"/>
            <w:shd w:val="clear" w:color="auto" w:fill="C6EFCE"/>
          </w:tcPr>
          <w:p w:rsidRPr="00FE48E2" w:rsidR="00D87E44" w:rsidRDefault="00D87E44" w14:paraId="15457FA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4134" w:type="dxa"/>
            <w:shd w:val="clear" w:color="auto" w:fill="C6EFCE"/>
          </w:tcPr>
          <w:p w:rsidRPr="00B41A05" w:rsidR="00D87E44" w:rsidRDefault="00D87E44" w14:paraId="15457FA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Completion report by an independent body certified for 20 additional projects. </w:t>
            </w:r>
            <w:r w:rsidRPr="008A5B03">
              <w:rPr>
                <w:rFonts w:eastAsia="Times New Roman"/>
                <w:noProof/>
                <w:color w:val="004300"/>
                <w:sz w:val="18"/>
                <w:szCs w:val="18"/>
                <w:lang w:val="en-IE" w:eastAsia="en-GB"/>
              </w:rPr>
              <w:t>Projects shall be as far as possible nature-based</w:t>
            </w:r>
            <w:r w:rsidRPr="006C0170">
              <w:rPr>
                <w:rFonts w:eastAsia="Times New Roman"/>
                <w:noProof/>
                <w:color w:val="004300"/>
                <w:sz w:val="18"/>
                <w:szCs w:val="18"/>
                <w:lang w:val="en-IE" w:eastAsia="en-GB"/>
              </w:rPr>
              <w:t xml:space="preserve"> </w:t>
            </w:r>
            <w:r w:rsidRPr="00FE48E2">
              <w:rPr>
                <w:rFonts w:eastAsia="Times New Roman"/>
                <w:noProof/>
                <w:color w:val="004300"/>
                <w:sz w:val="18"/>
                <w:szCs w:val="18"/>
                <w:lang w:val="en-IE" w:eastAsia="en-GB"/>
              </w:rPr>
              <w:t xml:space="preserve">(in line with the National Action Plan for Climate Change Adaptation as well as the National Policy of the Czech Republic to combat droughts). The projects’ designs shall incorporate the necessary results and conditions from the Environmental Impact Assessment, which shall be completed in accordance with Directive 2011/92/EU as well as relevant assessments in the context of Directive 2000/60/EC and Council Directive 92/43/EE. </w:t>
            </w:r>
          </w:p>
        </w:tc>
      </w:tr>
    </w:tbl>
    <w:p w:rsidRPr="00FE48E2" w:rsidR="00D87E44" w:rsidP="00D226F4" w:rsidRDefault="00D87E44" w14:paraId="15457FA6" w14:textId="77777777">
      <w:pPr>
        <w:pBdr>
          <w:top w:val="nil"/>
          <w:left w:val="nil"/>
          <w:bottom w:val="nil"/>
          <w:right w:val="nil"/>
          <w:between w:val="nil"/>
        </w:pBdr>
        <w:spacing w:line="240" w:lineRule="auto"/>
        <w:rPr>
          <w:rFonts w:eastAsia="Times New Roman"/>
          <w:noProof/>
          <w:color w:val="000000"/>
          <w:szCs w:val="24"/>
          <w:lang w:val="en-IE"/>
        </w:rPr>
        <w:sectPr w:rsidRPr="00FE48E2" w:rsidR="00C16C1F" w:rsidSect="00D226F4">
          <w:headerReference w:type="even" r:id="R9c78c8aba5474baf"/>
          <w:headerReference w:type="default" r:id="R05d82d121a6b4630"/>
          <w:footerReference w:type="even" r:id="Red0962f72f0444ab"/>
          <w:footerReference w:type="default" r:id="Rfb7b5391945047e2"/>
          <w:headerReference w:type="first" r:id="Ra6a3c83604e64d20"/>
          <w:footerReference w:type="first" r:id="R380185f50f88494e"/>
          <w:pgSz w:w="16839" w:h="11907" w:orient="landscape"/>
          <w:pgMar w:top="1134" w:right="1134" w:bottom="1134" w:left="1134" w:header="567" w:footer="567" w:gutter="0"/>
          <w:cols w:space="720"/>
          <w:docGrid w:linePitch="326"/>
        </w:sectPr>
      </w:pPr>
    </w:p>
    <w:p w:rsidRPr="00FE48E2" w:rsidR="00D87E44" w:rsidP="00D226F4" w:rsidRDefault="00D87E44" w14:paraId="15457FA7" w14:textId="77777777">
      <w:pPr>
        <w:keepNext/>
        <w:tabs>
          <w:tab w:val="left" w:pos="850"/>
        </w:tabs>
        <w:spacing w:line="240" w:lineRule="auto"/>
        <w:jc w:val="both"/>
        <w:outlineLvl w:val="0"/>
        <w:rPr>
          <w:b/>
          <w:bCs/>
          <w:smallCaps/>
          <w:noProof/>
          <w:color w:val="000000"/>
          <w:lang w:val="en-IE"/>
        </w:rPr>
      </w:pPr>
      <w:r w:rsidRPr="3A6A53CF">
        <w:rPr>
          <w:b/>
          <w:bCs/>
          <w:smallCaps/>
          <w:noProof/>
          <w:lang w:val="en-IE"/>
        </w:rPr>
        <w:lastRenderedPageBreak/>
        <w:t xml:space="preserve">N. COMPONENT 2.7: </w:t>
      </w:r>
      <w:r w:rsidRPr="3A6A53CF">
        <w:rPr>
          <w:b/>
          <w:bCs/>
          <w:smallCaps/>
          <w:noProof/>
          <w:color w:val="000000" w:themeColor="text1"/>
          <w:lang w:val="en-IE"/>
        </w:rPr>
        <w:t xml:space="preserve">Circular Economy, Recycling and Industrial Water </w:t>
      </w:r>
    </w:p>
    <w:p w:rsidRPr="00FE48E2" w:rsidR="00D87E44" w:rsidP="00D226F4" w:rsidRDefault="00D87E44" w14:paraId="15457FA8" w14:textId="77777777">
      <w:pPr>
        <w:pBdr>
          <w:top w:val="nil"/>
          <w:left w:val="nil"/>
          <w:bottom w:val="nil"/>
          <w:right w:val="nil"/>
          <w:between w:val="nil"/>
        </w:pBdr>
        <w:spacing w:line="240" w:lineRule="auto"/>
        <w:jc w:val="both"/>
        <w:rPr>
          <w:noProof/>
          <w:color w:val="000000"/>
          <w:lang w:val="en-IE"/>
        </w:rPr>
      </w:pPr>
      <w:r w:rsidRPr="00FE48E2">
        <w:rPr>
          <w:noProof/>
          <w:color w:val="000000" w:themeColor="text1"/>
          <w:lang w:val="en-IE"/>
        </w:rPr>
        <w:t xml:space="preserve">This component of the Czech recovery and resilience plan supports addressing the challenge of waste generation and raw material dependency, with the objective of supporting the transition to a circular economy in Czechia. This </w:t>
      </w:r>
      <w:r w:rsidRPr="00FE48E2" w:rsidDel="00C737EE">
        <w:rPr>
          <w:noProof/>
          <w:color w:val="000000" w:themeColor="text1"/>
          <w:lang w:val="en-IE"/>
        </w:rPr>
        <w:t>shall be</w:t>
      </w:r>
      <w:r w:rsidRPr="00FE48E2">
        <w:rPr>
          <w:noProof/>
          <w:color w:val="000000" w:themeColor="text1"/>
          <w:lang w:val="en-IE"/>
        </w:rPr>
        <w:t xml:space="preserve"> achieved through measures preventing waste, increasing recycling infrastructure, reducing secondary raw material wastage, increasing the share of recycled materials in products, and increasing the raw material security of Czechia through the reduced dependency on imported raw materials due to the continuous and uninterrupted availability of raw materials. Moreover, the component focuses on sustainable water management, including measures aimed at saving and recycling water and optimising the use of</w:t>
      </w:r>
      <w:r w:rsidRPr="00FE48E2">
        <w:rPr>
          <w:noProof/>
          <w:color w:val="000000" w:themeColor="text1"/>
          <w:lang w:val="en-IE"/>
        </w:rPr>
        <w:t xml:space="preserve"> water in businesses. The transition to the circular economy </w:t>
      </w:r>
      <w:r w:rsidRPr="00FE48E2" w:rsidDel="00323355">
        <w:rPr>
          <w:noProof/>
          <w:color w:val="000000" w:themeColor="text1"/>
          <w:lang w:val="en-IE"/>
        </w:rPr>
        <w:t>shall</w:t>
      </w:r>
      <w:r w:rsidRPr="00FE48E2">
        <w:rPr>
          <w:noProof/>
          <w:color w:val="000000" w:themeColor="text1"/>
          <w:lang w:val="en-IE"/>
        </w:rPr>
        <w:t xml:space="preserve"> help increase the resilience of Czechia against both environmental and economic threats. </w:t>
      </w:r>
    </w:p>
    <w:p w:rsidRPr="00FE48E2" w:rsidR="00D87E44" w:rsidP="00D226F4" w:rsidRDefault="00D87E44" w14:paraId="15457FA9" w14:textId="77777777">
      <w:pPr>
        <w:pBdr>
          <w:top w:val="nil"/>
          <w:left w:val="nil"/>
          <w:bottom w:val="nil"/>
          <w:right w:val="nil"/>
          <w:between w:val="nil"/>
        </w:pBdr>
        <w:spacing w:line="240" w:lineRule="auto"/>
        <w:jc w:val="both"/>
        <w:rPr>
          <w:noProof/>
          <w:color w:val="000000"/>
          <w:lang w:val="en-IE"/>
        </w:rPr>
      </w:pPr>
      <w:r w:rsidRPr="378EE0FB">
        <w:rPr>
          <w:noProof/>
          <w:color w:val="000000" w:themeColor="text1"/>
          <w:lang w:val="en-IE"/>
        </w:rPr>
        <w:t xml:space="preserve">The component supports addressing the country specific recommendation, according to which Czechia shall focus investment-related economic policy on low carbon and energy transition, including energy efficiency (Country Specific Recommendation 3 2019), and the country specific recommendation, according to which Czechia shall aim at focus investment on the green and digital transition, in particular on clean and efficient production and use of energy (Country Specific Recommendation 3 2020). </w:t>
      </w:r>
    </w:p>
    <w:p w:rsidRPr="007747A1" w:rsidR="00D87E44" w:rsidP="00D226F4" w:rsidRDefault="00D87E44" w14:paraId="15457FAA" w14:textId="77777777">
      <w:pPr>
        <w:spacing w:line="276" w:lineRule="auto"/>
        <w:jc w:val="both"/>
        <w:rPr>
          <w:noProof/>
          <w:sz w:val="22"/>
          <w:lang w:val="en-IE"/>
        </w:rPr>
      </w:pPr>
      <w:r w:rsidRPr="007747A1">
        <w:rPr>
          <w:noProof/>
        </w:rPr>
        <w:t xml:space="preserve">It is expected that no measure in this component does significant harm to environmental objectives within the meaning of Article 17 of </w:t>
      </w:r>
      <w:r w:rsidRPr="007747A1">
        <w:rPr>
          <w:noProof/>
        </w:rPr>
        <w:t>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7FAB" w14:textId="77777777">
      <w:pPr>
        <w:pBdr>
          <w:top w:val="nil"/>
          <w:left w:val="nil"/>
          <w:bottom w:val="nil"/>
          <w:right w:val="nil"/>
          <w:between w:val="nil"/>
        </w:pBdr>
        <w:spacing w:line="240" w:lineRule="auto"/>
        <w:jc w:val="both"/>
        <w:rPr>
          <w:i/>
          <w:noProof/>
          <w:szCs w:val="24"/>
          <w:lang w:val="en-IE"/>
        </w:rPr>
      </w:pPr>
    </w:p>
    <w:p w:rsidRPr="00FE48E2" w:rsidR="00D87E44" w:rsidP="00D226F4" w:rsidRDefault="00D87E44" w14:paraId="15457FAC" w14:textId="77777777">
      <w:pPr>
        <w:pBdr>
          <w:top w:val="nil"/>
          <w:left w:val="nil"/>
          <w:bottom w:val="nil"/>
          <w:right w:val="nil"/>
          <w:between w:val="nil"/>
        </w:pBdr>
        <w:spacing w:line="240" w:lineRule="auto"/>
        <w:jc w:val="both"/>
        <w:rPr>
          <w:b/>
          <w:bCs/>
          <w:i/>
          <w:iCs/>
          <w:noProof/>
          <w:lang w:val="en-IE"/>
        </w:rPr>
      </w:pPr>
      <w:r w:rsidRPr="3A6A53CF">
        <w:rPr>
          <w:b/>
          <w:bCs/>
          <w:noProof/>
          <w:color w:val="000000" w:themeColor="text1"/>
          <w:u w:val="single"/>
          <w:lang w:val="en-IE"/>
        </w:rPr>
        <w:t>N.1. Description of the reforms and investments for non-repayable financial support</w:t>
      </w:r>
    </w:p>
    <w:p w:rsidRPr="00FE48E2" w:rsidR="00D87E44" w:rsidP="00D226F4" w:rsidRDefault="00D87E44" w14:paraId="15457FAD" w14:textId="77777777">
      <w:pPr>
        <w:pBdr>
          <w:top w:val="nil"/>
          <w:left w:val="nil"/>
          <w:bottom w:val="nil"/>
          <w:right w:val="nil"/>
          <w:between w:val="nil"/>
        </w:pBdr>
        <w:spacing w:line="240" w:lineRule="auto"/>
        <w:jc w:val="both"/>
        <w:rPr>
          <w:noProof/>
          <w:color w:val="000000"/>
          <w:szCs w:val="24"/>
          <w:lang w:val="en-IE"/>
        </w:rPr>
      </w:pPr>
      <w:r w:rsidRPr="006B7328">
        <w:rPr>
          <w:b/>
          <w:noProof/>
          <w:color w:val="000000"/>
          <w:szCs w:val="24"/>
          <w:lang w:val="en-IE"/>
        </w:rPr>
        <w:t>Reform 1: Implementation of new legislation on waste management in the Czech Republic</w:t>
      </w:r>
      <w:r w:rsidRPr="00FE48E2">
        <w:rPr>
          <w:noProof/>
          <w:color w:val="000000"/>
          <w:szCs w:val="24"/>
          <w:lang w:val="en-IE"/>
        </w:rPr>
        <w:t xml:space="preserve"> </w:t>
      </w:r>
    </w:p>
    <w:p w:rsidRPr="00FE48E2" w:rsidR="00D87E44" w:rsidP="00D226F4" w:rsidRDefault="00D87E44" w14:paraId="15457FAE" w14:textId="77777777">
      <w:pPr>
        <w:spacing w:line="240" w:lineRule="auto"/>
        <w:jc w:val="both"/>
        <w:rPr>
          <w:noProof/>
          <w:color w:val="000000"/>
          <w:szCs w:val="24"/>
          <w:lang w:val="en-IE"/>
        </w:rPr>
      </w:pPr>
      <w:r w:rsidRPr="077DF33C">
        <w:rPr>
          <w:rFonts w:eastAsia="Times New Roman"/>
          <w:noProof/>
          <w:lang w:val="en-IE"/>
        </w:rPr>
        <w:t>The reform aims at increasing the prevention, recycling, recovery and sorting of waste and reducing landfilling, with the objective of strengthening the principles of producer responsibility and eco-modulation. By 2035, at least 65 % of the municipal waste shall be recycled</w:t>
      </w:r>
      <w:r w:rsidRPr="077DF33C">
        <w:rPr>
          <w:rFonts w:eastAsia="Times New Roman"/>
          <w:noProof/>
          <w:vertAlign w:val="superscript"/>
          <w:lang w:val="en-IE"/>
        </w:rPr>
        <w:footnoteReference w:id="7"/>
      </w:r>
      <w:r w:rsidRPr="077DF33C">
        <w:rPr>
          <w:rFonts w:eastAsia="Times New Roman"/>
          <w:noProof/>
          <w:lang w:val="en-IE"/>
        </w:rPr>
        <w:t xml:space="preserve"> and a maximum of 10 % shall be landfilled</w:t>
      </w:r>
      <w:r w:rsidRPr="077DF33C">
        <w:rPr>
          <w:rFonts w:eastAsia="Times New Roman"/>
          <w:noProof/>
          <w:vertAlign w:val="superscript"/>
          <w:lang w:val="en-IE"/>
        </w:rPr>
        <w:footnoteReference w:id="8"/>
      </w:r>
      <w:r w:rsidRPr="077DF33C">
        <w:rPr>
          <w:rFonts w:eastAsia="Times New Roman"/>
          <w:noProof/>
          <w:lang w:val="en-IE"/>
        </w:rPr>
        <w:t>. The new legislation on waste management in the Czech Republic has been in force since 1 January 2021. Following the newly adopted waste legislation, the following implementing acts on waste management shall be finalised and enter into force by 30 September 2023</w:t>
      </w:r>
      <w:r w:rsidRPr="077DF33C">
        <w:rPr>
          <w:rFonts w:ascii="Times" w:hAnsi="Times" w:eastAsia="Times" w:cs="Times"/>
          <w:noProof/>
          <w:lang w:val="en-IE"/>
        </w:rPr>
        <w:t>, in accordance with the elements specified in Article 28 of Directive 2008/98/EC as amended by Directive (EU) 2018/851</w:t>
      </w:r>
      <w:r w:rsidRPr="077DF33C">
        <w:rPr>
          <w:rFonts w:eastAsia="Times New Roman"/>
          <w:noProof/>
          <w:lang w:val="en-IE"/>
        </w:rPr>
        <w:t xml:space="preserve">: </w:t>
      </w:r>
    </w:p>
    <w:p w:rsidRPr="00FE48E2" w:rsidR="00D87E44" w:rsidP="00D226F4" w:rsidRDefault="00D87E44" w14:paraId="15457FAF" w14:textId="77777777">
      <w:pPr>
        <w:numPr>
          <w:ilvl w:val="0"/>
          <w:numId w:val="51"/>
        </w:numPr>
        <w:spacing w:line="240" w:lineRule="auto"/>
        <w:jc w:val="both"/>
        <w:rPr>
          <w:rFonts w:ascii="Times" w:hAnsi="Times" w:eastAsia="Times" w:cs="Times"/>
          <w:noProof/>
          <w:color w:val="000000"/>
          <w:szCs w:val="24"/>
          <w:lang w:val="en-IE"/>
        </w:rPr>
      </w:pPr>
      <w:r w:rsidRPr="00FE48E2">
        <w:rPr>
          <w:rFonts w:ascii="Times" w:hAnsi="Times" w:eastAsia="Times" w:cs="Times"/>
          <w:noProof/>
          <w:color w:val="000000"/>
          <w:szCs w:val="24"/>
          <w:lang w:val="en-IE"/>
        </w:rPr>
        <w:t>Decree on the Waste Catalogue No 8/2021 Coll., establishing the new Waste Catalogue and setting rules for evaluation of hazardous properties of waste</w:t>
      </w:r>
    </w:p>
    <w:p w:rsidRPr="00FE48E2" w:rsidR="00D87E44" w:rsidP="00D226F4" w:rsidRDefault="00D87E44" w14:paraId="15457FB0" w14:textId="77777777">
      <w:pPr>
        <w:numPr>
          <w:ilvl w:val="0"/>
          <w:numId w:val="51"/>
        </w:numPr>
        <w:spacing w:line="240" w:lineRule="auto"/>
        <w:jc w:val="both"/>
        <w:rPr>
          <w:rFonts w:ascii="Times" w:hAnsi="Times" w:eastAsia="Times" w:cs="Times"/>
          <w:noProof/>
          <w:color w:val="000000"/>
          <w:szCs w:val="24"/>
          <w:lang w:val="en-IE"/>
        </w:rPr>
      </w:pPr>
      <w:r w:rsidRPr="00FE48E2">
        <w:rPr>
          <w:rFonts w:ascii="Times" w:hAnsi="Times" w:eastAsia="Times" w:cs="Times"/>
          <w:noProof/>
          <w:szCs w:val="24"/>
          <w:lang w:val="en-IE"/>
        </w:rPr>
        <w:t xml:space="preserve">Ordinance on the management of </w:t>
      </w:r>
      <w:r w:rsidRPr="00FE48E2">
        <w:rPr>
          <w:rFonts w:ascii="Times" w:hAnsi="Times" w:eastAsia="Times" w:cs="Times"/>
          <w:noProof/>
          <w:szCs w:val="24"/>
          <w:lang w:val="en-IE"/>
        </w:rPr>
        <w:t>packaging No 30/2021 Coll., providing for rules on packaging registry and notification of the records from such registry, and a methodology of the accounting of use of packaging.</w:t>
      </w:r>
    </w:p>
    <w:p w:rsidRPr="0015265A" w:rsidR="00D87E44" w:rsidP="00D226F4" w:rsidRDefault="00D87E44" w14:paraId="15457FB1" w14:textId="77777777">
      <w:pPr>
        <w:numPr>
          <w:ilvl w:val="0"/>
          <w:numId w:val="51"/>
        </w:numPr>
        <w:spacing w:line="240" w:lineRule="auto"/>
        <w:jc w:val="both"/>
        <w:rPr>
          <w:rFonts w:ascii="Times" w:hAnsi="Times" w:eastAsia="Times" w:cs="Times"/>
          <w:noProof/>
          <w:color w:val="000000"/>
          <w:szCs w:val="24"/>
          <w:lang w:val="en-IE"/>
        </w:rPr>
      </w:pPr>
      <w:r>
        <w:rPr>
          <w:rFonts w:ascii="Times" w:hAnsi="Times" w:eastAsia="Times" w:cs="Times"/>
          <w:noProof/>
          <w:szCs w:val="24"/>
          <w:lang w:val="en-IE"/>
        </w:rPr>
        <w:lastRenderedPageBreak/>
        <w:t>Decree on laying down the conditions under which solid fuel from waste ceases to be waste.</w:t>
      </w:r>
    </w:p>
    <w:p w:rsidRPr="0015265A" w:rsidR="00D87E44" w:rsidP="00D226F4" w:rsidRDefault="00D87E44" w14:paraId="15457FB2" w14:textId="77777777">
      <w:pPr>
        <w:numPr>
          <w:ilvl w:val="0"/>
          <w:numId w:val="51"/>
        </w:numPr>
        <w:spacing w:line="240" w:lineRule="auto"/>
        <w:jc w:val="both"/>
        <w:rPr>
          <w:rFonts w:ascii="Times" w:hAnsi="Times" w:eastAsia="Times" w:cs="Times"/>
          <w:noProof/>
          <w:color w:val="000000"/>
          <w:szCs w:val="24"/>
          <w:lang w:val="en-IE"/>
        </w:rPr>
      </w:pPr>
      <w:r>
        <w:rPr>
          <w:rFonts w:ascii="Times" w:hAnsi="Times" w:eastAsia="Times" w:cs="Times"/>
          <w:noProof/>
          <w:szCs w:val="24"/>
          <w:lang w:val="en-IE"/>
        </w:rPr>
        <w:t>Act on Limiting the Impact of Selected Plastic Products on the Environment.</w:t>
      </w:r>
    </w:p>
    <w:p w:rsidRPr="00FE48E2" w:rsidR="00D87E44" w:rsidP="00D226F4" w:rsidRDefault="00D87E44" w14:paraId="15457FB3" w14:textId="77777777">
      <w:pPr>
        <w:numPr>
          <w:ilvl w:val="0"/>
          <w:numId w:val="51"/>
        </w:numPr>
        <w:spacing w:line="240" w:lineRule="auto"/>
        <w:jc w:val="both"/>
        <w:rPr>
          <w:rFonts w:ascii="Times" w:hAnsi="Times" w:eastAsia="Times" w:cs="Times"/>
          <w:noProof/>
          <w:color w:val="000000"/>
          <w:lang w:val="en-IE"/>
        </w:rPr>
      </w:pPr>
      <w:r w:rsidRPr="7A6BD39F">
        <w:rPr>
          <w:rFonts w:ascii="Times" w:hAnsi="Times" w:eastAsia="Times" w:cs="Times"/>
          <w:noProof/>
          <w:lang w:val="en-IE"/>
        </w:rPr>
        <w:t>Decree on the implementation of certain provisions of the Act on Limiting the Impact of Selected Plastic Products on the Environment.</w:t>
      </w:r>
    </w:p>
    <w:p w:rsidRPr="00FE48E2" w:rsidR="00D87E44" w:rsidP="00D226F4" w:rsidRDefault="00D87E44" w14:paraId="15457FB4" w14:textId="77777777">
      <w:pPr>
        <w:numPr>
          <w:ilvl w:val="0"/>
          <w:numId w:val="51"/>
        </w:numPr>
        <w:spacing w:line="240" w:lineRule="auto"/>
        <w:jc w:val="both"/>
        <w:rPr>
          <w:rFonts w:ascii="Times" w:hAnsi="Times" w:eastAsia="Times" w:cs="Times"/>
          <w:noProof/>
          <w:color w:val="000000"/>
          <w:szCs w:val="24"/>
          <w:lang w:val="en-IE"/>
        </w:rPr>
      </w:pPr>
      <w:r w:rsidRPr="00FE48E2">
        <w:rPr>
          <w:rFonts w:ascii="Times" w:hAnsi="Times" w:eastAsia="Times" w:cs="Times"/>
          <w:noProof/>
          <w:szCs w:val="24"/>
          <w:lang w:val="en-IE"/>
        </w:rPr>
        <w:t>Decree on by-products and waste conversion (asphalt decree), in preparation, setting out conditions under which the asphalt mixture is a by-product or ceases to be waste.</w:t>
      </w:r>
    </w:p>
    <w:p w:rsidRPr="00FE48E2" w:rsidR="00D87E44" w:rsidP="00D226F4" w:rsidRDefault="00D87E44" w14:paraId="15457FB5" w14:textId="77777777">
      <w:pPr>
        <w:numPr>
          <w:ilvl w:val="0"/>
          <w:numId w:val="51"/>
        </w:numPr>
        <w:spacing w:line="240" w:lineRule="auto"/>
        <w:jc w:val="both"/>
        <w:rPr>
          <w:rFonts w:ascii="Times" w:hAnsi="Times" w:eastAsia="Times" w:cs="Times"/>
          <w:noProof/>
          <w:szCs w:val="24"/>
          <w:lang w:val="en-IE"/>
        </w:rPr>
      </w:pPr>
      <w:r w:rsidRPr="00FE48E2">
        <w:rPr>
          <w:rFonts w:ascii="Times" w:hAnsi="Times" w:eastAsia="Times" w:cs="Times"/>
          <w:noProof/>
          <w:szCs w:val="24"/>
          <w:lang w:val="en-IE"/>
        </w:rPr>
        <w:t>Decree on details of the management of end-of-life vehicles, in preparation, setting rules for the collection and processing of end-of-life vehicles, and the method of calculating the level of re-use and recycling or other recovery of end-of-life vehicles.</w:t>
      </w:r>
    </w:p>
    <w:p w:rsidRPr="00FE48E2" w:rsidR="00D87E44" w:rsidP="00D226F4" w:rsidRDefault="00D87E44" w14:paraId="15457FB6" w14:textId="77777777">
      <w:pPr>
        <w:numPr>
          <w:ilvl w:val="0"/>
          <w:numId w:val="51"/>
        </w:numPr>
        <w:spacing w:after="0" w:line="240" w:lineRule="auto"/>
        <w:contextualSpacing/>
        <w:jc w:val="both"/>
        <w:rPr>
          <w:rFonts w:ascii="Times" w:hAnsi="Times" w:eastAsia="Times" w:cs="Times"/>
          <w:noProof/>
          <w:szCs w:val="24"/>
          <w:lang w:val="en-IE"/>
        </w:rPr>
      </w:pPr>
      <w:r w:rsidRPr="00FE48E2">
        <w:rPr>
          <w:rFonts w:ascii="Times" w:hAnsi="Times" w:eastAsia="Times" w:cs="Times"/>
          <w:noProof/>
          <w:szCs w:val="24"/>
          <w:lang w:val="en-IE"/>
        </w:rPr>
        <w:t>Decree on the management of end-of-life products, in preparation, setting out the requirements for holding information campaigns to increase the public awareness of end-of-life products treatment, and setting out technical requirements for storage and use of the electric and electronic waste such as waste batteries and accumulators, waste electrical equipment and waste tires.</w:t>
      </w:r>
    </w:p>
    <w:p w:rsidRPr="00FE48E2" w:rsidR="00D87E44" w:rsidP="00D226F4" w:rsidRDefault="00D87E44" w14:paraId="15457FB7" w14:textId="77777777">
      <w:pPr>
        <w:spacing w:line="240" w:lineRule="auto"/>
        <w:jc w:val="both"/>
        <w:rPr>
          <w:rFonts w:ascii="Times" w:hAnsi="Times" w:eastAsia="Times" w:cs="Times"/>
          <w:noProof/>
          <w:szCs w:val="24"/>
          <w:lang w:val="en-IE"/>
        </w:rPr>
      </w:pPr>
      <w:r w:rsidRPr="00FE48E2">
        <w:rPr>
          <w:rFonts w:ascii="Times" w:hAnsi="Times" w:eastAsia="Times" w:cs="Times"/>
          <w:noProof/>
          <w:szCs w:val="24"/>
          <w:lang w:val="en-IE"/>
        </w:rPr>
        <w:t xml:space="preserve">National and regional waste management plans, aimed at improving the environmentally sound preparation for the re-use, recycling, recovery and disposal of waste shall be finalised and enter into force. </w:t>
      </w:r>
    </w:p>
    <w:p w:rsidRPr="00FE48E2" w:rsidR="00D87E44" w:rsidP="00D226F4" w:rsidRDefault="00D87E44" w14:paraId="15457FB8" w14:textId="77777777">
      <w:pPr>
        <w:spacing w:line="240" w:lineRule="auto"/>
        <w:jc w:val="both"/>
        <w:rPr>
          <w:rFonts w:ascii="Times" w:hAnsi="Times" w:eastAsia="Times" w:cs="Times"/>
          <w:noProof/>
          <w:color w:val="000000"/>
          <w:szCs w:val="24"/>
          <w:lang w:val="en-IE"/>
        </w:rPr>
      </w:pPr>
      <w:r w:rsidRPr="00FE48E2">
        <w:rPr>
          <w:rFonts w:ascii="Times" w:hAnsi="Times" w:eastAsia="Times" w:cs="Times"/>
          <w:noProof/>
          <w:szCs w:val="24"/>
          <w:lang w:val="en-IE"/>
        </w:rPr>
        <w:t xml:space="preserve">The reform shall be completed by 31 December 2023. </w:t>
      </w:r>
    </w:p>
    <w:p w:rsidRPr="006B7328" w:rsidR="00D87E44" w:rsidP="00D226F4" w:rsidRDefault="00D87E44" w14:paraId="15457FB9" w14:textId="77777777">
      <w:pPr>
        <w:pBdr>
          <w:top w:val="nil"/>
          <w:left w:val="nil"/>
          <w:bottom w:val="nil"/>
          <w:right w:val="nil"/>
          <w:between w:val="nil"/>
        </w:pBdr>
        <w:spacing w:line="240" w:lineRule="auto"/>
        <w:jc w:val="both"/>
        <w:rPr>
          <w:noProof/>
          <w:color w:val="000000"/>
          <w:lang w:val="en-IE"/>
        </w:rPr>
      </w:pPr>
      <w:r w:rsidRPr="00FF1320">
        <w:rPr>
          <w:b/>
          <w:color w:val="000000" w:themeColor="text1"/>
          <w:lang w:val="en-IE"/>
        </w:rPr>
        <w:t>Reform 2: Finalisation of the circular Czechia strategy 2040</w:t>
      </w:r>
      <w:r w:rsidRPr="00FF1320">
        <w:rPr>
          <w:color w:val="000000" w:themeColor="text1"/>
          <w:lang w:val="en-IE"/>
        </w:rPr>
        <w:t xml:space="preserve"> </w:t>
      </w:r>
    </w:p>
    <w:p w:rsidRPr="00FF1320" w:rsidR="00D87E44" w:rsidP="00D226F4" w:rsidRDefault="00D87E44" w14:paraId="15457FBA" w14:textId="77777777">
      <w:pPr>
        <w:pBdr>
          <w:top w:val="nil"/>
          <w:left w:val="nil"/>
          <w:bottom w:val="nil"/>
          <w:right w:val="nil"/>
          <w:between w:val="nil"/>
        </w:pBdr>
        <w:spacing w:line="240" w:lineRule="auto"/>
        <w:jc w:val="both"/>
      </w:pPr>
      <w:r w:rsidRPr="00FF1320">
        <w:rPr>
          <w:color w:val="000000" w:themeColor="text1"/>
        </w:rPr>
        <w:t xml:space="preserve">The </w:t>
      </w:r>
      <w:r w:rsidRPr="1F406A94">
        <w:rPr>
          <w:noProof/>
          <w:color w:val="000000" w:themeColor="text1"/>
        </w:rPr>
        <w:t xml:space="preserve">objective of </w:t>
      </w:r>
      <w:r w:rsidRPr="00FF1320">
        <w:rPr>
          <w:color w:val="000000" w:themeColor="text1"/>
        </w:rPr>
        <w:t xml:space="preserve">the </w:t>
      </w:r>
      <w:r w:rsidRPr="1F406A94">
        <w:rPr>
          <w:noProof/>
          <w:color w:val="000000" w:themeColor="text1"/>
        </w:rPr>
        <w:t>measure is to establish</w:t>
      </w:r>
      <w:r w:rsidRPr="00FF1320">
        <w:rPr>
          <w:color w:val="000000" w:themeColor="text1"/>
        </w:rPr>
        <w:t xml:space="preserve"> a strategy for transforming the Czech society into a circular economy</w:t>
      </w:r>
      <w:r w:rsidRPr="1F406A94">
        <w:rPr>
          <w:noProof/>
          <w:color w:val="000000" w:themeColor="text1"/>
        </w:rPr>
        <w:t>,</w:t>
      </w:r>
      <w:r w:rsidRPr="00FF1320">
        <w:rPr>
          <w:color w:val="000000" w:themeColor="text1"/>
        </w:rPr>
        <w:t xml:space="preserve"> through minimising waste generation and the use of resource inputs, in line with the EU’s new Circular Economy Action Plan.</w:t>
      </w:r>
      <w:r w:rsidRPr="1F406A94">
        <w:rPr>
          <w:rFonts w:eastAsia="Times New Roman"/>
          <w:noProof/>
          <w:color w:val="000000" w:themeColor="text1"/>
        </w:rPr>
        <w:t xml:space="preserve"> The measure consists of the adoption of the circular Czechia strategy 2040. </w:t>
      </w:r>
    </w:p>
    <w:p w:rsidRPr="00FE48E2" w:rsidR="00D87E44" w:rsidP="00D226F4" w:rsidRDefault="00D87E44" w14:paraId="15457FBB" w14:textId="77777777">
      <w:pPr>
        <w:pBdr>
          <w:top w:val="nil"/>
          <w:left w:val="nil"/>
          <w:bottom w:val="nil"/>
          <w:right w:val="nil"/>
          <w:between w:val="nil"/>
        </w:pBdr>
        <w:spacing w:line="240" w:lineRule="auto"/>
        <w:rPr>
          <w:noProof/>
          <w:color w:val="000000"/>
          <w:szCs w:val="24"/>
          <w:lang w:val="en-IE"/>
        </w:rPr>
      </w:pPr>
      <w:r w:rsidRPr="00FE48E2">
        <w:rPr>
          <w:b/>
          <w:noProof/>
          <w:color w:val="000000"/>
          <w:szCs w:val="24"/>
          <w:lang w:val="en-IE"/>
        </w:rPr>
        <w:t>Investment 1</w:t>
      </w:r>
      <w:r w:rsidRPr="00FE48E2">
        <w:rPr>
          <w:noProof/>
          <w:color w:val="000000"/>
          <w:szCs w:val="24"/>
          <w:lang w:val="en-IE"/>
        </w:rPr>
        <w:t xml:space="preserve">: </w:t>
      </w:r>
      <w:r w:rsidRPr="00FE48E2">
        <w:rPr>
          <w:b/>
          <w:noProof/>
          <w:color w:val="000000"/>
          <w:szCs w:val="24"/>
          <w:lang w:val="en-IE"/>
        </w:rPr>
        <w:t>Building recycling infrastructure</w:t>
      </w:r>
      <w:r w:rsidRPr="00FE48E2">
        <w:rPr>
          <w:noProof/>
          <w:color w:val="000000"/>
          <w:szCs w:val="24"/>
          <w:lang w:val="en-IE"/>
        </w:rPr>
        <w:t xml:space="preserve"> </w:t>
      </w:r>
    </w:p>
    <w:p w:rsidRPr="00FE48E2" w:rsidR="00D87E44" w:rsidP="00FF1320" w:rsidRDefault="00D87E44" w14:paraId="15457FBC" w14:textId="77777777">
      <w:pPr>
        <w:autoSpaceDE w:val="0"/>
        <w:autoSpaceDN w:val="0"/>
        <w:spacing w:after="0" w:line="240" w:lineRule="auto"/>
        <w:jc w:val="both"/>
        <w:rPr>
          <w:noProof/>
          <w:color w:val="006100"/>
          <w:sz w:val="18"/>
          <w:szCs w:val="18"/>
          <w:lang w:val="en-IE"/>
        </w:rPr>
      </w:pPr>
      <w:r w:rsidRPr="00FE48E2">
        <w:rPr>
          <w:rFonts w:eastAsia="Times New Roman"/>
          <w:noProof/>
          <w:szCs w:val="24"/>
          <w:lang w:val="en-IE"/>
        </w:rPr>
        <w:t>The objective of th</w:t>
      </w:r>
      <w:r>
        <w:rPr>
          <w:rFonts w:eastAsia="Times New Roman"/>
          <w:noProof/>
          <w:szCs w:val="24"/>
          <w:lang w:val="en-IE"/>
        </w:rPr>
        <w:t>e</w:t>
      </w:r>
      <w:r w:rsidRPr="00FE48E2">
        <w:rPr>
          <w:rFonts w:eastAsia="Times New Roman"/>
          <w:noProof/>
          <w:szCs w:val="24"/>
          <w:lang w:val="en-IE"/>
        </w:rPr>
        <w:t xml:space="preserve"> </w:t>
      </w:r>
      <w:r>
        <w:rPr>
          <w:rFonts w:eastAsia="Times New Roman"/>
          <w:noProof/>
          <w:szCs w:val="24"/>
          <w:lang w:val="en-IE"/>
        </w:rPr>
        <w:t>investment</w:t>
      </w:r>
      <w:r w:rsidRPr="00FE48E2">
        <w:rPr>
          <w:rFonts w:eastAsia="Times New Roman"/>
          <w:noProof/>
          <w:szCs w:val="24"/>
          <w:lang w:val="en-IE"/>
        </w:rPr>
        <w:t xml:space="preserve"> is </w:t>
      </w:r>
      <w:r>
        <w:rPr>
          <w:rFonts w:eastAsia="Times New Roman"/>
          <w:noProof/>
          <w:szCs w:val="24"/>
          <w:lang w:val="en-IE"/>
        </w:rPr>
        <w:t xml:space="preserve">to support </w:t>
      </w:r>
      <w:r w:rsidRPr="00FE48E2">
        <w:rPr>
          <w:rFonts w:eastAsia="Times New Roman"/>
          <w:noProof/>
          <w:szCs w:val="24"/>
          <w:lang w:val="en-IE"/>
        </w:rPr>
        <w:t xml:space="preserve">circular economy in the field of biodegradable waste management. </w:t>
      </w:r>
      <w:r w:rsidRPr="762B9360">
        <w:rPr>
          <w:rFonts w:eastAsia="Times New Roman"/>
          <w:noProof/>
          <w:lang w:val="en-IE"/>
        </w:rPr>
        <w:t>Th</w:t>
      </w:r>
      <w:r>
        <w:rPr>
          <w:rFonts w:eastAsia="Times New Roman"/>
          <w:noProof/>
          <w:lang w:val="en-IE"/>
        </w:rPr>
        <w:t>is</w:t>
      </w:r>
      <w:r w:rsidRPr="762B9360">
        <w:rPr>
          <w:rFonts w:eastAsia="Times New Roman"/>
          <w:noProof/>
          <w:lang w:val="en-IE"/>
        </w:rPr>
        <w:t xml:space="preserve"> measure consists </w:t>
      </w:r>
      <w:r>
        <w:rPr>
          <w:rFonts w:eastAsia="Times New Roman"/>
          <w:noProof/>
          <w:lang w:val="en-IE"/>
        </w:rPr>
        <w:t>of</w:t>
      </w:r>
      <w:r w:rsidRPr="762B9360">
        <w:rPr>
          <w:rFonts w:eastAsia="Times New Roman"/>
          <w:noProof/>
          <w:lang w:val="en-IE"/>
        </w:rPr>
        <w:t xml:space="preserve"> grant support </w:t>
      </w:r>
      <w:r>
        <w:rPr>
          <w:rFonts w:eastAsia="Times New Roman"/>
          <w:noProof/>
          <w:lang w:val="en-IE"/>
        </w:rPr>
        <w:t>for</w:t>
      </w:r>
      <w:r w:rsidRPr="762B9360">
        <w:rPr>
          <w:rFonts w:eastAsia="Times New Roman"/>
          <w:noProof/>
          <w:lang w:val="en-IE"/>
        </w:rPr>
        <w:t xml:space="preserve"> projects enhancing biodegradable waste recycling capacities and </w:t>
      </w:r>
      <w:r>
        <w:rPr>
          <w:rFonts w:eastAsia="Times New Roman"/>
          <w:noProof/>
          <w:lang w:val="en-IE"/>
        </w:rPr>
        <w:t xml:space="preserve">for the </w:t>
      </w:r>
      <w:r w:rsidRPr="762B9360">
        <w:rPr>
          <w:rFonts w:eastAsia="Times New Roman"/>
          <w:noProof/>
          <w:lang w:val="en-IE"/>
        </w:rPr>
        <w:t xml:space="preserve">reintroduction to the soil of compost or of waste from biogas digesters.  </w:t>
      </w:r>
    </w:p>
    <w:p w:rsidRPr="00FE48E2" w:rsidR="00D87E44" w:rsidP="00D226F4" w:rsidRDefault="00D87E44" w14:paraId="15457FBD" w14:textId="77777777">
      <w:pPr>
        <w:spacing w:line="240" w:lineRule="auto"/>
        <w:rPr>
          <w:b/>
          <w:noProof/>
          <w:color w:val="000000"/>
          <w:szCs w:val="24"/>
          <w:lang w:val="en-IE"/>
        </w:rPr>
      </w:pPr>
      <w:r w:rsidRPr="00FE48E2">
        <w:rPr>
          <w:b/>
          <w:noProof/>
          <w:color w:val="000000"/>
          <w:szCs w:val="24"/>
          <w:lang w:val="en-IE"/>
        </w:rPr>
        <w:t>Investment 2: Circular solutions in businesses</w:t>
      </w:r>
    </w:p>
    <w:p w:rsidRPr="00FF1320" w:rsidR="00D87E44" w:rsidP="00D226F4" w:rsidRDefault="00D87E44" w14:paraId="15457FBE" w14:textId="77777777">
      <w:pPr>
        <w:pBdr>
          <w:top w:val="nil"/>
          <w:left w:val="nil"/>
          <w:bottom w:val="nil"/>
          <w:right w:val="nil"/>
          <w:between w:val="nil"/>
        </w:pBdr>
        <w:spacing w:line="240" w:lineRule="auto"/>
        <w:jc w:val="both"/>
        <w:rPr>
          <w:color w:val="000000" w:themeColor="text1"/>
          <w:lang w:val="en-IE"/>
        </w:rPr>
      </w:pPr>
      <w:r w:rsidRPr="00FF1320">
        <w:rPr>
          <w:color w:val="000000" w:themeColor="text1"/>
          <w:lang w:val="en-IE"/>
        </w:rPr>
        <w:t xml:space="preserve">The </w:t>
      </w:r>
      <w:r w:rsidRPr="1CA4A6C1">
        <w:rPr>
          <w:noProof/>
          <w:color w:val="000000" w:themeColor="text1"/>
          <w:lang w:val="en-IE"/>
        </w:rPr>
        <w:t>objective of the investment is to contribute</w:t>
      </w:r>
      <w:r w:rsidRPr="00FF1320">
        <w:rPr>
          <w:color w:val="000000" w:themeColor="text1"/>
          <w:lang w:val="en-IE"/>
        </w:rPr>
        <w:t xml:space="preserve"> to the green transition and the sustainable use of primary raw material resources. </w:t>
      </w:r>
      <w:r w:rsidRPr="00423E10">
        <w:rPr>
          <w:noProof/>
          <w:color w:val="000000" w:themeColor="text1"/>
          <w:lang w:val="en-IE"/>
        </w:rPr>
        <w:t>This</w:t>
      </w:r>
      <w:r w:rsidRPr="00FF1320">
        <w:rPr>
          <w:color w:val="000000" w:themeColor="text1"/>
          <w:lang w:val="en-IE"/>
        </w:rPr>
        <w:t xml:space="preserve"> measure </w:t>
      </w:r>
      <w:r w:rsidRPr="00423E10">
        <w:rPr>
          <w:noProof/>
          <w:color w:val="000000" w:themeColor="text1"/>
          <w:lang w:val="en-IE"/>
        </w:rPr>
        <w:t>consists of grant</w:t>
      </w:r>
      <w:r w:rsidRPr="00FF1320">
        <w:rPr>
          <w:color w:val="000000" w:themeColor="text1"/>
          <w:lang w:val="en-IE"/>
        </w:rPr>
        <w:t xml:space="preserve"> support </w:t>
      </w:r>
      <w:r w:rsidRPr="00423E10">
        <w:rPr>
          <w:noProof/>
          <w:color w:val="000000" w:themeColor="text1"/>
          <w:lang w:val="en-IE"/>
        </w:rPr>
        <w:t xml:space="preserve">to </w:t>
      </w:r>
      <w:r w:rsidRPr="00FF1320">
        <w:rPr>
          <w:color w:val="000000" w:themeColor="text1"/>
          <w:lang w:val="en-IE"/>
        </w:rPr>
        <w:t xml:space="preserve">projects </w:t>
      </w:r>
      <w:r>
        <w:rPr>
          <w:noProof/>
          <w:color w:val="000000" w:themeColor="text1"/>
          <w:lang w:val="en-IE"/>
        </w:rPr>
        <w:t>for</w:t>
      </w:r>
      <w:r w:rsidRPr="00FF1320">
        <w:rPr>
          <w:color w:val="000000" w:themeColor="text1"/>
          <w:lang w:val="en-IE"/>
        </w:rPr>
        <w:t xml:space="preserve"> circular economy solutions among businesses</w:t>
      </w:r>
      <w:r w:rsidRPr="00423E10">
        <w:rPr>
          <w:noProof/>
          <w:color w:val="000000" w:themeColor="text1"/>
          <w:lang w:val="en-IE"/>
        </w:rPr>
        <w:t>, including but not limited to</w:t>
      </w:r>
      <w:r w:rsidRPr="00FF1320">
        <w:rPr>
          <w:color w:val="000000" w:themeColor="text1"/>
          <w:lang w:val="en-IE"/>
        </w:rPr>
        <w:t xml:space="preserve"> optimisation of material eco-design of products to facilitate recycling and re-use, alongside industrial symbiosis projects and other investment business projects contributing to the transition to a circular economy</w:t>
      </w:r>
      <w:r>
        <w:rPr>
          <w:noProof/>
          <w:color w:val="000000" w:themeColor="text1"/>
          <w:lang w:val="en-IE"/>
        </w:rPr>
        <w:t xml:space="preserve"> and</w:t>
      </w:r>
      <w:r w:rsidRPr="00FF1320">
        <w:rPr>
          <w:color w:val="000000" w:themeColor="text1"/>
          <w:lang w:val="en-IE"/>
        </w:rPr>
        <w:t xml:space="preserve"> targeted application of recycled ma</w:t>
      </w:r>
      <w:r w:rsidRPr="00FF1320">
        <w:rPr>
          <w:color w:val="000000" w:themeColor="text1"/>
          <w:lang w:val="en-IE"/>
        </w:rPr>
        <w:t xml:space="preserve">terials in products. </w:t>
      </w:r>
    </w:p>
    <w:p w:rsidRPr="00FE48E2" w:rsidR="00D87E44" w:rsidP="00D226F4" w:rsidRDefault="00D87E44" w14:paraId="15457FBF" w14:textId="77777777">
      <w:pPr>
        <w:pBdr>
          <w:top w:val="nil"/>
          <w:left w:val="nil"/>
          <w:bottom w:val="nil"/>
          <w:right w:val="nil"/>
          <w:between w:val="nil"/>
        </w:pBdr>
        <w:spacing w:line="240" w:lineRule="auto"/>
        <w:rPr>
          <w:b/>
          <w:noProof/>
          <w:color w:val="000000"/>
          <w:szCs w:val="24"/>
          <w:lang w:val="en-IE"/>
        </w:rPr>
      </w:pPr>
      <w:r w:rsidRPr="00FE48E2">
        <w:rPr>
          <w:b/>
          <w:noProof/>
          <w:color w:val="000000"/>
          <w:szCs w:val="24"/>
          <w:lang w:val="en-IE"/>
        </w:rPr>
        <w:t>Investment 3</w:t>
      </w:r>
      <w:r w:rsidRPr="00FE48E2">
        <w:rPr>
          <w:noProof/>
          <w:color w:val="000000"/>
          <w:szCs w:val="24"/>
          <w:lang w:val="en-IE"/>
        </w:rPr>
        <w:t xml:space="preserve">: </w:t>
      </w:r>
      <w:r w:rsidRPr="00FE48E2">
        <w:rPr>
          <w:b/>
          <w:noProof/>
          <w:color w:val="000000"/>
          <w:szCs w:val="24"/>
          <w:lang w:val="en-IE"/>
        </w:rPr>
        <w:t xml:space="preserve">Water saving in industry </w:t>
      </w:r>
    </w:p>
    <w:p w:rsidRPr="00FE48E2" w:rsidR="00D87E44" w:rsidP="009F3A8B" w:rsidRDefault="00D87E44" w14:paraId="15457FC0" w14:textId="77777777">
      <w:pPr>
        <w:pBdr>
          <w:top w:val="nil"/>
          <w:left w:val="nil"/>
          <w:bottom w:val="nil"/>
          <w:right w:val="nil"/>
          <w:between w:val="nil"/>
        </w:pBdr>
        <w:spacing w:line="240" w:lineRule="auto"/>
        <w:rPr>
          <w:b/>
          <w:noProof/>
          <w:u w:val="single"/>
          <w:lang w:val="en-IE"/>
        </w:rPr>
        <w:sectPr w:rsidRPr="00FE48E2" w:rsidR="00C16C1F" w:rsidSect="00D226F4">
          <w:headerReference w:type="even" r:id="R9041e4160d08430f"/>
          <w:headerReference w:type="default" r:id="R7cc05a9463824533"/>
          <w:footerReference w:type="even" r:id="Ra7ac75bfe1b64502"/>
          <w:footerReference w:type="default" r:id="R84da1ac14bbb451b"/>
          <w:headerReference w:type="first" r:id="R0cadea54817e4ca8"/>
          <w:footerReference w:type="first" r:id="R990b6b09f4ff490c"/>
          <w:pgSz w:w="11907" w:h="16839"/>
          <w:pgMar w:top="1134" w:right="1134" w:bottom="1134" w:left="1134" w:header="567" w:footer="567" w:gutter="0"/>
          <w:cols w:space="720"/>
          <w:docGrid w:linePitch="326"/>
        </w:sectPr>
      </w:pPr>
      <w:r w:rsidRPr="00FF1320">
        <w:rPr>
          <w:color w:val="000000" w:themeColor="text1"/>
          <w:lang w:val="en-IE"/>
        </w:rPr>
        <w:t xml:space="preserve">The </w:t>
      </w:r>
      <w:r w:rsidRPr="762B9360">
        <w:rPr>
          <w:noProof/>
          <w:color w:val="000000" w:themeColor="text1"/>
          <w:lang w:val="en-IE"/>
        </w:rPr>
        <w:t xml:space="preserve">objective of </w:t>
      </w:r>
      <w:r w:rsidRPr="00FF1320">
        <w:rPr>
          <w:color w:val="000000" w:themeColor="text1"/>
          <w:lang w:val="en-IE"/>
        </w:rPr>
        <w:t xml:space="preserve">the </w:t>
      </w:r>
      <w:r w:rsidRPr="762B9360">
        <w:rPr>
          <w:noProof/>
          <w:color w:val="000000" w:themeColor="text1"/>
          <w:lang w:val="en-IE"/>
        </w:rPr>
        <w:t xml:space="preserve">investment is to </w:t>
      </w:r>
      <w:r w:rsidRPr="7066B4C9">
        <w:rPr>
          <w:noProof/>
          <w:lang w:val="en-IE"/>
        </w:rPr>
        <w:t>optimise water use in industry.</w:t>
      </w:r>
      <w:r>
        <w:rPr>
          <w:noProof/>
          <w:lang w:val="en-IE"/>
        </w:rPr>
        <w:t xml:space="preserve"> </w:t>
      </w:r>
      <w:r w:rsidRPr="00FF1320">
        <w:rPr>
          <w:color w:val="000000" w:themeColor="text1"/>
          <w:lang w:val="en-IE"/>
        </w:rPr>
        <w:t>Th</w:t>
      </w:r>
      <w:r w:rsidRPr="762B9360">
        <w:rPr>
          <w:noProof/>
          <w:color w:val="000000" w:themeColor="text1"/>
          <w:lang w:val="en-IE"/>
        </w:rPr>
        <w:t>is</w:t>
      </w:r>
      <w:r w:rsidRPr="00FF1320">
        <w:rPr>
          <w:color w:val="000000" w:themeColor="text1"/>
          <w:lang w:val="en-IE"/>
        </w:rPr>
        <w:t xml:space="preserve"> measure </w:t>
      </w:r>
      <w:r w:rsidRPr="762B9360">
        <w:rPr>
          <w:noProof/>
          <w:color w:val="000000" w:themeColor="text1"/>
          <w:lang w:val="en-IE"/>
        </w:rPr>
        <w:t>consists of grant support to</w:t>
      </w:r>
      <w:r w:rsidRPr="00FF1320">
        <w:rPr>
          <w:color w:val="000000" w:themeColor="text1"/>
          <w:lang w:val="en-IE"/>
        </w:rPr>
        <w:t xml:space="preserve"> projects </w:t>
      </w:r>
      <w:r w:rsidRPr="762B9360">
        <w:rPr>
          <w:noProof/>
          <w:color w:val="000000" w:themeColor="text1"/>
          <w:lang w:val="en-IE"/>
        </w:rPr>
        <w:t>i</w:t>
      </w:r>
      <w:r w:rsidRPr="762B9360">
        <w:rPr>
          <w:rFonts w:eastAsia="Times New Roman"/>
          <w:noProof/>
          <w:szCs w:val="24"/>
          <w:lang w:val="en-IE"/>
        </w:rPr>
        <w:t>mplementing technologies and measures to save, recycle, and optimise water use in industrial production processes.</w:t>
      </w:r>
    </w:p>
    <w:p w:rsidRPr="00FE48E2" w:rsidR="00D87E44" w:rsidP="00D226F4" w:rsidRDefault="00D87E44" w14:paraId="15457FC1" w14:textId="77777777">
      <w:pPr>
        <w:tabs>
          <w:tab w:val="left" w:pos="993"/>
        </w:tabs>
        <w:spacing w:line="240" w:lineRule="auto"/>
        <w:jc w:val="both"/>
        <w:rPr>
          <w:b/>
          <w:bCs/>
          <w:noProof/>
          <w:u w:val="single"/>
          <w:lang w:val="en-IE"/>
        </w:rPr>
      </w:pPr>
      <w:r w:rsidRPr="3A6A53CF">
        <w:rPr>
          <w:b/>
          <w:bCs/>
          <w:noProof/>
          <w:u w:val="single"/>
          <w:lang w:val="en-IE"/>
        </w:rPr>
        <w:lastRenderedPageBreak/>
        <w:t xml:space="preserve">N.2. Milestones, targets, indicators, and timetable for monitoring and implementation for non-repayable financial support </w:t>
      </w:r>
    </w:p>
    <w:tbl>
      <w:tblPr>
        <w:tblW w:w="15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418"/>
        <w:gridCol w:w="1427"/>
        <w:gridCol w:w="1378"/>
        <w:gridCol w:w="1482"/>
        <w:gridCol w:w="948"/>
        <w:gridCol w:w="1082"/>
        <w:gridCol w:w="681"/>
        <w:gridCol w:w="948"/>
        <w:gridCol w:w="681"/>
        <w:gridCol w:w="4387"/>
      </w:tblGrid>
      <w:tr w:rsidRPr="00FE48E2" w:rsidR="00E3458A" w:rsidTr="4A45BCA2" w14:paraId="15457FCA" w14:textId="77777777">
        <w:trPr>
          <w:trHeight w:val="533"/>
          <w:tblHeader/>
          <w:jc w:val="center"/>
        </w:trPr>
        <w:tc>
          <w:tcPr>
            <w:tcW w:w="704" w:type="dxa"/>
            <w:vMerge w:val="restart"/>
            <w:shd w:val="clear" w:color="auto" w:fill="BDD7EE"/>
            <w:vAlign w:val="center"/>
          </w:tcPr>
          <w:p w:rsidRPr="00FE48E2" w:rsidR="00D87E44" w:rsidRDefault="00D87E44" w14:paraId="15457FC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Seq. Num.</w:t>
            </w:r>
          </w:p>
        </w:tc>
        <w:tc>
          <w:tcPr>
            <w:tcW w:w="1418" w:type="dxa"/>
            <w:vMerge w:val="restart"/>
            <w:shd w:val="clear" w:color="auto" w:fill="BDD7EE"/>
            <w:vAlign w:val="center"/>
          </w:tcPr>
          <w:p w:rsidRPr="00FE48E2" w:rsidR="00D87E44" w:rsidRDefault="00D87E44" w14:paraId="15457FC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Related measure (Reform or Investment)</w:t>
            </w:r>
          </w:p>
        </w:tc>
        <w:tc>
          <w:tcPr>
            <w:tcW w:w="1427" w:type="dxa"/>
            <w:vMerge w:val="restart"/>
            <w:shd w:val="clear" w:color="auto" w:fill="BDD7EE"/>
            <w:vAlign w:val="center"/>
          </w:tcPr>
          <w:p w:rsidRPr="00FE48E2" w:rsidR="00D87E44" w:rsidRDefault="00D87E44" w14:paraId="15457FC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378" w:type="dxa"/>
            <w:vMerge w:val="restart"/>
            <w:shd w:val="clear" w:color="auto" w:fill="BDD7EE"/>
            <w:vAlign w:val="center"/>
          </w:tcPr>
          <w:p w:rsidRPr="00FE48E2" w:rsidR="00D87E44" w:rsidRDefault="00D87E44" w14:paraId="15457FC5"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Name </w:t>
            </w:r>
          </w:p>
        </w:tc>
        <w:tc>
          <w:tcPr>
            <w:tcW w:w="1482" w:type="dxa"/>
            <w:vMerge w:val="restart"/>
            <w:shd w:val="clear" w:color="auto" w:fill="BDD7EE"/>
            <w:vAlign w:val="center"/>
          </w:tcPr>
          <w:p w:rsidRPr="00FE48E2" w:rsidR="00D87E44" w:rsidRDefault="00D87E44" w14:paraId="15457FC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w:t>
            </w:r>
          </w:p>
        </w:tc>
        <w:tc>
          <w:tcPr>
            <w:tcW w:w="2711" w:type="dxa"/>
            <w:gridSpan w:val="3"/>
            <w:shd w:val="clear" w:color="auto" w:fill="BDD7EE"/>
            <w:vAlign w:val="center"/>
          </w:tcPr>
          <w:p w:rsidRPr="00FE48E2" w:rsidR="00D87E44" w:rsidRDefault="00D87E44" w14:paraId="15457FC7"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1629" w:type="dxa"/>
            <w:gridSpan w:val="2"/>
            <w:shd w:val="clear" w:color="auto" w:fill="BDD7EE"/>
            <w:vAlign w:val="center"/>
          </w:tcPr>
          <w:p w:rsidRPr="00FE48E2" w:rsidR="00D87E44" w:rsidRDefault="00D87E44" w14:paraId="15457FC8"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387" w:type="dxa"/>
            <w:vMerge w:val="restart"/>
            <w:shd w:val="clear" w:color="auto" w:fill="BDD7EE"/>
            <w:vAlign w:val="center"/>
          </w:tcPr>
          <w:p w:rsidRPr="00FE48E2" w:rsidR="00D87E44" w:rsidRDefault="00D87E44" w14:paraId="15457FC9"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4A45BCA2" w14:paraId="15457FD6" w14:textId="77777777">
        <w:trPr>
          <w:trHeight w:val="75"/>
          <w:tblHeader/>
          <w:jc w:val="center"/>
        </w:trPr>
        <w:tc>
          <w:tcPr>
            <w:tcW w:w="704" w:type="dxa"/>
            <w:vMerge/>
            <w:vAlign w:val="center"/>
          </w:tcPr>
          <w:p w:rsidRPr="00FE48E2" w:rsidR="00D87E44" w:rsidRDefault="00D87E44" w14:paraId="15457FCB"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18" w:type="dxa"/>
            <w:vMerge/>
            <w:vAlign w:val="center"/>
          </w:tcPr>
          <w:p w:rsidRPr="00FE48E2" w:rsidR="00D87E44" w:rsidRDefault="00D87E44" w14:paraId="15457FC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27" w:type="dxa"/>
            <w:vMerge/>
            <w:vAlign w:val="center"/>
          </w:tcPr>
          <w:p w:rsidRPr="00FE48E2" w:rsidR="00D87E44" w:rsidRDefault="00D87E44" w14:paraId="15457FCD"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78" w:type="dxa"/>
            <w:vMerge/>
            <w:vAlign w:val="center"/>
          </w:tcPr>
          <w:p w:rsidRPr="00FE48E2" w:rsidR="00D87E44" w:rsidRDefault="00D87E44" w14:paraId="15457FCE"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82" w:type="dxa"/>
            <w:vMerge/>
            <w:vAlign w:val="center"/>
          </w:tcPr>
          <w:p w:rsidRPr="00FE48E2" w:rsidR="00D87E44" w:rsidRDefault="00D87E44" w14:paraId="15457FCF"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48" w:type="dxa"/>
            <w:shd w:val="clear" w:color="auto" w:fill="BDD7EE"/>
            <w:vAlign w:val="center"/>
          </w:tcPr>
          <w:p w:rsidRPr="00C86F28" w:rsidR="00D87E44" w:rsidRDefault="00D87E44" w14:paraId="15457FD0"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Unit of measure</w:t>
            </w:r>
          </w:p>
        </w:tc>
        <w:tc>
          <w:tcPr>
            <w:tcW w:w="1082" w:type="dxa"/>
            <w:shd w:val="clear" w:color="auto" w:fill="BDD7EE"/>
            <w:vAlign w:val="center"/>
          </w:tcPr>
          <w:p w:rsidRPr="00C86F28" w:rsidR="00D87E44" w:rsidRDefault="00D87E44" w14:paraId="15457FD1"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Baseline</w:t>
            </w:r>
          </w:p>
        </w:tc>
        <w:tc>
          <w:tcPr>
            <w:tcW w:w="681" w:type="dxa"/>
            <w:shd w:val="clear" w:color="auto" w:fill="BDD7EE"/>
            <w:vAlign w:val="center"/>
          </w:tcPr>
          <w:p w:rsidRPr="00C86F28" w:rsidR="00D87E44" w:rsidRDefault="00D87E44" w14:paraId="15457FD2"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Goal</w:t>
            </w:r>
          </w:p>
        </w:tc>
        <w:tc>
          <w:tcPr>
            <w:tcW w:w="948" w:type="dxa"/>
            <w:shd w:val="clear" w:color="auto" w:fill="BDD7EE"/>
            <w:vAlign w:val="center"/>
          </w:tcPr>
          <w:p w:rsidRPr="00C86F28" w:rsidR="00D87E44" w:rsidRDefault="00D87E44" w14:paraId="15457FD3"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Quarter</w:t>
            </w:r>
          </w:p>
        </w:tc>
        <w:tc>
          <w:tcPr>
            <w:tcW w:w="681" w:type="dxa"/>
            <w:shd w:val="clear" w:color="auto" w:fill="BDD7EE"/>
            <w:vAlign w:val="center"/>
          </w:tcPr>
          <w:p w:rsidRPr="00C86F28" w:rsidR="00D87E44" w:rsidRDefault="00D87E44" w14:paraId="15457FD4"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Year</w:t>
            </w:r>
          </w:p>
        </w:tc>
        <w:tc>
          <w:tcPr>
            <w:tcW w:w="4387" w:type="dxa"/>
            <w:vMerge/>
            <w:vAlign w:val="center"/>
          </w:tcPr>
          <w:p w:rsidRPr="00FE48E2" w:rsidR="00D87E44" w:rsidRDefault="00D87E44" w14:paraId="15457FD5"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rsidTr="4A45BCA2" w14:paraId="15457FE2" w14:textId="77777777">
        <w:trPr>
          <w:trHeight w:val="945"/>
          <w:jc w:val="center"/>
        </w:trPr>
        <w:tc>
          <w:tcPr>
            <w:tcW w:w="704" w:type="dxa"/>
            <w:shd w:val="clear" w:color="auto" w:fill="C6EFCE"/>
          </w:tcPr>
          <w:p w:rsidRPr="006B7328" w:rsidR="00D87E44" w:rsidRDefault="00D87E44" w14:paraId="15457FD7"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144</w:t>
            </w:r>
          </w:p>
        </w:tc>
        <w:tc>
          <w:tcPr>
            <w:tcW w:w="1418" w:type="dxa"/>
            <w:shd w:val="clear" w:color="auto" w:fill="C6EFCE"/>
          </w:tcPr>
          <w:p w:rsidRPr="00B41A05" w:rsidR="00D87E44" w:rsidRDefault="00D87E44" w14:paraId="15457FD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1: Implementation of new legislation on waste management in the Czech Republic</w:t>
            </w:r>
          </w:p>
        </w:tc>
        <w:tc>
          <w:tcPr>
            <w:tcW w:w="1427" w:type="dxa"/>
            <w:shd w:val="clear" w:color="auto" w:fill="C6EFCE"/>
          </w:tcPr>
          <w:p w:rsidRPr="00B41A05" w:rsidR="00D87E44" w:rsidRDefault="00D87E44" w14:paraId="15457FD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7FD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Entry into force of the implementing decisions following the legislation on waste management prepared by the Ministry of Environment</w:t>
            </w:r>
          </w:p>
        </w:tc>
        <w:tc>
          <w:tcPr>
            <w:tcW w:w="1482" w:type="dxa"/>
            <w:shd w:val="clear" w:color="auto" w:fill="C6EFCE"/>
          </w:tcPr>
          <w:p w:rsidRPr="00B41A05" w:rsidR="00D87E44" w:rsidRDefault="00D87E44" w14:paraId="15457FD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Provision in the implementing decisions indicating the entry into force of the respective implementing decisions </w:t>
            </w:r>
          </w:p>
        </w:tc>
        <w:tc>
          <w:tcPr>
            <w:tcW w:w="948" w:type="dxa"/>
            <w:shd w:val="clear" w:color="auto" w:fill="C6EFCE"/>
          </w:tcPr>
          <w:p w:rsidRPr="00B41A05" w:rsidR="00D87E44" w:rsidRDefault="00D87E44" w14:paraId="15457FDC"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7FDD"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7FDE"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7FD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Q3</w:t>
            </w:r>
          </w:p>
        </w:tc>
        <w:tc>
          <w:tcPr>
            <w:tcW w:w="681" w:type="dxa"/>
            <w:shd w:val="clear" w:color="auto" w:fill="C6EFCE"/>
          </w:tcPr>
          <w:p w:rsidRPr="00B41A05" w:rsidR="00D87E44" w:rsidRDefault="00D87E44" w14:paraId="15457FE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4387" w:type="dxa"/>
            <w:shd w:val="clear" w:color="auto" w:fill="C6EFCE"/>
          </w:tcPr>
          <w:p w:rsidRPr="00B41A05" w:rsidR="00D87E44" w:rsidRDefault="00D87E44" w14:paraId="15457FE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These implementing decisions shall include the Decree on the waste catalogue No 8/2021 Coll., the Decree on the handling of packaging No. 30/2021 Coll.,  Decree on laying down the conditions under which solid fuel from waste ceases to be waste, Act on Limiting the Impact of Selected Plastic Products on the Environment, Decree on the implementation of certain provisions of the Act on Limiting the Impact of Selected Plastic Products on the Environment, the Decree on by-products and waste transfer waste (aspha</w:t>
            </w:r>
            <w:r w:rsidRPr="00B41A05">
              <w:rPr>
                <w:rFonts w:eastAsia="Times New Roman"/>
                <w:noProof/>
                <w:color w:val="004300"/>
                <w:sz w:val="18"/>
                <w:szCs w:val="18"/>
                <w:lang w:val="en-IE" w:eastAsia="en-GB"/>
              </w:rPr>
              <w:t>lt decree), the Decree on the details of the handling of end-of-life vehicles, and the Decree on the details of handling of end-of-life products (tires, electrical, batteries).</w:t>
            </w:r>
          </w:p>
        </w:tc>
      </w:tr>
      <w:tr w:rsidRPr="00FE48E2" w:rsidR="00E3458A" w:rsidTr="4A45BCA2" w14:paraId="15457FEE" w14:textId="77777777">
        <w:trPr>
          <w:trHeight w:val="945"/>
          <w:jc w:val="center"/>
        </w:trPr>
        <w:tc>
          <w:tcPr>
            <w:tcW w:w="704" w:type="dxa"/>
            <w:shd w:val="clear" w:color="auto" w:fill="C6EFCE"/>
          </w:tcPr>
          <w:p w:rsidRPr="006B7328" w:rsidR="00D87E44" w:rsidRDefault="00D87E44" w14:paraId="15457FE3"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145</w:t>
            </w:r>
          </w:p>
        </w:tc>
        <w:tc>
          <w:tcPr>
            <w:tcW w:w="1418" w:type="dxa"/>
            <w:shd w:val="clear" w:color="auto" w:fill="C6EFCE"/>
          </w:tcPr>
          <w:p w:rsidRPr="00B41A05" w:rsidR="00D87E44" w:rsidRDefault="00D87E44" w14:paraId="15457FE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Reform 1: Implementation of new legislation on waste </w:t>
            </w:r>
            <w:r w:rsidRPr="00B41A05">
              <w:rPr>
                <w:rFonts w:eastAsia="Times New Roman"/>
                <w:noProof/>
                <w:color w:val="004300"/>
                <w:sz w:val="18"/>
                <w:szCs w:val="18"/>
                <w:lang w:val="en-IE" w:eastAsia="en-GB"/>
              </w:rPr>
              <w:t>management in the Czech Republic</w:t>
            </w:r>
          </w:p>
        </w:tc>
        <w:tc>
          <w:tcPr>
            <w:tcW w:w="1427" w:type="dxa"/>
            <w:shd w:val="clear" w:color="auto" w:fill="C6EFCE"/>
          </w:tcPr>
          <w:p w:rsidRPr="00B41A05" w:rsidR="00D87E44" w:rsidRDefault="00D87E44" w14:paraId="15457FE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7FE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Entry into force of a national and regional waste management plan</w:t>
            </w:r>
          </w:p>
        </w:tc>
        <w:tc>
          <w:tcPr>
            <w:tcW w:w="1482" w:type="dxa"/>
            <w:shd w:val="clear" w:color="auto" w:fill="C6EFCE"/>
          </w:tcPr>
          <w:p w:rsidRPr="00B41A05" w:rsidR="00D87E44" w:rsidRDefault="00D87E44" w14:paraId="15457FE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Provision in the law indicating the entry into force of a national and regional waste management plan </w:t>
            </w:r>
          </w:p>
        </w:tc>
        <w:tc>
          <w:tcPr>
            <w:tcW w:w="948" w:type="dxa"/>
            <w:shd w:val="clear" w:color="auto" w:fill="C6EFCE"/>
          </w:tcPr>
          <w:p w:rsidRPr="00B41A05" w:rsidR="00D87E44" w:rsidRDefault="00D87E44" w14:paraId="15457FE8"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7FE9"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7FEA"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7FE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7FE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2023</w:t>
            </w:r>
          </w:p>
        </w:tc>
        <w:tc>
          <w:tcPr>
            <w:tcW w:w="4387" w:type="dxa"/>
            <w:shd w:val="clear" w:color="auto" w:fill="C6EFCE"/>
          </w:tcPr>
          <w:p w:rsidRPr="00B41A05" w:rsidR="00D87E44" w:rsidRDefault="00D87E44" w14:paraId="15457FE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Providing a new national and regional waste management plan, aimed at improving the environmentally sound preparation for the re-use, recycling, recovery and disposal of waste.</w:t>
            </w:r>
          </w:p>
        </w:tc>
      </w:tr>
      <w:tr w:rsidRPr="00FE48E2" w:rsidR="00E3458A" w:rsidTr="4A45BCA2" w14:paraId="15457FFA" w14:textId="77777777">
        <w:trPr>
          <w:trHeight w:val="945"/>
          <w:jc w:val="center"/>
        </w:trPr>
        <w:tc>
          <w:tcPr>
            <w:tcW w:w="704" w:type="dxa"/>
            <w:shd w:val="clear" w:color="auto" w:fill="C6EFCE"/>
          </w:tcPr>
          <w:p w:rsidRPr="006B7328" w:rsidR="00D87E44" w:rsidRDefault="00D87E44" w14:paraId="15457FEF"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146</w:t>
            </w:r>
          </w:p>
        </w:tc>
        <w:tc>
          <w:tcPr>
            <w:tcW w:w="1418" w:type="dxa"/>
            <w:shd w:val="clear" w:color="auto" w:fill="C6EFCE"/>
          </w:tcPr>
          <w:p w:rsidRPr="00B41A05" w:rsidR="00D87E44" w:rsidRDefault="00D87E44" w14:paraId="15457FF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Reform 2: Finalisation and implementation of the circular Czechia strategy 2040</w:t>
            </w:r>
          </w:p>
        </w:tc>
        <w:tc>
          <w:tcPr>
            <w:tcW w:w="1427" w:type="dxa"/>
            <w:shd w:val="clear" w:color="auto" w:fill="C6EFCE"/>
          </w:tcPr>
          <w:p w:rsidRPr="00B41A05" w:rsidR="00D87E44" w:rsidRDefault="00D87E44" w14:paraId="15457FF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7FF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Completion and adoption of the circular Czechia strategy 2040 by the Ministry of Environment</w:t>
            </w:r>
          </w:p>
        </w:tc>
        <w:tc>
          <w:tcPr>
            <w:tcW w:w="1482" w:type="dxa"/>
            <w:shd w:val="clear" w:color="auto" w:fill="C6EFCE"/>
          </w:tcPr>
          <w:p w:rsidRPr="00B41A05" w:rsidR="00D87E44" w:rsidRDefault="00D87E44" w14:paraId="15457FF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Publication of the circular Czechia strategy 2040 in the database of the Czech Republic’s strategic documents</w:t>
            </w:r>
          </w:p>
        </w:tc>
        <w:tc>
          <w:tcPr>
            <w:tcW w:w="948" w:type="dxa"/>
            <w:shd w:val="clear" w:color="auto" w:fill="C6EFCE"/>
          </w:tcPr>
          <w:p w:rsidRPr="00B41A05" w:rsidR="00D87E44" w:rsidRDefault="00D87E44" w14:paraId="15457FF4"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7FF5"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7FF6"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7FF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Q1</w:t>
            </w:r>
          </w:p>
        </w:tc>
        <w:tc>
          <w:tcPr>
            <w:tcW w:w="681" w:type="dxa"/>
            <w:shd w:val="clear" w:color="auto" w:fill="C6EFCE"/>
          </w:tcPr>
          <w:p w:rsidRPr="00B41A05" w:rsidR="00D87E44" w:rsidRDefault="00D87E44" w14:paraId="15457FF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4387" w:type="dxa"/>
            <w:shd w:val="clear" w:color="auto" w:fill="C6EFCE"/>
          </w:tcPr>
          <w:p w:rsidRPr="00B41A05" w:rsidR="00D87E44" w:rsidRDefault="00D87E44" w14:paraId="15457FF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Completion and adoption of the Circular Czechia 2040 strategy. The strategy shall formulate the vision, global and strategic goals, priority areas and principles necessary to achieve a circular economy in the Czech Republic. </w:t>
            </w:r>
          </w:p>
        </w:tc>
      </w:tr>
      <w:tr w:rsidRPr="00FE48E2" w:rsidR="00E3458A" w:rsidTr="4A45BCA2" w14:paraId="15458008" w14:textId="77777777">
        <w:trPr>
          <w:trHeight w:val="945"/>
          <w:jc w:val="center"/>
        </w:trPr>
        <w:tc>
          <w:tcPr>
            <w:tcW w:w="704" w:type="dxa"/>
            <w:shd w:val="clear" w:color="auto" w:fill="C6EFCE"/>
          </w:tcPr>
          <w:p w:rsidRPr="00B41A05" w:rsidR="00D87E44" w:rsidRDefault="00D87E44" w14:paraId="15457FFB"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148</w:t>
            </w:r>
          </w:p>
        </w:tc>
        <w:tc>
          <w:tcPr>
            <w:tcW w:w="1418" w:type="dxa"/>
            <w:shd w:val="clear" w:color="auto" w:fill="C6EFCE"/>
          </w:tcPr>
          <w:p w:rsidRPr="00B41A05" w:rsidR="00D87E44" w:rsidRDefault="00D87E44" w14:paraId="15457FFC"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Building recycling infrastructure</w:t>
            </w:r>
          </w:p>
        </w:tc>
        <w:tc>
          <w:tcPr>
            <w:tcW w:w="1427" w:type="dxa"/>
            <w:shd w:val="clear" w:color="auto" w:fill="C6EFCE"/>
          </w:tcPr>
          <w:p w:rsidRPr="00B41A05" w:rsidR="00D87E44" w:rsidRDefault="00D87E44" w14:paraId="15457FF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7FF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Grant decisions  for projects investing in recycling infrastructure by the Ministry of Environment </w:t>
            </w:r>
          </w:p>
        </w:tc>
        <w:tc>
          <w:tcPr>
            <w:tcW w:w="1482" w:type="dxa"/>
            <w:shd w:val="clear" w:color="auto" w:fill="C6EFCE"/>
          </w:tcPr>
          <w:p w:rsidRPr="00B41A05" w:rsidR="00D87E44" w:rsidRDefault="00D87E44" w14:paraId="15457FF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Grant decisions   for projects investing in recycling infrastructure by the Ministry of Environment </w:t>
            </w:r>
          </w:p>
        </w:tc>
        <w:tc>
          <w:tcPr>
            <w:tcW w:w="948" w:type="dxa"/>
            <w:shd w:val="clear" w:color="auto" w:fill="C6EFCE"/>
          </w:tcPr>
          <w:p w:rsidRPr="00B41A05" w:rsidR="00D87E44" w:rsidRDefault="00D87E44" w14:paraId="15458000"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8001"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8002"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0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Q3</w:t>
            </w:r>
          </w:p>
        </w:tc>
        <w:tc>
          <w:tcPr>
            <w:tcW w:w="681" w:type="dxa"/>
            <w:shd w:val="clear" w:color="auto" w:fill="C6EFCE"/>
          </w:tcPr>
          <w:p w:rsidRPr="00B41A05" w:rsidR="00D87E44" w:rsidRDefault="00D87E44" w14:paraId="15458004"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2024</w:t>
            </w:r>
          </w:p>
        </w:tc>
        <w:tc>
          <w:tcPr>
            <w:tcW w:w="4387" w:type="dxa"/>
            <w:shd w:val="clear" w:color="auto" w:fill="C6EFCE"/>
          </w:tcPr>
          <w:p w:rsidRPr="00B41A05" w:rsidR="00D87E44" w:rsidRDefault="00D87E44" w14:paraId="15458005" w14:textId="77777777">
            <w:pPr>
              <w:autoSpaceDE w:val="0"/>
              <w:autoSpaceDN w:val="0"/>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Grant decisions  for projects investing in recycling infrastructure by the Ministry of Environment. </w:t>
            </w:r>
          </w:p>
          <w:p w:rsidRPr="00B41A05" w:rsidR="00D87E44" w:rsidRDefault="00D87E44" w14:paraId="1545800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The projects consist of construction and modernisation of composting facilities and community composting facilities. The investment shall also include support for acquisition of equipment for applying a total of at least 200</w:t>
            </w:r>
            <w:r>
              <w:rPr>
                <w:rFonts w:eastAsia="Times New Roman"/>
                <w:noProof/>
                <w:color w:val="004300"/>
                <w:sz w:val="18"/>
                <w:szCs w:val="18"/>
                <w:lang w:val="en-IE" w:eastAsia="en-GB"/>
              </w:rPr>
              <w:t> </w:t>
            </w:r>
            <w:r w:rsidRPr="00B41A05">
              <w:rPr>
                <w:rFonts w:eastAsia="Times New Roman"/>
                <w:noProof/>
                <w:color w:val="004300"/>
                <w:sz w:val="18"/>
                <w:szCs w:val="18"/>
                <w:lang w:val="en-IE" w:eastAsia="en-GB"/>
              </w:rPr>
              <w:t xml:space="preserve">000 tonnes per year of compost (digestate or fugate) to Agricultural Land Fund (ALF) for agricultural entities, operators of composting plants and biogas stations. </w:t>
            </w:r>
          </w:p>
          <w:p w:rsidRPr="00B41A05" w:rsidR="00D87E44" w:rsidRDefault="00D87E44" w14:paraId="1545800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Recipients of support for acquisition of equipment shall be required to incorporate a minimum of 40 tonnes of compost per hectare over a 5-year period.</w:t>
            </w:r>
          </w:p>
        </w:tc>
      </w:tr>
      <w:tr w:rsidRPr="00FE48E2" w:rsidR="00E3458A" w:rsidTr="4A45BCA2" w14:paraId="15458014" w14:textId="77777777">
        <w:trPr>
          <w:trHeight w:val="945"/>
          <w:jc w:val="center"/>
        </w:trPr>
        <w:tc>
          <w:tcPr>
            <w:tcW w:w="704" w:type="dxa"/>
            <w:shd w:val="clear" w:color="auto" w:fill="C6EFCE"/>
          </w:tcPr>
          <w:p w:rsidRPr="00B41A05" w:rsidR="00D87E44" w:rsidRDefault="00D87E44" w14:paraId="1545800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lastRenderedPageBreak/>
              <w:t>149</w:t>
            </w:r>
          </w:p>
        </w:tc>
        <w:tc>
          <w:tcPr>
            <w:tcW w:w="1418" w:type="dxa"/>
            <w:shd w:val="clear" w:color="auto" w:fill="C6EFCE"/>
          </w:tcPr>
          <w:p w:rsidRPr="00B41A05" w:rsidR="00D87E44" w:rsidRDefault="00D87E44" w14:paraId="1545800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1: Building recycling infrastructure</w:t>
            </w:r>
          </w:p>
        </w:tc>
        <w:tc>
          <w:tcPr>
            <w:tcW w:w="1427" w:type="dxa"/>
            <w:shd w:val="clear" w:color="auto" w:fill="C6EFCE"/>
          </w:tcPr>
          <w:p w:rsidRPr="00B41A05" w:rsidR="00D87E44" w:rsidRDefault="00D87E44" w14:paraId="1545800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800C"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Projects finalised</w:t>
            </w:r>
          </w:p>
        </w:tc>
        <w:tc>
          <w:tcPr>
            <w:tcW w:w="1482" w:type="dxa"/>
            <w:shd w:val="clear" w:color="auto" w:fill="C6EFCE"/>
          </w:tcPr>
          <w:p w:rsidRPr="00B41A05" w:rsidR="00D87E44" w:rsidRDefault="00D87E44" w14:paraId="1545800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Submission of handover protocols or occupancy permits </w:t>
            </w:r>
          </w:p>
        </w:tc>
        <w:tc>
          <w:tcPr>
            <w:tcW w:w="948" w:type="dxa"/>
            <w:shd w:val="clear" w:color="auto" w:fill="C6EFCE"/>
          </w:tcPr>
          <w:p w:rsidRPr="00B41A05" w:rsidR="00D87E44" w:rsidRDefault="00D87E44" w14:paraId="1545800E"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800F"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8010"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1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801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4387" w:type="dxa"/>
            <w:shd w:val="clear" w:color="auto" w:fill="C6EFCE"/>
          </w:tcPr>
          <w:p w:rsidRPr="00B41A05" w:rsidR="00D87E44" w:rsidP="00FF1320" w:rsidRDefault="00D87E44" w14:paraId="15458013" w14:textId="77777777">
            <w:pPr>
              <w:autoSpaceDE w:val="0"/>
              <w:autoSpaceDN w:val="0"/>
              <w:spacing w:before="0" w:after="0" w:line="240" w:lineRule="auto"/>
              <w:rPr>
                <w:rFonts w:eastAsia="Times New Roman"/>
                <w:noProof/>
                <w:color w:val="004300"/>
                <w:sz w:val="18"/>
                <w:szCs w:val="18"/>
                <w:lang w:val="en-IE" w:eastAsia="en-GB"/>
              </w:rPr>
            </w:pPr>
            <w:r w:rsidRPr="4A45BCA2">
              <w:rPr>
                <w:rFonts w:eastAsia="Times New Roman"/>
                <w:noProof/>
                <w:color w:val="004300"/>
                <w:sz w:val="18"/>
                <w:szCs w:val="18"/>
                <w:lang w:val="en-IE" w:eastAsia="en-GB"/>
              </w:rPr>
              <w:t>Submission of handover protocols or occupancy permits demonstrating that projects were finalised.</w:t>
            </w:r>
          </w:p>
        </w:tc>
      </w:tr>
      <w:tr w:rsidRPr="00FE48E2" w:rsidR="00E3458A" w:rsidTr="4A45BCA2" w14:paraId="15458020" w14:textId="77777777">
        <w:trPr>
          <w:trHeight w:val="945"/>
          <w:jc w:val="center"/>
        </w:trPr>
        <w:tc>
          <w:tcPr>
            <w:tcW w:w="704" w:type="dxa"/>
            <w:shd w:val="clear" w:color="auto" w:fill="C6EFCE"/>
          </w:tcPr>
          <w:p w:rsidRPr="00B41A05" w:rsidR="00D87E44" w:rsidRDefault="00D87E44" w14:paraId="15458015"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150</w:t>
            </w:r>
          </w:p>
        </w:tc>
        <w:tc>
          <w:tcPr>
            <w:tcW w:w="1418" w:type="dxa"/>
            <w:shd w:val="clear" w:color="auto" w:fill="C6EFCE"/>
          </w:tcPr>
          <w:p w:rsidRPr="00B41A05" w:rsidR="00D87E44" w:rsidRDefault="00D87E44" w14:paraId="1545801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Circular solutions in businesses</w:t>
            </w:r>
          </w:p>
        </w:tc>
        <w:tc>
          <w:tcPr>
            <w:tcW w:w="1427" w:type="dxa"/>
            <w:shd w:val="clear" w:color="auto" w:fill="C6EFCE"/>
          </w:tcPr>
          <w:p w:rsidRPr="00B41A05" w:rsidR="00D87E44" w:rsidRDefault="00D87E44" w14:paraId="1545801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801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Award of all public contracts for projects investing in circular solutions in businesses by the Ministry of Industry and Trade</w:t>
            </w:r>
          </w:p>
        </w:tc>
        <w:tc>
          <w:tcPr>
            <w:tcW w:w="1482" w:type="dxa"/>
            <w:shd w:val="clear" w:color="auto" w:fill="C6EFCE"/>
          </w:tcPr>
          <w:p w:rsidRPr="00B41A05" w:rsidR="00D87E44" w:rsidRDefault="00D87E44" w14:paraId="1545801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Notification of the award of all public contracts for projects investing in circular solutions in businesses by the Ministry of Industry and Trade </w:t>
            </w:r>
          </w:p>
        </w:tc>
        <w:tc>
          <w:tcPr>
            <w:tcW w:w="948" w:type="dxa"/>
            <w:shd w:val="clear" w:color="auto" w:fill="C6EFCE"/>
          </w:tcPr>
          <w:p w:rsidRPr="00B41A05" w:rsidR="00D87E44" w:rsidRDefault="00D87E44" w14:paraId="1545801A"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801B"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801C"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1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801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4387" w:type="dxa"/>
            <w:shd w:val="clear" w:color="auto" w:fill="C6EFCE"/>
          </w:tcPr>
          <w:p w:rsidRPr="00B41A05" w:rsidR="00D87E44" w:rsidRDefault="00D87E44" w14:paraId="1545801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Notification of the award of all public contracts for projects investing in circular solutions in businesses by the Ministry of Industry and Trade. Projects shall be selected that enhance the industrial transformation towards a low-carbon, circular and digital society, reducing the material intensity of production and the consumption of primary resources.</w:t>
            </w:r>
          </w:p>
        </w:tc>
      </w:tr>
      <w:tr w:rsidRPr="00FE48E2" w:rsidR="00E3458A" w:rsidTr="4A45BCA2" w14:paraId="1545802C" w14:textId="77777777">
        <w:trPr>
          <w:trHeight w:val="945"/>
          <w:jc w:val="center"/>
        </w:trPr>
        <w:tc>
          <w:tcPr>
            <w:tcW w:w="704" w:type="dxa"/>
            <w:shd w:val="clear" w:color="auto" w:fill="C6EFCE"/>
          </w:tcPr>
          <w:p w:rsidRPr="00B41A05" w:rsidR="00D87E44" w:rsidRDefault="00D87E44" w14:paraId="1545802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151</w:t>
            </w:r>
          </w:p>
        </w:tc>
        <w:tc>
          <w:tcPr>
            <w:tcW w:w="1418" w:type="dxa"/>
            <w:shd w:val="clear" w:color="auto" w:fill="C6EFCE"/>
          </w:tcPr>
          <w:p w:rsidRPr="00B41A05" w:rsidR="00D87E44" w:rsidRDefault="00D87E44" w14:paraId="1545802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2: Circular solutions in businesses</w:t>
            </w:r>
          </w:p>
        </w:tc>
        <w:tc>
          <w:tcPr>
            <w:tcW w:w="1427" w:type="dxa"/>
            <w:shd w:val="clear" w:color="auto" w:fill="C6EFCE"/>
          </w:tcPr>
          <w:p w:rsidRPr="00B41A05" w:rsidR="00D87E44" w:rsidRDefault="00D87E44" w14:paraId="15458023"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378" w:type="dxa"/>
            <w:shd w:val="clear" w:color="auto" w:fill="C6EFCE"/>
          </w:tcPr>
          <w:p w:rsidRPr="00B41A05" w:rsidR="00D87E44" w:rsidRDefault="00D87E44" w14:paraId="15458024"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Completion reports for p</w:t>
            </w:r>
            <w:r w:rsidRPr="00B41A05">
              <w:rPr>
                <w:rFonts w:eastAsia="Times New Roman"/>
                <w:noProof/>
                <w:color w:val="004300"/>
                <w:sz w:val="18"/>
                <w:szCs w:val="18"/>
                <w:lang w:val="en-IE" w:eastAsia="en-GB"/>
              </w:rPr>
              <w:t>rojects investing in circular solutions</w:t>
            </w:r>
            <w:r>
              <w:rPr>
                <w:rFonts w:eastAsia="Times New Roman"/>
                <w:noProof/>
                <w:color w:val="004300"/>
                <w:sz w:val="18"/>
                <w:szCs w:val="18"/>
                <w:lang w:val="en-IE" w:eastAsia="en-GB"/>
              </w:rPr>
              <w:t xml:space="preserve"> </w:t>
            </w:r>
            <w:r w:rsidRPr="00B41A05">
              <w:rPr>
                <w:rFonts w:eastAsia="Times New Roman"/>
                <w:noProof/>
                <w:color w:val="004300"/>
                <w:sz w:val="18"/>
                <w:szCs w:val="18"/>
                <w:lang w:val="en-IE" w:eastAsia="en-GB"/>
              </w:rPr>
              <w:t xml:space="preserve"> </w:t>
            </w:r>
          </w:p>
        </w:tc>
        <w:tc>
          <w:tcPr>
            <w:tcW w:w="1482" w:type="dxa"/>
            <w:shd w:val="clear" w:color="auto" w:fill="C6EFCE"/>
          </w:tcPr>
          <w:p w:rsidRPr="00B41A05" w:rsidR="00D87E44" w:rsidRDefault="00D87E44" w14:paraId="15458025"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2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r>
              <w:rPr>
                <w:rFonts w:eastAsia="Times New Roman"/>
                <w:noProof/>
                <w:color w:val="004300"/>
                <w:sz w:val="18"/>
                <w:szCs w:val="18"/>
                <w:lang w:val="en-IE" w:eastAsia="en-GB"/>
              </w:rPr>
              <w:t xml:space="preserve"> </w:t>
            </w:r>
          </w:p>
        </w:tc>
        <w:tc>
          <w:tcPr>
            <w:tcW w:w="1082" w:type="dxa"/>
            <w:shd w:val="clear" w:color="auto" w:fill="C6EFCE"/>
          </w:tcPr>
          <w:p w:rsidRPr="00B41A05" w:rsidR="00D87E44" w:rsidRDefault="00D87E44" w14:paraId="1545802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681" w:type="dxa"/>
            <w:shd w:val="clear" w:color="auto" w:fill="C6EFCE"/>
          </w:tcPr>
          <w:p w:rsidRPr="00B41A05" w:rsidR="00D87E44" w:rsidRDefault="00D87E44" w14:paraId="15458028"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60</w:t>
            </w:r>
          </w:p>
        </w:tc>
        <w:tc>
          <w:tcPr>
            <w:tcW w:w="948" w:type="dxa"/>
            <w:shd w:val="clear" w:color="auto" w:fill="C6EFCE"/>
          </w:tcPr>
          <w:p w:rsidRPr="00B41A05" w:rsidR="00D87E44" w:rsidRDefault="00D87E44" w14:paraId="1545802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802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4387" w:type="dxa"/>
            <w:shd w:val="clear" w:color="auto" w:fill="C6EFCE"/>
          </w:tcPr>
          <w:p w:rsidRPr="00B41A05" w:rsidR="00D87E44" w:rsidRDefault="00D87E44" w14:paraId="1545802B"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Submission of completion reports by the beneficiary and approval by the competent authority for 60 projects.</w:t>
            </w:r>
          </w:p>
        </w:tc>
      </w:tr>
      <w:tr w:rsidRPr="00FE48E2" w:rsidR="00E3458A" w:rsidTr="4A45BCA2" w14:paraId="15458038" w14:textId="77777777">
        <w:trPr>
          <w:trHeight w:val="945"/>
          <w:jc w:val="center"/>
        </w:trPr>
        <w:tc>
          <w:tcPr>
            <w:tcW w:w="704" w:type="dxa"/>
            <w:shd w:val="clear" w:color="auto" w:fill="C6EFCE"/>
          </w:tcPr>
          <w:p w:rsidRPr="00B41A05" w:rsidR="00D87E44" w:rsidRDefault="00D87E44" w14:paraId="1545802D"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152</w:t>
            </w:r>
          </w:p>
        </w:tc>
        <w:tc>
          <w:tcPr>
            <w:tcW w:w="1418" w:type="dxa"/>
            <w:shd w:val="clear" w:color="auto" w:fill="C6EFCE"/>
          </w:tcPr>
          <w:p w:rsidRPr="00B41A05" w:rsidR="00D87E44" w:rsidRDefault="00D87E44" w14:paraId="1545802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Investment 3: Water saving in industry</w:t>
            </w:r>
          </w:p>
        </w:tc>
        <w:tc>
          <w:tcPr>
            <w:tcW w:w="1427" w:type="dxa"/>
            <w:shd w:val="clear" w:color="auto" w:fill="C6EFCE"/>
          </w:tcPr>
          <w:p w:rsidRPr="00B41A05" w:rsidR="00D87E44" w:rsidRDefault="00D87E44" w14:paraId="1545802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Milestone</w:t>
            </w:r>
          </w:p>
        </w:tc>
        <w:tc>
          <w:tcPr>
            <w:tcW w:w="1378" w:type="dxa"/>
            <w:shd w:val="clear" w:color="auto" w:fill="C6EFCE"/>
          </w:tcPr>
          <w:p w:rsidRPr="00B41A05" w:rsidR="00D87E44" w:rsidRDefault="00D87E44" w14:paraId="1545803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Award of all public contracts for projects to save and optimise water in the industry by </w:t>
            </w:r>
            <w:r w:rsidRPr="00B41A05">
              <w:rPr>
                <w:rFonts w:eastAsia="Times New Roman"/>
                <w:noProof/>
                <w:color w:val="004300"/>
                <w:sz w:val="18"/>
                <w:szCs w:val="18"/>
                <w:lang w:val="en-IE" w:eastAsia="en-GB"/>
              </w:rPr>
              <w:t>the Ministry of Industry and Trade</w:t>
            </w:r>
          </w:p>
        </w:tc>
        <w:tc>
          <w:tcPr>
            <w:tcW w:w="1482" w:type="dxa"/>
            <w:shd w:val="clear" w:color="auto" w:fill="C6EFCE"/>
          </w:tcPr>
          <w:p w:rsidRPr="00B41A05" w:rsidR="00D87E44" w:rsidRDefault="00D87E44" w14:paraId="1545803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Notification of the award of all public contracts for projects to save and optimise water in the industry by the Ministry of Industry and Trade</w:t>
            </w:r>
          </w:p>
        </w:tc>
        <w:tc>
          <w:tcPr>
            <w:tcW w:w="948" w:type="dxa"/>
            <w:shd w:val="clear" w:color="auto" w:fill="C6EFCE"/>
          </w:tcPr>
          <w:p w:rsidRPr="00B41A05" w:rsidR="00D87E44" w:rsidRDefault="00D87E44" w14:paraId="15458032" w14:textId="77777777">
            <w:pPr>
              <w:spacing w:before="0" w:after="0" w:line="240" w:lineRule="auto"/>
              <w:rPr>
                <w:rFonts w:eastAsia="Times New Roman"/>
                <w:noProof/>
                <w:color w:val="004300"/>
                <w:sz w:val="18"/>
                <w:szCs w:val="18"/>
                <w:lang w:val="en-IE" w:eastAsia="en-GB"/>
              </w:rPr>
            </w:pPr>
          </w:p>
        </w:tc>
        <w:tc>
          <w:tcPr>
            <w:tcW w:w="1082" w:type="dxa"/>
            <w:shd w:val="clear" w:color="auto" w:fill="C6EFCE"/>
          </w:tcPr>
          <w:p w:rsidRPr="00B41A05" w:rsidR="00D87E44" w:rsidRDefault="00D87E44" w14:paraId="15458033" w14:textId="77777777">
            <w:pPr>
              <w:spacing w:before="0" w:after="0" w:line="240" w:lineRule="auto"/>
              <w:rPr>
                <w:rFonts w:eastAsia="Times New Roman"/>
                <w:noProof/>
                <w:color w:val="004300"/>
                <w:sz w:val="18"/>
                <w:szCs w:val="18"/>
                <w:lang w:val="en-IE" w:eastAsia="en-GB"/>
              </w:rPr>
            </w:pPr>
          </w:p>
        </w:tc>
        <w:tc>
          <w:tcPr>
            <w:tcW w:w="681" w:type="dxa"/>
            <w:shd w:val="clear" w:color="auto" w:fill="C6EFCE"/>
          </w:tcPr>
          <w:p w:rsidRPr="00B41A05" w:rsidR="00D87E44" w:rsidRDefault="00D87E44" w14:paraId="15458034"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35"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8036"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2022</w:t>
            </w:r>
          </w:p>
        </w:tc>
        <w:tc>
          <w:tcPr>
            <w:tcW w:w="4387" w:type="dxa"/>
            <w:shd w:val="clear" w:color="auto" w:fill="C6EFCE"/>
          </w:tcPr>
          <w:p w:rsidRPr="00B41A05" w:rsidR="00D87E44" w:rsidRDefault="00D87E44" w14:paraId="15458037"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Notification of the award of all public contracts for </w:t>
            </w:r>
            <w:r w:rsidRPr="00B41A05">
              <w:rPr>
                <w:rFonts w:eastAsia="Times New Roman"/>
                <w:noProof/>
                <w:color w:val="004300"/>
                <w:sz w:val="18"/>
                <w:szCs w:val="18"/>
                <w:lang w:val="en-IE" w:eastAsia="en-GB"/>
              </w:rPr>
              <w:t>projects to save and optimise water in the industry by the Ministry of Industry and Trade. Projects shall be selected that optimise water consumption in the production process by installing new technologies and equipment to save water, direct water recycling in water-intensive industries, reuse polluted/used operating water in other processes, optimise water use in utility plants, reduce water losses in closed circuits, or optimise the use of steam or its distribution potential.</w:t>
            </w:r>
          </w:p>
        </w:tc>
      </w:tr>
      <w:tr w:rsidRPr="00FE48E2" w:rsidR="00E3458A" w:rsidTr="4A45BCA2" w14:paraId="15458044" w14:textId="77777777">
        <w:trPr>
          <w:trHeight w:val="945"/>
          <w:jc w:val="center"/>
        </w:trPr>
        <w:tc>
          <w:tcPr>
            <w:tcW w:w="704" w:type="dxa"/>
            <w:shd w:val="clear" w:color="auto" w:fill="C6EFCE"/>
          </w:tcPr>
          <w:p w:rsidRPr="00B41A05" w:rsidR="00D87E44" w:rsidRDefault="00D87E44" w14:paraId="15458039"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153</w:t>
            </w:r>
          </w:p>
        </w:tc>
        <w:tc>
          <w:tcPr>
            <w:tcW w:w="1418" w:type="dxa"/>
            <w:shd w:val="clear" w:color="auto" w:fill="C6EFCE"/>
          </w:tcPr>
          <w:p w:rsidRPr="00B41A05" w:rsidR="00D87E44" w:rsidRDefault="00D87E44" w14:paraId="1545803A"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 xml:space="preserve">Investment 3: </w:t>
            </w:r>
            <w:r w:rsidRPr="00B41A05">
              <w:rPr>
                <w:rFonts w:eastAsia="Times New Roman"/>
                <w:noProof/>
                <w:color w:val="004300"/>
                <w:sz w:val="18"/>
                <w:szCs w:val="18"/>
                <w:lang w:val="en-IE" w:eastAsia="en-GB"/>
              </w:rPr>
              <w:t>Water saving in industry</w:t>
            </w:r>
          </w:p>
        </w:tc>
        <w:tc>
          <w:tcPr>
            <w:tcW w:w="1427" w:type="dxa"/>
            <w:shd w:val="clear" w:color="auto" w:fill="C6EFCE"/>
          </w:tcPr>
          <w:p w:rsidRPr="00B41A05" w:rsidR="00D87E44" w:rsidRDefault="00D87E44" w14:paraId="1545803B"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Target</w:t>
            </w:r>
          </w:p>
        </w:tc>
        <w:tc>
          <w:tcPr>
            <w:tcW w:w="1378" w:type="dxa"/>
            <w:shd w:val="clear" w:color="auto" w:fill="C6EFCE"/>
          </w:tcPr>
          <w:p w:rsidRPr="00B41A05" w:rsidR="00D87E44" w:rsidRDefault="00D87E44" w14:paraId="1545803C"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Completion reports for p</w:t>
            </w:r>
            <w:r w:rsidRPr="00B41A05">
              <w:rPr>
                <w:rFonts w:eastAsia="Times New Roman"/>
                <w:noProof/>
                <w:color w:val="004300"/>
                <w:sz w:val="18"/>
                <w:szCs w:val="18"/>
                <w:lang w:val="en-IE" w:eastAsia="en-GB"/>
              </w:rPr>
              <w:t xml:space="preserve">rojects to save and optimise </w:t>
            </w:r>
            <w:r w:rsidRPr="00B41A05">
              <w:rPr>
                <w:rFonts w:eastAsia="Times New Roman"/>
                <w:noProof/>
                <w:color w:val="004300"/>
                <w:sz w:val="18"/>
                <w:szCs w:val="18"/>
                <w:lang w:val="en-IE" w:eastAsia="en-GB"/>
              </w:rPr>
              <w:lastRenderedPageBreak/>
              <w:t>water in the industry</w:t>
            </w:r>
          </w:p>
        </w:tc>
        <w:tc>
          <w:tcPr>
            <w:tcW w:w="1482" w:type="dxa"/>
            <w:shd w:val="clear" w:color="auto" w:fill="C6EFCE"/>
          </w:tcPr>
          <w:p w:rsidRPr="00B41A05" w:rsidR="00D87E44" w:rsidRDefault="00D87E44" w14:paraId="1545803D" w14:textId="77777777">
            <w:pPr>
              <w:spacing w:before="0" w:after="0" w:line="240" w:lineRule="auto"/>
              <w:rPr>
                <w:rFonts w:eastAsia="Times New Roman"/>
                <w:noProof/>
                <w:color w:val="004300"/>
                <w:sz w:val="18"/>
                <w:szCs w:val="18"/>
                <w:lang w:val="en-IE" w:eastAsia="en-GB"/>
              </w:rPr>
            </w:pPr>
          </w:p>
        </w:tc>
        <w:tc>
          <w:tcPr>
            <w:tcW w:w="948" w:type="dxa"/>
            <w:shd w:val="clear" w:color="auto" w:fill="C6EFCE"/>
          </w:tcPr>
          <w:p w:rsidRPr="00B41A05" w:rsidR="00D87E44" w:rsidRDefault="00D87E44" w14:paraId="1545803E"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Number of projects</w:t>
            </w:r>
          </w:p>
        </w:tc>
        <w:tc>
          <w:tcPr>
            <w:tcW w:w="1082" w:type="dxa"/>
            <w:shd w:val="clear" w:color="auto" w:fill="C6EFCE"/>
          </w:tcPr>
          <w:p w:rsidRPr="00B41A05" w:rsidR="00D87E44" w:rsidRDefault="00D87E44" w14:paraId="1545803F"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0</w:t>
            </w:r>
          </w:p>
        </w:tc>
        <w:tc>
          <w:tcPr>
            <w:tcW w:w="681" w:type="dxa"/>
            <w:shd w:val="clear" w:color="auto" w:fill="C6EFCE"/>
          </w:tcPr>
          <w:p w:rsidRPr="00B41A05" w:rsidR="00D87E44" w:rsidRDefault="00D87E44" w14:paraId="15458040"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40</w:t>
            </w:r>
          </w:p>
        </w:tc>
        <w:tc>
          <w:tcPr>
            <w:tcW w:w="948" w:type="dxa"/>
            <w:shd w:val="clear" w:color="auto" w:fill="C6EFCE"/>
          </w:tcPr>
          <w:p w:rsidRPr="00B41A05" w:rsidR="00D87E44" w:rsidRDefault="00D87E44" w14:paraId="15458041"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Q4</w:t>
            </w:r>
          </w:p>
        </w:tc>
        <w:tc>
          <w:tcPr>
            <w:tcW w:w="681" w:type="dxa"/>
            <w:shd w:val="clear" w:color="auto" w:fill="C6EFCE"/>
          </w:tcPr>
          <w:p w:rsidRPr="00B41A05" w:rsidR="00D87E44" w:rsidRDefault="00D87E44" w14:paraId="15458042" w14:textId="77777777">
            <w:pPr>
              <w:spacing w:before="0" w:after="0" w:line="240" w:lineRule="auto"/>
              <w:rPr>
                <w:rFonts w:eastAsia="Times New Roman"/>
                <w:noProof/>
                <w:color w:val="004300"/>
                <w:sz w:val="18"/>
                <w:szCs w:val="18"/>
                <w:lang w:val="en-IE" w:eastAsia="en-GB"/>
              </w:rPr>
            </w:pPr>
            <w:r w:rsidRPr="00B41A05">
              <w:rPr>
                <w:rFonts w:eastAsia="Times New Roman"/>
                <w:noProof/>
                <w:color w:val="004300"/>
                <w:sz w:val="18"/>
                <w:szCs w:val="18"/>
                <w:lang w:val="en-IE" w:eastAsia="en-GB"/>
              </w:rPr>
              <w:t>2025</w:t>
            </w:r>
          </w:p>
        </w:tc>
        <w:tc>
          <w:tcPr>
            <w:tcW w:w="4387" w:type="dxa"/>
            <w:shd w:val="clear" w:color="auto" w:fill="C6EFCE"/>
          </w:tcPr>
          <w:p w:rsidRPr="00B41A05" w:rsidR="00D87E44" w:rsidRDefault="00D87E44" w14:paraId="15458043"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Submission of completion reports by the beneficiary and approval by the competent authority for 40 </w:t>
            </w:r>
            <w:r>
              <w:rPr>
                <w:rFonts w:eastAsia="Times New Roman"/>
                <w:noProof/>
                <w:color w:val="004300"/>
                <w:sz w:val="18"/>
                <w:szCs w:val="18"/>
                <w:lang w:val="en-IE" w:eastAsia="en-GB"/>
              </w:rPr>
              <w:t>projects.</w:t>
            </w:r>
          </w:p>
        </w:tc>
      </w:tr>
    </w:tbl>
    <w:p w:rsidRPr="00FE48E2" w:rsidR="00D87E44" w:rsidP="00FF1320" w:rsidRDefault="00D87E44" w14:paraId="15458045" w14:textId="77777777">
      <w:pPr>
        <w:spacing w:line="240" w:lineRule="auto"/>
        <w:jc w:val="both"/>
        <w:rPr>
          <w:b/>
          <w:noProof/>
          <w:highlight w:val="red"/>
          <w:u w:val="single"/>
          <w:lang w:val="en-IE"/>
        </w:rPr>
      </w:pPr>
    </w:p>
    <w:p w:rsidRPr="00FE48E2" w:rsidR="00D87E44" w:rsidP="00D226F4" w:rsidRDefault="00D87E44" w14:paraId="15458046" w14:textId="77777777">
      <w:pPr>
        <w:spacing w:line="240" w:lineRule="auto"/>
        <w:rPr>
          <w:b/>
          <w:smallCaps/>
          <w:noProof/>
          <w:lang w:val="en-IE"/>
        </w:rPr>
        <w:sectPr w:rsidRPr="00FE48E2" w:rsidR="00C16C1F" w:rsidSect="00D226F4">
          <w:headerReference w:type="even" r:id="R00ab7b3de7cc4e05"/>
          <w:headerReference w:type="default" r:id="R8594c3ee4ad54639"/>
          <w:footerReference w:type="even" r:id="R029df5204a42466f"/>
          <w:footerReference w:type="default" r:id="R4072cec2353449bb"/>
          <w:headerReference w:type="first" r:id="Rceb908b88e894379"/>
          <w:footerReference w:type="first" r:id="R4c8a0973b9ee4c0e"/>
          <w:pgSz w:w="16839" w:h="11907" w:orient="landscape"/>
          <w:pgMar w:top="1134" w:right="1134" w:bottom="1134" w:left="1134" w:header="567" w:footer="567" w:gutter="0"/>
          <w:cols w:space="720"/>
          <w:docGrid w:linePitch="326"/>
        </w:sectPr>
      </w:pPr>
    </w:p>
    <w:p w:rsidRPr="00FE48E2" w:rsidR="00D87E44" w:rsidP="00D226F4" w:rsidRDefault="00D87E44" w14:paraId="15458047" w14:textId="77777777">
      <w:pPr>
        <w:keepNext/>
        <w:tabs>
          <w:tab w:val="left" w:pos="850"/>
        </w:tabs>
        <w:spacing w:line="240" w:lineRule="auto"/>
        <w:jc w:val="both"/>
        <w:outlineLvl w:val="0"/>
        <w:rPr>
          <w:b/>
          <w:smallCaps/>
          <w:noProof/>
          <w:lang w:val="en-IE"/>
        </w:rPr>
      </w:pPr>
      <w:r w:rsidRPr="2B33628C">
        <w:rPr>
          <w:b/>
          <w:bCs/>
          <w:smallCaps/>
          <w:noProof/>
          <w:lang w:val="en-IE"/>
        </w:rPr>
        <w:lastRenderedPageBreak/>
        <w:t>O</w:t>
      </w:r>
      <w:r w:rsidRPr="00FE48E2">
        <w:rPr>
          <w:b/>
          <w:smallCaps/>
          <w:noProof/>
          <w:lang w:val="en-IE"/>
        </w:rPr>
        <w:t>. COMPONENT 2.8: Brownfields Revitalisation</w:t>
      </w:r>
    </w:p>
    <w:p w:rsidRPr="00FE48E2" w:rsidR="00D87E44" w:rsidP="00D226F4" w:rsidRDefault="00D87E44" w14:paraId="15458048" w14:textId="77777777">
      <w:pPr>
        <w:spacing w:line="240" w:lineRule="auto"/>
        <w:jc w:val="both"/>
        <w:rPr>
          <w:noProof/>
          <w:szCs w:val="24"/>
          <w:lang w:val="en-IE"/>
        </w:rPr>
      </w:pPr>
      <w:r w:rsidRPr="00FE48E2">
        <w:rPr>
          <w:noProof/>
          <w:szCs w:val="24"/>
          <w:lang w:val="en-IE"/>
        </w:rPr>
        <w:t xml:space="preserve">This component </w:t>
      </w:r>
      <w:r w:rsidRPr="00FE48E2">
        <w:rPr>
          <w:rFonts w:eastAsia="Times New Roman"/>
          <w:noProof/>
          <w:szCs w:val="24"/>
          <w:lang w:val="en-IE"/>
        </w:rPr>
        <w:t>of the Czech recovery and resilience plan contributes to</w:t>
      </w:r>
      <w:r w:rsidRPr="00FE48E2">
        <w:rPr>
          <w:noProof/>
          <w:szCs w:val="24"/>
          <w:lang w:val="en-IE"/>
        </w:rPr>
        <w:t xml:space="preserve"> addressing the challenge of supporting revitalisation of former industrial or unused sites in urban areas (henceforth brownfield sites) with the ultimate goals to:</w:t>
      </w:r>
    </w:p>
    <w:p w:rsidRPr="00FE48E2" w:rsidR="00D87E44" w:rsidP="00D226F4" w:rsidRDefault="00D87E44" w14:paraId="15458049" w14:textId="77777777">
      <w:pPr>
        <w:numPr>
          <w:ilvl w:val="0"/>
          <w:numId w:val="52"/>
        </w:numPr>
        <w:spacing w:line="240" w:lineRule="auto"/>
        <w:contextualSpacing/>
        <w:jc w:val="both"/>
        <w:rPr>
          <w:noProof/>
          <w:szCs w:val="24"/>
          <w:lang w:val="en-IE"/>
        </w:rPr>
      </w:pPr>
      <w:r w:rsidRPr="00FE48E2">
        <w:rPr>
          <w:noProof/>
          <w:szCs w:val="24"/>
          <w:lang w:val="en-IE"/>
        </w:rPr>
        <w:t>improve energy efficiency of renovated or reconstructed buildings;</w:t>
      </w:r>
    </w:p>
    <w:p w:rsidRPr="00FE48E2" w:rsidR="00D87E44" w:rsidP="00D226F4" w:rsidRDefault="00D87E44" w14:paraId="1545804A" w14:textId="77777777">
      <w:pPr>
        <w:numPr>
          <w:ilvl w:val="0"/>
          <w:numId w:val="52"/>
        </w:numPr>
        <w:spacing w:line="240" w:lineRule="auto"/>
        <w:contextualSpacing/>
        <w:jc w:val="both"/>
        <w:rPr>
          <w:noProof/>
          <w:szCs w:val="24"/>
          <w:lang w:val="en-IE"/>
        </w:rPr>
      </w:pPr>
      <w:r w:rsidRPr="00FE48E2">
        <w:rPr>
          <w:noProof/>
          <w:szCs w:val="24"/>
          <w:lang w:val="en-IE"/>
        </w:rPr>
        <w:t>construct new energy-efficient buildings, where renovation would neither be possible nor efficient;</w:t>
      </w:r>
    </w:p>
    <w:p w:rsidRPr="00FE48E2" w:rsidR="00D87E44" w:rsidP="00D226F4" w:rsidRDefault="00D87E44" w14:paraId="1545804B" w14:textId="77777777">
      <w:pPr>
        <w:numPr>
          <w:ilvl w:val="0"/>
          <w:numId w:val="52"/>
        </w:numPr>
        <w:spacing w:line="240" w:lineRule="auto"/>
        <w:contextualSpacing/>
        <w:jc w:val="both"/>
        <w:rPr>
          <w:noProof/>
          <w:szCs w:val="24"/>
          <w:lang w:val="en-IE"/>
        </w:rPr>
      </w:pPr>
      <w:r w:rsidRPr="00FE48E2">
        <w:rPr>
          <w:noProof/>
          <w:szCs w:val="24"/>
          <w:lang w:val="en-IE"/>
        </w:rPr>
        <w:t>create natural carbon sinks.</w:t>
      </w:r>
    </w:p>
    <w:p w:rsidRPr="00FE48E2" w:rsidR="00D87E44" w:rsidP="00D226F4" w:rsidRDefault="00D87E44" w14:paraId="1545804C" w14:textId="77777777">
      <w:pPr>
        <w:spacing w:line="240" w:lineRule="auto"/>
        <w:jc w:val="both"/>
        <w:rPr>
          <w:noProof/>
          <w:szCs w:val="24"/>
          <w:lang w:val="en-IE"/>
        </w:rPr>
      </w:pPr>
      <w:r w:rsidRPr="00FE48E2">
        <w:rPr>
          <w:noProof/>
          <w:szCs w:val="24"/>
          <w:lang w:val="en-IE"/>
        </w:rPr>
        <w:t xml:space="preserve">The component shall initiate comprehensive site conversions and enhance the ecological stability of the landscape by creating new green areas without affecting agricultural land. The revitalisation of the territory is expected to contribute to a more efficient use of technical and transport infrastructure, reduced energy consumption and increased energy efficiency.  </w:t>
      </w:r>
    </w:p>
    <w:p w:rsidRPr="00FE48E2" w:rsidR="00D87E44" w:rsidP="00D226F4" w:rsidRDefault="00D87E44" w14:paraId="1545804D" w14:textId="77777777">
      <w:pPr>
        <w:spacing w:line="240" w:lineRule="auto"/>
        <w:jc w:val="both"/>
        <w:rPr>
          <w:noProof/>
          <w:color w:val="000000"/>
          <w:szCs w:val="24"/>
          <w:lang w:val="en-IE"/>
        </w:rPr>
      </w:pPr>
      <w:r w:rsidRPr="00FE48E2">
        <w:rPr>
          <w:noProof/>
          <w:szCs w:val="24"/>
          <w:lang w:val="en-IE"/>
        </w:rPr>
        <w:t>The component supports addressing the country-specific recommendation, according to which Czechia shall</w:t>
      </w:r>
      <w:r w:rsidRPr="00FE48E2">
        <w:rPr>
          <w:noProof/>
          <w:szCs w:val="24"/>
          <w:highlight w:val="white"/>
          <w:lang w:val="en-IE"/>
        </w:rPr>
        <w:t xml:space="preserve"> </w:t>
      </w:r>
      <w:r w:rsidRPr="00FE48E2">
        <w:rPr>
          <w:noProof/>
          <w:color w:val="000000"/>
          <w:szCs w:val="24"/>
          <w:highlight w:val="white"/>
          <w:lang w:val="en-IE"/>
        </w:rPr>
        <w:t xml:space="preserve">focus on low carbon and energy transition, including energy efficiency (Country Specific Recommendation 3 2019), </w:t>
      </w:r>
      <w:r w:rsidRPr="00FE48E2">
        <w:rPr>
          <w:noProof/>
          <w:color w:val="000000"/>
          <w:szCs w:val="24"/>
          <w:lang w:val="en-IE"/>
        </w:rPr>
        <w:t xml:space="preserve">and the country-specific recommendation, according to which Czechia shall </w:t>
      </w:r>
      <w:r w:rsidRPr="00FE48E2">
        <w:rPr>
          <w:noProof/>
          <w:color w:val="000000"/>
          <w:szCs w:val="24"/>
          <w:highlight w:val="white"/>
          <w:lang w:val="en-IE"/>
        </w:rPr>
        <w:t>support clean and efficient production and use of energy (Country Specific Recommendation 3 2020). </w:t>
      </w:r>
    </w:p>
    <w:p w:rsidRPr="00FE48E2" w:rsidR="00D87E44" w:rsidP="00D226F4" w:rsidRDefault="00D87E44" w14:paraId="1545804E" w14:textId="77777777">
      <w:pPr>
        <w:spacing w:after="160" w:line="259" w:lineRule="auto"/>
        <w:contextualSpacing/>
        <w:jc w:val="both"/>
        <w:rPr>
          <w:rFonts w:eastAsia="Times New Roman"/>
          <w:noProof/>
          <w:color w:val="000000"/>
          <w:lang w:val="en-IE"/>
        </w:rPr>
      </w:pPr>
      <w:r w:rsidRPr="00FE48E2">
        <w:rPr>
          <w:rFonts w:eastAsia="Times New Roman"/>
          <w:noProof/>
          <w:color w:val="000000" w:themeColor="text1"/>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w:t>
      </w:r>
    </w:p>
    <w:p w:rsidRPr="00FE48E2" w:rsidR="00D87E44" w:rsidP="00D226F4" w:rsidRDefault="00D87E44" w14:paraId="1545804F" w14:textId="77777777">
      <w:pPr>
        <w:spacing w:line="240" w:lineRule="auto"/>
        <w:jc w:val="both"/>
        <w:rPr>
          <w:noProof/>
          <w:sz w:val="22"/>
          <w:lang w:val="en-IE"/>
        </w:rPr>
      </w:pPr>
    </w:p>
    <w:p w:rsidRPr="00FE48E2" w:rsidR="00D87E44" w:rsidP="00D226F4" w:rsidRDefault="00D87E44" w14:paraId="15458050" w14:textId="77777777">
      <w:pPr>
        <w:spacing w:line="240" w:lineRule="auto"/>
        <w:jc w:val="both"/>
        <w:rPr>
          <w:noProof/>
          <w:szCs w:val="24"/>
          <w:lang w:val="en-IE"/>
        </w:rPr>
      </w:pPr>
      <w:r w:rsidRPr="2B33628C">
        <w:rPr>
          <w:b/>
          <w:bCs/>
          <w:noProof/>
          <w:u w:val="single"/>
          <w:lang w:val="en-IE"/>
        </w:rPr>
        <w:t>O</w:t>
      </w:r>
      <w:r w:rsidRPr="00FE48E2">
        <w:rPr>
          <w:b/>
          <w:noProof/>
          <w:szCs w:val="24"/>
          <w:u w:val="single"/>
          <w:lang w:val="en-IE"/>
        </w:rPr>
        <w:t>.1. Description of the reforms and investments for non-repayable financial support</w:t>
      </w:r>
    </w:p>
    <w:p w:rsidRPr="00FE48E2" w:rsidR="00D87E44" w:rsidP="00D226F4" w:rsidRDefault="00D87E44" w14:paraId="15458051" w14:textId="77777777">
      <w:pPr>
        <w:spacing w:line="240" w:lineRule="auto"/>
        <w:jc w:val="both"/>
        <w:rPr>
          <w:b/>
          <w:noProof/>
          <w:szCs w:val="24"/>
          <w:lang w:val="en-IE"/>
        </w:rPr>
      </w:pPr>
      <w:r w:rsidRPr="00FE48E2">
        <w:rPr>
          <w:b/>
          <w:noProof/>
          <w:szCs w:val="24"/>
          <w:lang w:val="en-IE"/>
        </w:rPr>
        <w:t xml:space="preserve">Investment 1: Investment aid for regeneration of specific brownfield sites </w:t>
      </w:r>
    </w:p>
    <w:p w:rsidRPr="00FE48E2" w:rsidR="00D87E44" w:rsidP="00D226F4" w:rsidRDefault="00D87E44" w14:paraId="15458052" w14:textId="77777777">
      <w:pPr>
        <w:spacing w:line="240" w:lineRule="auto"/>
        <w:jc w:val="both"/>
        <w:rPr>
          <w:noProof/>
          <w:lang w:val="en-IE"/>
        </w:rPr>
      </w:pPr>
      <w:r w:rsidRPr="0317BA9F">
        <w:rPr>
          <w:noProof/>
          <w:lang w:val="en-IE"/>
        </w:rPr>
        <w:t xml:space="preserve">The investment </w:t>
      </w:r>
      <w:r w:rsidRPr="28FF003C">
        <w:rPr>
          <w:noProof/>
          <w:lang w:val="en-IE"/>
        </w:rPr>
        <w:t xml:space="preserve">aims to </w:t>
      </w:r>
      <w:r w:rsidRPr="0317BA9F">
        <w:rPr>
          <w:noProof/>
          <w:lang w:val="en-IE"/>
        </w:rPr>
        <w:t>support brownfield regeneration projects aim</w:t>
      </w:r>
      <w:r>
        <w:rPr>
          <w:noProof/>
          <w:lang w:val="en-IE"/>
        </w:rPr>
        <w:t>ing</w:t>
      </w:r>
      <w:r w:rsidRPr="0317BA9F">
        <w:rPr>
          <w:noProof/>
          <w:lang w:val="en-IE"/>
        </w:rPr>
        <w:t xml:space="preserve"> </w:t>
      </w:r>
      <w:r>
        <w:rPr>
          <w:noProof/>
          <w:lang w:val="en-IE"/>
        </w:rPr>
        <w:t>t</w:t>
      </w:r>
      <w:r w:rsidRPr="28FF003C">
        <w:rPr>
          <w:noProof/>
          <w:lang w:val="en-IE"/>
        </w:rPr>
        <w:t>o prepare</w:t>
      </w:r>
      <w:r w:rsidRPr="0317BA9F">
        <w:rPr>
          <w:noProof/>
          <w:lang w:val="en-IE"/>
        </w:rPr>
        <w:t xml:space="preserve"> areas for further multifunctional use. The investment </w:t>
      </w:r>
      <w:r w:rsidRPr="28FF003C">
        <w:rPr>
          <w:noProof/>
          <w:lang w:val="en-IE"/>
        </w:rPr>
        <w:t>consists of</w:t>
      </w:r>
      <w:r w:rsidRPr="0317BA9F">
        <w:rPr>
          <w:noProof/>
          <w:lang w:val="en-IE"/>
        </w:rPr>
        <w:t xml:space="preserve"> support </w:t>
      </w:r>
      <w:r>
        <w:rPr>
          <w:noProof/>
          <w:lang w:val="en-IE"/>
        </w:rPr>
        <w:t>for</w:t>
      </w:r>
      <w:r w:rsidRPr="0317BA9F">
        <w:rPr>
          <w:noProof/>
          <w:lang w:val="en-IE"/>
        </w:rPr>
        <w:t xml:space="preserve"> at least 10 brownfield regeneration projects.</w:t>
      </w:r>
    </w:p>
    <w:p w:rsidRPr="00FE48E2" w:rsidR="00D87E44" w:rsidP="00D226F4" w:rsidRDefault="00D87E44" w14:paraId="15458053" w14:textId="77777777">
      <w:pPr>
        <w:spacing w:line="240" w:lineRule="auto"/>
        <w:rPr>
          <w:b/>
          <w:noProof/>
          <w:szCs w:val="24"/>
          <w:lang w:val="en-IE"/>
        </w:rPr>
      </w:pPr>
      <w:r w:rsidRPr="00FE48E2">
        <w:rPr>
          <w:b/>
          <w:noProof/>
          <w:szCs w:val="24"/>
          <w:lang w:val="en-IE"/>
        </w:rPr>
        <w:t>Investment 2: Investment aid for the regeneration of brownfield sites owned by municipalities and regions for non-business use</w:t>
      </w:r>
    </w:p>
    <w:p w:rsidRPr="00FE48E2" w:rsidR="00D87E44" w:rsidP="00D226F4" w:rsidRDefault="00D87E44" w14:paraId="15458054" w14:textId="77777777">
      <w:pPr>
        <w:spacing w:line="240" w:lineRule="auto"/>
        <w:jc w:val="both"/>
        <w:rPr>
          <w:noProof/>
          <w:lang w:val="en-IE"/>
        </w:rPr>
      </w:pPr>
      <w:r w:rsidRPr="0317BA9F">
        <w:rPr>
          <w:noProof/>
          <w:lang w:val="en-IE"/>
        </w:rPr>
        <w:t>The investment</w:t>
      </w:r>
      <w:r w:rsidRPr="64E8BD98">
        <w:rPr>
          <w:noProof/>
          <w:lang w:val="en-IE"/>
        </w:rPr>
        <w:t xml:space="preserve"> aims to</w:t>
      </w:r>
      <w:r w:rsidRPr="0317BA9F">
        <w:rPr>
          <w:noProof/>
          <w:lang w:val="en-IE"/>
        </w:rPr>
        <w:t xml:space="preserve"> support the regeneration of brownfield sites owned by local and regional authorities. The investment </w:t>
      </w:r>
      <w:r w:rsidRPr="64E8BD98">
        <w:rPr>
          <w:noProof/>
          <w:lang w:val="en-IE"/>
        </w:rPr>
        <w:t>consists of</w:t>
      </w:r>
      <w:r w:rsidRPr="0317BA9F">
        <w:rPr>
          <w:noProof/>
          <w:lang w:val="en-IE"/>
        </w:rPr>
        <w:t xml:space="preserve"> support </w:t>
      </w:r>
      <w:r>
        <w:rPr>
          <w:noProof/>
          <w:lang w:val="en-IE"/>
        </w:rPr>
        <w:t>for</w:t>
      </w:r>
      <w:r w:rsidRPr="0317BA9F">
        <w:rPr>
          <w:noProof/>
          <w:lang w:val="en-IE"/>
        </w:rPr>
        <w:t xml:space="preserve"> at least 30 non-business brownfield regeneration projects.</w:t>
      </w:r>
    </w:p>
    <w:p w:rsidRPr="00FE48E2" w:rsidR="00D87E44" w:rsidP="00D226F4" w:rsidRDefault="00D87E44" w14:paraId="15458055" w14:textId="77777777">
      <w:pPr>
        <w:spacing w:line="240" w:lineRule="auto"/>
        <w:rPr>
          <w:b/>
          <w:noProof/>
          <w:szCs w:val="24"/>
          <w:lang w:val="en-IE"/>
        </w:rPr>
      </w:pPr>
      <w:r w:rsidRPr="00FE48E2">
        <w:rPr>
          <w:b/>
          <w:noProof/>
          <w:szCs w:val="24"/>
          <w:lang w:val="en-IE"/>
        </w:rPr>
        <w:t xml:space="preserve">Investment 3: Investment aid for the regeneration of brownfield sites owned by municipalities and regions for business use </w:t>
      </w:r>
    </w:p>
    <w:p w:rsidRPr="00FE48E2" w:rsidR="00D87E44" w:rsidP="00D226F4" w:rsidRDefault="00D87E44" w14:paraId="15458056" w14:textId="77777777">
      <w:pPr>
        <w:spacing w:line="240" w:lineRule="auto"/>
        <w:jc w:val="both"/>
        <w:rPr>
          <w:noProof/>
          <w:lang w:val="en-IE"/>
        </w:rPr>
      </w:pPr>
      <w:r w:rsidRPr="0317BA9F">
        <w:rPr>
          <w:noProof/>
          <w:lang w:val="en-IE"/>
        </w:rPr>
        <w:t xml:space="preserve">The investment </w:t>
      </w:r>
      <w:r w:rsidRPr="64E8BD98">
        <w:rPr>
          <w:noProof/>
          <w:lang w:val="en-IE"/>
        </w:rPr>
        <w:t>aims to</w:t>
      </w:r>
      <w:r w:rsidRPr="0317BA9F">
        <w:rPr>
          <w:noProof/>
          <w:lang w:val="en-IE"/>
        </w:rPr>
        <w:t xml:space="preserve"> help revitalise brownfield degraded sites owned by municipalities in particular for business use and, to a limited extent, for non-business use. The investment </w:t>
      </w:r>
      <w:r w:rsidRPr="64E8BD98">
        <w:rPr>
          <w:noProof/>
          <w:lang w:val="en-IE"/>
        </w:rPr>
        <w:t>consists of</w:t>
      </w:r>
      <w:r w:rsidRPr="0317BA9F">
        <w:rPr>
          <w:noProof/>
          <w:lang w:val="en-IE"/>
        </w:rPr>
        <w:t xml:space="preserve"> support </w:t>
      </w:r>
      <w:r>
        <w:rPr>
          <w:noProof/>
          <w:lang w:val="en-IE"/>
        </w:rPr>
        <w:t>for</w:t>
      </w:r>
      <w:r w:rsidRPr="0317BA9F">
        <w:rPr>
          <w:noProof/>
          <w:lang w:val="en-IE"/>
        </w:rPr>
        <w:t xml:space="preserve"> projects to revitalise brownfield sites for business use.</w:t>
      </w:r>
    </w:p>
    <w:p w:rsidRPr="00FE48E2" w:rsidR="00D87E44" w:rsidP="00D226F4" w:rsidRDefault="00D87E44" w14:paraId="15458057" w14:textId="77777777">
      <w:pPr>
        <w:spacing w:line="240" w:lineRule="auto"/>
        <w:jc w:val="both"/>
        <w:rPr>
          <w:rFonts w:eastAsia="Times New Roman"/>
          <w:noProof/>
          <w:color w:val="000000"/>
          <w:szCs w:val="24"/>
          <w:lang w:val="en-IE"/>
        </w:rPr>
        <w:sectPr w:rsidRPr="00FE48E2" w:rsidR="00C16C1F" w:rsidSect="00D226F4">
          <w:headerReference w:type="even" r:id="R79825630ca0a4a3a"/>
          <w:headerReference w:type="default" r:id="R78373aacccf94bb1"/>
          <w:footerReference w:type="even" r:id="Rf11fcf43646643e4"/>
          <w:footerReference w:type="default" r:id="Rd1d7575c1f454d49"/>
          <w:headerReference w:type="first" r:id="R55d05ef41a394a15"/>
          <w:footerReference w:type="first" r:id="Rea12fe5309824e60"/>
          <w:pgSz w:w="11907" w:h="16839"/>
          <w:pgMar w:top="1134" w:right="1134" w:bottom="1134" w:left="1134" w:header="567" w:footer="567" w:gutter="0"/>
          <w:cols w:space="720"/>
          <w:docGrid w:linePitch="326"/>
        </w:sectPr>
      </w:pPr>
    </w:p>
    <w:p w:rsidRPr="00FE48E2" w:rsidR="00D87E44" w:rsidP="00D226F4" w:rsidRDefault="00D87E44" w14:paraId="15458058" w14:textId="77777777">
      <w:pPr>
        <w:pBdr>
          <w:top w:val="nil"/>
          <w:left w:val="nil"/>
          <w:bottom w:val="nil"/>
          <w:right w:val="nil"/>
          <w:between w:val="nil"/>
        </w:pBdr>
        <w:tabs>
          <w:tab w:val="left" w:pos="993"/>
        </w:tabs>
        <w:spacing w:line="240" w:lineRule="auto"/>
        <w:rPr>
          <w:b/>
          <w:noProof/>
          <w:color w:val="000000"/>
          <w:szCs w:val="24"/>
          <w:u w:val="single"/>
          <w:lang w:val="en-IE"/>
        </w:rPr>
      </w:pPr>
      <w:r w:rsidRPr="2B33628C">
        <w:rPr>
          <w:b/>
          <w:bCs/>
          <w:noProof/>
          <w:color w:val="000000" w:themeColor="text1"/>
          <w:u w:val="single"/>
          <w:lang w:val="en-IE"/>
        </w:rPr>
        <w:lastRenderedPageBreak/>
        <w:t xml:space="preserve">O.2. Milestones, targets, indicators, and timetable for monitoring and implementation for non-repayable financial support </w:t>
      </w:r>
    </w:p>
    <w:tbl>
      <w:tblPr>
        <w:tblW w:w="154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400" w:firstRow="0" w:lastRow="0" w:firstColumn="0" w:lastColumn="0" w:noHBand="0" w:noVBand="1"/>
      </w:tblPr>
      <w:tblGrid>
        <w:gridCol w:w="841"/>
        <w:gridCol w:w="1664"/>
        <w:gridCol w:w="1089"/>
        <w:gridCol w:w="1267"/>
        <w:gridCol w:w="1121"/>
        <w:gridCol w:w="1013"/>
        <w:gridCol w:w="951"/>
        <w:gridCol w:w="759"/>
        <w:gridCol w:w="987"/>
        <w:gridCol w:w="1035"/>
        <w:gridCol w:w="4708"/>
      </w:tblGrid>
      <w:tr w:rsidRPr="00FE48E2" w:rsidR="00E3458A" w14:paraId="15458061" w14:textId="77777777">
        <w:trPr>
          <w:trHeight w:val="75"/>
          <w:tblHeader/>
          <w:jc w:val="center"/>
        </w:trPr>
        <w:tc>
          <w:tcPr>
            <w:tcW w:w="841"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059"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Seq. Num.</w:t>
            </w:r>
          </w:p>
        </w:tc>
        <w:tc>
          <w:tcPr>
            <w:tcW w:w="1664"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05A"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Related measure (Reform or Investment)</w:t>
            </w:r>
          </w:p>
        </w:tc>
        <w:tc>
          <w:tcPr>
            <w:tcW w:w="1089"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05B"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Milestone / Target</w:t>
            </w:r>
          </w:p>
        </w:tc>
        <w:tc>
          <w:tcPr>
            <w:tcW w:w="1267"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05C"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Name</w:t>
            </w:r>
          </w:p>
        </w:tc>
        <w:tc>
          <w:tcPr>
            <w:tcW w:w="1121"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05D"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 </w:t>
            </w:r>
          </w:p>
        </w:tc>
        <w:tc>
          <w:tcPr>
            <w:tcW w:w="2723"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FE48E2" w:rsidR="00D87E44" w:rsidRDefault="00D87E44" w14:paraId="1545805E"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2022" w:type="dxa"/>
            <w:gridSpan w:val="2"/>
            <w:tcBorders>
              <w:top w:val="single" w:color="000000" w:themeColor="text1" w:sz="8" w:space="0"/>
              <w:left w:val="nil"/>
              <w:bottom w:val="single" w:color="000000" w:themeColor="text1" w:sz="8" w:space="0"/>
              <w:right w:val="single" w:color="000000" w:themeColor="text1" w:sz="8" w:space="0"/>
            </w:tcBorders>
            <w:shd w:val="clear" w:color="auto" w:fill="BDD7EE"/>
            <w:vAlign w:val="center"/>
          </w:tcPr>
          <w:p w:rsidRPr="00FE48E2" w:rsidR="00D87E44" w:rsidRDefault="00D87E44" w14:paraId="1545805F"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708" w:type="dxa"/>
            <w:vMerge w:val="restart"/>
            <w:tcBorders>
              <w:top w:val="single" w:color="000000" w:themeColor="text1" w:sz="8" w:space="0"/>
              <w:left w:val="nil"/>
              <w:right w:val="single" w:color="000000" w:themeColor="text1" w:sz="8" w:space="0"/>
            </w:tcBorders>
            <w:shd w:val="clear" w:color="auto" w:fill="BDD7EE"/>
            <w:vAlign w:val="center"/>
          </w:tcPr>
          <w:p w:rsidRPr="00FE48E2" w:rsidR="00D87E44" w:rsidRDefault="00D87E44" w14:paraId="1545806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14:paraId="1545806D" w14:textId="77777777">
        <w:trPr>
          <w:trHeight w:val="600"/>
          <w:tblHeader/>
          <w:jc w:val="center"/>
        </w:trPr>
        <w:tc>
          <w:tcPr>
            <w:tcW w:w="841" w:type="dxa"/>
            <w:vMerge/>
            <w:vAlign w:val="center"/>
          </w:tcPr>
          <w:p w:rsidRPr="00FE48E2" w:rsidR="00D87E44" w:rsidRDefault="00D87E44" w14:paraId="15458062"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664" w:type="dxa"/>
            <w:vMerge/>
            <w:vAlign w:val="center"/>
          </w:tcPr>
          <w:p w:rsidRPr="00FE48E2" w:rsidR="00D87E44" w:rsidRDefault="00D87E44" w14:paraId="15458063"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89" w:type="dxa"/>
            <w:vMerge/>
            <w:vAlign w:val="center"/>
          </w:tcPr>
          <w:p w:rsidRPr="00FE48E2" w:rsidR="00D87E44" w:rsidRDefault="00D87E44" w14:paraId="15458064"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7" w:type="dxa"/>
            <w:vMerge/>
            <w:vAlign w:val="center"/>
          </w:tcPr>
          <w:p w:rsidRPr="00FE48E2" w:rsidR="00D87E44" w:rsidRDefault="00D87E44" w14:paraId="15458065"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21" w:type="dxa"/>
            <w:vMerge/>
            <w:vAlign w:val="center"/>
          </w:tcPr>
          <w:p w:rsidRPr="00FE48E2" w:rsidR="00D87E44" w:rsidRDefault="00D87E44" w14:paraId="15458066"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067"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Unit of measure</w:t>
            </w:r>
          </w:p>
        </w:tc>
        <w:tc>
          <w:tcPr>
            <w:tcW w:w="951"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068"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Baseline</w:t>
            </w:r>
          </w:p>
        </w:tc>
        <w:tc>
          <w:tcPr>
            <w:tcW w:w="759"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069"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Goal</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06A"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Quarter</w:t>
            </w:r>
          </w:p>
        </w:tc>
        <w:tc>
          <w:tcPr>
            <w:tcW w:w="1035"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06B"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Year</w:t>
            </w:r>
          </w:p>
        </w:tc>
        <w:tc>
          <w:tcPr>
            <w:tcW w:w="4708" w:type="dxa"/>
            <w:vMerge/>
            <w:vAlign w:val="center"/>
          </w:tcPr>
          <w:p w:rsidRPr="00FE48E2" w:rsidR="00D87E44" w:rsidRDefault="00D87E44" w14:paraId="1545806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14:paraId="1545807D"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6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 </w:t>
            </w:r>
            <w:r w:rsidRPr="006B7328">
              <w:rPr>
                <w:rFonts w:eastAsia="Times New Roman"/>
                <w:noProof/>
                <w:color w:val="004300"/>
                <w:sz w:val="18"/>
                <w:szCs w:val="18"/>
                <w:lang w:val="en-IE" w:eastAsia="en-GB"/>
              </w:rPr>
              <w:t>154</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6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w:t>
            </w:r>
            <w:r w:rsidRPr="006E3127">
              <w:rPr>
                <w:rFonts w:eastAsia="Times New Roman"/>
                <w:noProof/>
                <w:color w:val="004300"/>
                <w:sz w:val="18"/>
                <w:szCs w:val="18"/>
                <w:lang w:val="en-IE" w:eastAsia="en-GB"/>
              </w:rPr>
              <w:t>: Investment aid for regeneration of specific brownfield sites</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Entry into force of all subsidy contracts between the State Investment Fund and selected brownfield project holders</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8072"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4" w14:textId="77777777">
            <w:pPr>
              <w:spacing w:before="0" w:after="0" w:line="240" w:lineRule="auto"/>
              <w:rPr>
                <w:rFonts w:eastAsia="Times New Roman"/>
                <w:noProof/>
                <w:color w:val="004300"/>
                <w:sz w:val="18"/>
                <w:szCs w:val="18"/>
                <w:lang w:val="en-IE" w:eastAsia="en-GB"/>
              </w:rPr>
            </w:pP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4F1648" w:rsidR="00D87E44" w:rsidRDefault="00D87E44" w14:paraId="1545807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Entry into force of all subsidy contracts between the State Investment Fund and selected project holders for specific brownfield site regeneration (project preparation, land preparation, investment projects) following the preparation of a subsidy programme. The </w:t>
            </w:r>
            <w:r w:rsidRPr="00FE48E2" w:rsidDel="001649FF">
              <w:rPr>
                <w:rFonts w:eastAsia="Times New Roman"/>
                <w:noProof/>
                <w:color w:val="004300"/>
                <w:sz w:val="18"/>
                <w:szCs w:val="18"/>
                <w:lang w:val="en-IE"/>
              </w:rPr>
              <w:t>projects</w:t>
            </w:r>
            <w:r w:rsidRPr="00FE48E2">
              <w:rPr>
                <w:rFonts w:eastAsia="Times New Roman"/>
                <w:noProof/>
                <w:color w:val="004300"/>
                <w:sz w:val="18"/>
                <w:szCs w:val="18"/>
                <w:lang w:val="en-IE"/>
              </w:rPr>
              <w:t xml:space="preserve"> supported</w:t>
            </w:r>
            <w:r w:rsidRPr="00FE48E2" w:rsidDel="001649FF">
              <w:rPr>
                <w:rFonts w:eastAsia="Times New Roman"/>
                <w:noProof/>
                <w:color w:val="004300"/>
                <w:sz w:val="18"/>
                <w:szCs w:val="18"/>
                <w:lang w:val="en-IE"/>
              </w:rPr>
              <w:t xml:space="preserve"> </w:t>
            </w:r>
            <w:r w:rsidRPr="00FE48E2">
              <w:rPr>
                <w:rFonts w:eastAsia="Times New Roman"/>
                <w:noProof/>
                <w:color w:val="004300"/>
                <w:sz w:val="18"/>
                <w:szCs w:val="18"/>
                <w:lang w:val="en-IE"/>
              </w:rPr>
              <w:t xml:space="preserve">by the subsidy programme shall be aimed at carrying out demolition and energy-efficient construction or energy-efficient renovation. </w:t>
            </w:r>
            <w:r w:rsidRPr="004F1648">
              <w:rPr>
                <w:rFonts w:eastAsia="Times New Roman"/>
                <w:noProof/>
                <w:color w:val="004300"/>
                <w:sz w:val="18"/>
                <w:szCs w:val="18"/>
                <w:lang w:val="en-IE"/>
              </w:rPr>
              <w:t>A total of at least 10 projects shall be contracted and at least 60 % of the investment provided under this measure shall be devoted to energy-efficient renovation projects.</w:t>
            </w:r>
          </w:p>
          <w:p w:rsidRPr="004F1648" w:rsidR="00D87E44" w:rsidRDefault="00D87E44" w14:paraId="15458079" w14:textId="77777777">
            <w:pPr>
              <w:spacing w:after="200" w:line="276" w:lineRule="auto"/>
              <w:rPr>
                <w:rFonts w:eastAsia="Times New Roman"/>
                <w:noProof/>
                <w:color w:val="004300"/>
                <w:sz w:val="18"/>
                <w:szCs w:val="18"/>
                <w:lang w:val="en-IE"/>
              </w:rPr>
            </w:pPr>
            <w:r w:rsidRPr="004F1648">
              <w:rPr>
                <w:rFonts w:eastAsia="Times New Roman"/>
                <w:noProof/>
                <w:color w:val="004300"/>
                <w:sz w:val="18"/>
                <w:szCs w:val="18"/>
                <w:lang w:val="en-IE"/>
              </w:rPr>
              <w:t xml:space="preserve">As to the funding of demolition and energy-efficient construction, it shall be ensured that the selected projects are such that (i) new buildings shall have a Primary Energy Demand (PED) that is at least 20 % lower than the NZEB requirement; (ii) deep renovation is not possible due to technical, health/safety or fit-for-purpose reasons; (iii)  the total built-up area of new buildings cannot exceed the total built-up area of all demolished former buildings of a brownfield site, with at least 80 % of the new </w:t>
            </w:r>
            <w:r w:rsidRPr="004F1648">
              <w:rPr>
                <w:rFonts w:eastAsia="Times New Roman"/>
                <w:noProof/>
                <w:color w:val="004300"/>
                <w:sz w:val="18"/>
                <w:szCs w:val="18"/>
                <w:lang w:val="en-IE"/>
              </w:rPr>
              <w:t>buildings built-up area being placed directly on the built-up area of the former demolished buildings. The conversion of valuable green areas (of high biodiversity value) shall be excluded.</w:t>
            </w:r>
          </w:p>
          <w:p w:rsidRPr="004F1648" w:rsidR="00D87E44" w:rsidRDefault="00D87E44" w14:paraId="1545807A" w14:textId="77777777">
            <w:pPr>
              <w:spacing w:after="200" w:line="276" w:lineRule="auto"/>
              <w:rPr>
                <w:rFonts w:eastAsia="Times New Roman"/>
                <w:noProof/>
                <w:color w:val="004300"/>
                <w:sz w:val="18"/>
                <w:szCs w:val="18"/>
                <w:lang w:val="en-IE"/>
              </w:rPr>
            </w:pPr>
            <w:r w:rsidRPr="004F1648">
              <w:rPr>
                <w:rFonts w:eastAsia="Times New Roman"/>
                <w:noProof/>
                <w:color w:val="004300"/>
                <w:sz w:val="18"/>
                <w:szCs w:val="18"/>
                <w:lang w:val="en-IE"/>
              </w:rPr>
              <w:t>Concerning the support of renovation activities, the call shall specify that at least 90% of the costs shall support energy-efficiency renovations.</w:t>
            </w:r>
          </w:p>
          <w:p w:rsidRPr="004F1648" w:rsidR="00D87E44" w:rsidRDefault="00D87E44" w14:paraId="1545807B" w14:textId="77777777">
            <w:pPr>
              <w:spacing w:line="259" w:lineRule="auto"/>
              <w:rPr>
                <w:rFonts w:eastAsia="Times New Roman"/>
                <w:noProof/>
                <w:color w:val="004300"/>
                <w:sz w:val="18"/>
                <w:szCs w:val="18"/>
                <w:lang w:val="en-IE"/>
              </w:rPr>
            </w:pPr>
            <w:r w:rsidRPr="004F1648">
              <w:rPr>
                <w:rFonts w:eastAsia="Times New Roman"/>
                <w:noProof/>
                <w:color w:val="004300"/>
                <w:sz w:val="18"/>
                <w:szCs w:val="18"/>
                <w:lang w:val="en-IE"/>
              </w:rPr>
              <w:t>The requirements of the calls for projects shall ensure that at least 70% of the construction and demolition waste generated is prepared for reuse and recycling.</w:t>
            </w:r>
          </w:p>
          <w:p w:rsidRPr="00FE48E2" w:rsidR="00D87E44" w:rsidRDefault="00D87E44" w14:paraId="1545807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lastRenderedPageBreak/>
              <w:t>The management of the call, evaluation of project applications, selection and signing of a contract with project holders as well as payments during a project realization (construction) and final control shall be entrusted to the State Investment Fund.</w:t>
            </w:r>
          </w:p>
        </w:tc>
      </w:tr>
      <w:tr w:rsidRPr="00FE48E2" w:rsidR="00E3458A" w14:paraId="15458089"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 xml:space="preserve"> 155</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7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1: </w:t>
            </w:r>
            <w:r w:rsidRPr="006E3127">
              <w:rPr>
                <w:rFonts w:eastAsia="Times New Roman"/>
                <w:noProof/>
                <w:color w:val="004300"/>
                <w:sz w:val="18"/>
                <w:szCs w:val="18"/>
                <w:lang w:val="en-IE" w:eastAsia="en-GB"/>
              </w:rPr>
              <w:t>Investment aid for regeneration of specific brownfield sites</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1" w14:textId="77777777">
            <w:pPr>
              <w:spacing w:before="0" w:after="0" w:line="240" w:lineRule="auto"/>
              <w:rPr>
                <w:rFonts w:eastAsia="Times New Roman"/>
                <w:noProof/>
                <w:color w:val="004300"/>
                <w:sz w:val="18"/>
                <w:szCs w:val="18"/>
                <w:lang w:val="en-IE" w:eastAsia="en-GB"/>
              </w:rPr>
            </w:pPr>
            <w:r w:rsidRPr="3D8EFC97">
              <w:rPr>
                <w:rFonts w:eastAsia="Times New Roman"/>
                <w:noProof/>
                <w:color w:val="004300"/>
                <w:sz w:val="18"/>
                <w:szCs w:val="18"/>
                <w:lang w:val="en-IE" w:eastAsia="en-GB"/>
              </w:rPr>
              <w:t>Submission</w:t>
            </w:r>
            <w:r w:rsidRPr="418B14ED">
              <w:rPr>
                <w:rFonts w:eastAsia="Times New Roman"/>
                <w:noProof/>
                <w:color w:val="004300"/>
                <w:sz w:val="18"/>
                <w:szCs w:val="18"/>
                <w:lang w:val="en-IE" w:eastAsia="en-GB"/>
              </w:rPr>
              <w:t xml:space="preserve"> of </w:t>
            </w:r>
            <w:r>
              <w:rPr>
                <w:rFonts w:eastAsia="Times New Roman"/>
                <w:noProof/>
                <w:color w:val="004300"/>
                <w:sz w:val="18"/>
                <w:szCs w:val="18"/>
                <w:lang w:val="en-IE" w:eastAsia="en-GB"/>
              </w:rPr>
              <w:t>completion certificates</w:t>
            </w:r>
            <w:r w:rsidRPr="418B14ED">
              <w:rPr>
                <w:rFonts w:eastAsia="Times New Roman"/>
                <w:noProof/>
                <w:color w:val="004300"/>
                <w:sz w:val="18"/>
                <w:szCs w:val="18"/>
                <w:lang w:val="en-IE" w:eastAsia="en-GB"/>
              </w:rPr>
              <w:t xml:space="preserve"> for at least 10 project</w:t>
            </w:r>
            <w:r>
              <w:rPr>
                <w:rFonts w:eastAsia="Times New Roman"/>
                <w:noProof/>
                <w:color w:val="004300"/>
                <w:sz w:val="18"/>
                <w:szCs w:val="18"/>
                <w:lang w:val="en-IE" w:eastAsia="en-GB"/>
              </w:rPr>
              <w:t>s</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2"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41A05" w:rsidR="00D87E44" w:rsidRDefault="00D87E44" w14:paraId="15458085" w14:textId="77777777">
            <w:pPr>
              <w:spacing w:before="0" w:after="0" w:line="240" w:lineRule="auto"/>
              <w:rPr>
                <w:rFonts w:eastAsia="Times New Roman"/>
                <w:noProof/>
                <w:color w:val="004300"/>
                <w:sz w:val="18"/>
                <w:szCs w:val="18"/>
                <w:lang w:val="en-IE" w:eastAsia="en-GB"/>
              </w:rPr>
            </w:pPr>
            <w:r w:rsidRPr="001717D0" w:rsidDel="001649FF">
              <w:rPr>
                <w:rFonts w:eastAsia="Times New Roman"/>
                <w:noProof/>
                <w:color w:val="004300"/>
                <w:sz w:val="18"/>
                <w:szCs w:val="18"/>
                <w:lang w:val="en-IE" w:eastAsia="en-GB"/>
              </w:rPr>
              <w:t>10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w:t>
            </w:r>
            <w:r>
              <w:rPr>
                <w:rFonts w:eastAsia="Times New Roman"/>
                <w:noProof/>
                <w:color w:val="004300"/>
                <w:sz w:val="18"/>
                <w:szCs w:val="18"/>
                <w:lang w:val="en-IE" w:eastAsia="en-GB"/>
              </w:rPr>
              <w:t>2</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7" w14:textId="77777777">
            <w:pPr>
              <w:spacing w:before="0" w:after="0" w:line="240" w:lineRule="auto"/>
              <w:rPr>
                <w:rFonts w:eastAsia="Times New Roman"/>
                <w:noProof/>
                <w:color w:val="004300"/>
                <w:sz w:val="18"/>
                <w:szCs w:val="18"/>
                <w:lang w:val="en-IE" w:eastAsia="en-GB"/>
              </w:rPr>
            </w:pPr>
            <w:r w:rsidRPr="23D68BF3">
              <w:rPr>
                <w:rFonts w:eastAsia="Times New Roman"/>
                <w:noProof/>
                <w:color w:val="004300"/>
                <w:sz w:val="18"/>
                <w:szCs w:val="18"/>
                <w:lang w:val="en-IE" w:eastAsia="en-GB"/>
              </w:rPr>
              <w:t>2026</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8"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Protocols of the acceptance of work signed by the contracting parties or final permits issued by the relevant building authorities for</w:t>
            </w:r>
            <w:r w:rsidRPr="008B593F">
              <w:rPr>
                <w:rFonts w:eastAsia="Times New Roman"/>
                <w:noProof/>
                <w:color w:val="004300"/>
                <w:sz w:val="18"/>
                <w:szCs w:val="18"/>
                <w:lang w:val="en-IE" w:eastAsia="en-GB"/>
              </w:rPr>
              <w:t xml:space="preserve"> at lea</w:t>
            </w:r>
            <w:r w:rsidRPr="781FE9D9">
              <w:rPr>
                <w:rFonts w:eastAsia="Times New Roman"/>
                <w:noProof/>
                <w:color w:val="004300"/>
                <w:sz w:val="18"/>
                <w:szCs w:val="18"/>
                <w:lang w:val="en-IE" w:eastAsia="en-GB"/>
              </w:rPr>
              <w:t xml:space="preserve">st </w:t>
            </w:r>
            <w:r w:rsidRPr="001717D0" w:rsidDel="0E3793E3">
              <w:rPr>
                <w:rFonts w:eastAsia="Times New Roman"/>
                <w:noProof/>
                <w:color w:val="004300"/>
                <w:sz w:val="18"/>
                <w:szCs w:val="18"/>
                <w:lang w:val="en-IE" w:eastAsia="en-GB"/>
              </w:rPr>
              <w:t xml:space="preserve">10 </w:t>
            </w:r>
            <w:r w:rsidRPr="781FE9D9">
              <w:rPr>
                <w:rFonts w:eastAsia="Times New Roman"/>
                <w:noProof/>
                <w:color w:val="004300"/>
                <w:sz w:val="18"/>
                <w:szCs w:val="18"/>
                <w:lang w:val="en-IE" w:eastAsia="en-GB"/>
              </w:rPr>
              <w:t xml:space="preserve">energy-efficiency revitalisation projects of specific brownfield sites. </w:t>
            </w:r>
          </w:p>
        </w:tc>
      </w:tr>
      <w:tr w:rsidRPr="00FE48E2" w:rsidR="00E3458A" w14:paraId="15458098"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A"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156</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2: </w:t>
            </w:r>
            <w:r w:rsidRPr="006E3127">
              <w:rPr>
                <w:rFonts w:eastAsia="Times New Roman"/>
                <w:noProof/>
                <w:color w:val="004300"/>
                <w:sz w:val="18"/>
                <w:szCs w:val="18"/>
                <w:lang w:val="en-IE" w:eastAsia="en-GB"/>
              </w:rPr>
              <w:t>Investment aid for the regeneration of brownfield sites owned by municipalities and regions</w:t>
            </w:r>
            <w:r w:rsidRPr="00FE48E2">
              <w:rPr>
                <w:rFonts w:eastAsia="Times New Roman"/>
                <w:noProof/>
                <w:color w:val="004300"/>
                <w:sz w:val="18"/>
                <w:szCs w:val="18"/>
                <w:lang w:val="en-IE" w:eastAsia="en-GB"/>
              </w:rPr>
              <w:t xml:space="preserve"> for non-business use</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Entry into force of all contracts between the State Investment Fund and selected brownfield project holders</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E"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8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0" w14:textId="77777777">
            <w:pPr>
              <w:spacing w:before="0" w:after="0" w:line="240" w:lineRule="auto"/>
              <w:rPr>
                <w:rFonts w:eastAsia="Times New Roman"/>
                <w:noProof/>
                <w:color w:val="004300"/>
                <w:sz w:val="18"/>
                <w:szCs w:val="18"/>
                <w:lang w:val="en-IE" w:eastAsia="en-GB"/>
              </w:rPr>
            </w:pP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30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2A40C7" w:rsidR="00D87E44" w:rsidRDefault="00D87E44" w14:paraId="15458094" w14:textId="77777777">
            <w:pPr>
              <w:spacing w:before="0" w:after="0" w:line="240" w:lineRule="auto"/>
              <w:rPr>
                <w:rFonts w:eastAsia="Times New Roman"/>
                <w:noProof/>
                <w:color w:val="004300"/>
                <w:sz w:val="18"/>
                <w:szCs w:val="18"/>
                <w:lang w:val="en-IE"/>
              </w:rPr>
            </w:pPr>
            <w:r w:rsidRPr="004F1648">
              <w:rPr>
                <w:rFonts w:eastAsia="Times New Roman"/>
                <w:noProof/>
                <w:color w:val="004300"/>
                <w:sz w:val="18"/>
                <w:szCs w:val="18"/>
                <w:lang w:val="en-IE"/>
              </w:rPr>
              <w:t xml:space="preserve">Entry into force of all contracts for regeneration of publicly owned brownfields for non-business use following the preparation of a subsidy program. </w:t>
            </w:r>
            <w:r w:rsidRPr="002A40C7">
              <w:rPr>
                <w:rFonts w:eastAsia="Times New Roman"/>
                <w:noProof/>
                <w:color w:val="004300"/>
                <w:sz w:val="18"/>
                <w:szCs w:val="18"/>
                <w:lang w:val="en-IE"/>
              </w:rPr>
              <w:t xml:space="preserve">The </w:t>
            </w:r>
            <w:r w:rsidRPr="002A40C7" w:rsidDel="009D167D">
              <w:rPr>
                <w:rFonts w:eastAsia="Times New Roman"/>
                <w:noProof/>
                <w:color w:val="004300"/>
                <w:sz w:val="18"/>
                <w:szCs w:val="18"/>
                <w:lang w:val="en-IE"/>
              </w:rPr>
              <w:t xml:space="preserve">projects </w:t>
            </w:r>
            <w:r w:rsidRPr="002A40C7">
              <w:rPr>
                <w:rFonts w:eastAsia="Times New Roman"/>
                <w:noProof/>
                <w:color w:val="004300"/>
                <w:sz w:val="18"/>
                <w:szCs w:val="18"/>
                <w:lang w:val="en-IE"/>
              </w:rPr>
              <w:t>supported by the subsidy programme shall be aimed at carrying out energy-efficient renovations or turning brownfield sites into natural carbon sinks.</w:t>
            </w:r>
          </w:p>
          <w:p w:rsidRPr="004F1648" w:rsidR="00D87E44" w:rsidRDefault="00D87E44" w14:paraId="15458095" w14:textId="77777777">
            <w:pPr>
              <w:spacing w:line="259" w:lineRule="auto"/>
              <w:rPr>
                <w:noProof/>
                <w:color w:val="004300"/>
                <w:sz w:val="18"/>
                <w:szCs w:val="18"/>
                <w:lang w:val="en-IE"/>
              </w:rPr>
            </w:pPr>
            <w:r w:rsidRPr="004F1648">
              <w:rPr>
                <w:rFonts w:eastAsia="Times New Roman"/>
                <w:noProof/>
                <w:color w:val="004300"/>
                <w:sz w:val="18"/>
                <w:szCs w:val="18"/>
                <w:lang w:val="en-IE"/>
              </w:rPr>
              <w:t>Concerning the support of renovation activities, the call shall specify that at least 90 % of the costs shall support energy-efficiency renovations.</w:t>
            </w:r>
          </w:p>
          <w:p w:rsidRPr="004F1648" w:rsidR="00D87E44" w:rsidRDefault="00D87E44" w14:paraId="15458096" w14:textId="77777777">
            <w:pPr>
              <w:spacing w:line="259" w:lineRule="auto"/>
              <w:rPr>
                <w:noProof/>
                <w:color w:val="004300"/>
                <w:sz w:val="18"/>
                <w:szCs w:val="18"/>
                <w:lang w:val="en-IE"/>
              </w:rPr>
            </w:pPr>
            <w:r w:rsidRPr="004F1648">
              <w:rPr>
                <w:rFonts w:eastAsia="Times New Roman"/>
                <w:noProof/>
                <w:color w:val="004300"/>
                <w:sz w:val="18"/>
                <w:szCs w:val="18"/>
                <w:lang w:val="en-IE"/>
              </w:rPr>
              <w:t>The requirements of the calls for projects shall ensure that at least 70% of the construction and demolition waste generated is prepared for reuse and recycling.</w:t>
            </w:r>
          </w:p>
          <w:p w:rsidRPr="004F1648" w:rsidR="00D87E44" w:rsidRDefault="00D87E44" w14:paraId="15458097" w14:textId="77777777">
            <w:pPr>
              <w:spacing w:line="240" w:lineRule="auto"/>
              <w:rPr>
                <w:noProof/>
                <w:color w:val="004300"/>
                <w:sz w:val="18"/>
                <w:szCs w:val="18"/>
                <w:lang w:val="en-IE"/>
              </w:rPr>
            </w:pPr>
            <w:r w:rsidRPr="004F1648">
              <w:rPr>
                <w:rFonts w:eastAsia="Times New Roman"/>
                <w:noProof/>
                <w:color w:val="004300"/>
                <w:sz w:val="18"/>
                <w:szCs w:val="18"/>
                <w:lang w:val="en-IE"/>
              </w:rPr>
              <w:t>Overall, at least 30 projects shall be contracted and at least 20% of the investment shall be devoted to projects aimed at turning brownfields into natural carbon sinks.</w:t>
            </w:r>
          </w:p>
        </w:tc>
      </w:tr>
      <w:tr w:rsidRPr="00FE48E2" w:rsidR="00E3458A" w14:paraId="154580A4"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9"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157</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A" w14:textId="77777777">
            <w:pPr>
              <w:spacing w:before="0" w:after="0" w:line="240" w:lineRule="auto"/>
              <w:rPr>
                <w:rFonts w:eastAsia="Times New Roman"/>
                <w:noProof/>
                <w:color w:val="004300"/>
                <w:sz w:val="18"/>
                <w:szCs w:val="18"/>
                <w:lang w:val="en-IE" w:eastAsia="en-GB"/>
              </w:rPr>
            </w:pPr>
            <w:r w:rsidRPr="006E3127">
              <w:rPr>
                <w:rFonts w:eastAsia="Times New Roman"/>
                <w:noProof/>
                <w:color w:val="004300"/>
                <w:sz w:val="18"/>
                <w:szCs w:val="18"/>
                <w:lang w:val="en-IE" w:eastAsia="en-GB"/>
              </w:rPr>
              <w:t>Investment 2: Investment aid for the regeneration of brownfield sites owned by municipalities and regions for non-business use</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C" w14:textId="77777777">
            <w:pPr>
              <w:spacing w:before="0" w:after="0" w:line="240" w:lineRule="auto"/>
              <w:rPr>
                <w:rFonts w:eastAsia="Times New Roman"/>
                <w:noProof/>
                <w:color w:val="004300"/>
                <w:sz w:val="18"/>
                <w:szCs w:val="18"/>
                <w:lang w:val="en-IE" w:eastAsia="en-GB"/>
              </w:rPr>
            </w:pPr>
            <w:r w:rsidRPr="176ACC06">
              <w:rPr>
                <w:rFonts w:eastAsia="Times New Roman"/>
                <w:noProof/>
                <w:color w:val="004300"/>
                <w:sz w:val="18"/>
                <w:szCs w:val="18"/>
                <w:lang w:val="en-IE" w:eastAsia="en-GB"/>
              </w:rPr>
              <w:t>Submission of completion certificates for at least 30 project</w:t>
            </w:r>
            <w:r>
              <w:rPr>
                <w:rFonts w:eastAsia="Times New Roman"/>
                <w:noProof/>
                <w:color w:val="004300"/>
                <w:sz w:val="18"/>
                <w:szCs w:val="18"/>
                <w:lang w:val="en-IE" w:eastAsia="en-GB"/>
              </w:rPr>
              <w:t>s</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D"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w:t>
            </w:r>
            <w:r w:rsidRPr="05C7A865">
              <w:rPr>
                <w:rFonts w:eastAsia="Times New Roman"/>
                <w:noProof/>
                <w:color w:val="004300"/>
                <w:sz w:val="18"/>
                <w:szCs w:val="18"/>
                <w:lang w:val="en-IE" w:eastAsia="en-GB"/>
              </w:rPr>
              <w:t>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9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0" w14:textId="77777777">
            <w:pPr>
              <w:spacing w:before="0" w:after="0" w:line="240" w:lineRule="auto"/>
              <w:rPr>
                <w:rFonts w:eastAsia="Times New Roman"/>
                <w:noProof/>
                <w:color w:val="004300"/>
                <w:sz w:val="18"/>
                <w:szCs w:val="18"/>
                <w:lang w:val="en-IE" w:eastAsia="en-GB"/>
              </w:rPr>
            </w:pPr>
            <w:r w:rsidRPr="55474E25">
              <w:rPr>
                <w:rFonts w:eastAsia="Times New Roman"/>
                <w:noProof/>
                <w:color w:val="004300"/>
                <w:sz w:val="18"/>
                <w:szCs w:val="18"/>
                <w:lang w:val="en-IE" w:eastAsia="en-GB"/>
              </w:rPr>
              <w:t>30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3" w14:textId="77777777">
            <w:pPr>
              <w:spacing w:before="0" w:after="0" w:line="240" w:lineRule="auto"/>
              <w:rPr>
                <w:rFonts w:eastAsia="Times New Roman"/>
                <w:noProof/>
                <w:color w:val="004300"/>
                <w:sz w:val="18"/>
                <w:szCs w:val="18"/>
                <w:lang w:val="en-IE"/>
              </w:rPr>
            </w:pPr>
            <w:r w:rsidRPr="006B7328">
              <w:rPr>
                <w:rFonts w:eastAsia="Times New Roman"/>
                <w:noProof/>
                <w:color w:val="004300"/>
                <w:sz w:val="18"/>
                <w:szCs w:val="18"/>
                <w:lang w:val="en-IE"/>
              </w:rPr>
              <w:t>Protocols of the acceptance of work signed by the contracting parties or final permits issued by the relevant building authorities</w:t>
            </w:r>
            <w:r w:rsidRPr="49F86E21">
              <w:rPr>
                <w:rFonts w:eastAsia="Times New Roman"/>
                <w:noProof/>
                <w:color w:val="004300"/>
                <w:sz w:val="18"/>
                <w:szCs w:val="18"/>
                <w:lang w:val="en-IE"/>
              </w:rPr>
              <w:t xml:space="preserve"> for at least 30 projects</w:t>
            </w:r>
            <w:r w:rsidRPr="004F1648">
              <w:rPr>
                <w:rFonts w:eastAsia="Times New Roman"/>
                <w:noProof/>
                <w:color w:val="004300"/>
                <w:sz w:val="18"/>
                <w:szCs w:val="18"/>
                <w:lang w:val="en-IE"/>
              </w:rPr>
              <w:t>.</w:t>
            </w:r>
          </w:p>
        </w:tc>
      </w:tr>
      <w:tr w:rsidRPr="00FE48E2" w:rsidR="00E3458A" w14:paraId="154580B4" w14:textId="77777777">
        <w:trPr>
          <w:trHeight w:val="369"/>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5"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lastRenderedPageBreak/>
              <w:t>158</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w:t>
            </w:r>
            <w:r>
              <w:rPr>
                <w:rFonts w:eastAsia="Times New Roman"/>
                <w:noProof/>
                <w:color w:val="004300"/>
                <w:sz w:val="18"/>
                <w:szCs w:val="18"/>
                <w:lang w:val="en-IE" w:eastAsia="en-GB"/>
              </w:rPr>
              <w:t>3</w:t>
            </w:r>
            <w:r w:rsidRPr="00FE48E2">
              <w:rPr>
                <w:rFonts w:eastAsia="Times New Roman"/>
                <w:noProof/>
                <w:color w:val="004300"/>
                <w:sz w:val="18"/>
                <w:szCs w:val="18"/>
                <w:lang w:val="en-IE" w:eastAsia="en-GB"/>
              </w:rPr>
              <w:t xml:space="preserve">: </w:t>
            </w:r>
            <w:r w:rsidRPr="006E3127">
              <w:rPr>
                <w:rFonts w:eastAsia="Times New Roman"/>
                <w:noProof/>
                <w:color w:val="004300"/>
                <w:sz w:val="18"/>
                <w:szCs w:val="18"/>
                <w:lang w:val="en-IE" w:eastAsia="en-GB"/>
              </w:rPr>
              <w:t xml:space="preserve">Investment aid for the regeneration of brownfield sites owned by </w:t>
            </w:r>
            <w:r w:rsidRPr="006E3127">
              <w:rPr>
                <w:rFonts w:eastAsia="Times New Roman"/>
                <w:noProof/>
                <w:color w:val="004300"/>
                <w:sz w:val="18"/>
                <w:szCs w:val="18"/>
                <w:lang w:val="en-IE" w:eastAsia="en-GB"/>
              </w:rPr>
              <w:t>municipalities and regions for business use</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8"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Entry into force of all public contracts for the regeneration of publicly owned brownfields for business use</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9"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Number of 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B" w14:textId="77777777">
            <w:pPr>
              <w:spacing w:before="0" w:after="0" w:line="240" w:lineRule="auto"/>
              <w:rPr>
                <w:rFonts w:eastAsia="Times New Roman"/>
                <w:noProof/>
                <w:color w:val="004300"/>
                <w:sz w:val="18"/>
                <w:szCs w:val="18"/>
                <w:lang w:val="en-IE" w:eastAsia="en-GB"/>
              </w:rPr>
            </w:pP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A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2023</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4F1648" w:rsidR="00D87E44" w:rsidRDefault="00D87E44" w14:paraId="154580AF" w14:textId="77777777">
            <w:pPr>
              <w:spacing w:before="0" w:after="0" w:line="240" w:lineRule="auto"/>
              <w:rPr>
                <w:noProof/>
                <w:color w:val="004300"/>
                <w:sz w:val="18"/>
                <w:szCs w:val="18"/>
                <w:lang w:val="en-IE"/>
              </w:rPr>
            </w:pPr>
            <w:r w:rsidRPr="00B41A05">
              <w:rPr>
                <w:rFonts w:eastAsia="Times New Roman"/>
                <w:noProof/>
                <w:color w:val="004300"/>
                <w:sz w:val="18"/>
                <w:szCs w:val="18"/>
                <w:lang w:val="en-IE" w:eastAsia="en-GB"/>
              </w:rPr>
              <w:t>Entry</w:t>
            </w:r>
            <w:r w:rsidRPr="00FE48E2">
              <w:rPr>
                <w:noProof/>
                <w:color w:val="004300"/>
                <w:sz w:val="18"/>
                <w:szCs w:val="18"/>
                <w:lang w:val="en-IE"/>
              </w:rPr>
              <w:t xml:space="preserve"> into force of all contracts for regeneration of publicly owned brownfields for business use</w:t>
            </w:r>
            <w:r>
              <w:rPr>
                <w:noProof/>
                <w:color w:val="004300"/>
                <w:sz w:val="18"/>
                <w:szCs w:val="18"/>
                <w:lang w:val="en-IE"/>
              </w:rPr>
              <w:t xml:space="preserve"> </w:t>
            </w:r>
            <w:r w:rsidRPr="00FE48E2">
              <w:rPr>
                <w:noProof/>
                <w:color w:val="004300"/>
                <w:sz w:val="18"/>
                <w:szCs w:val="18"/>
                <w:lang w:val="en-IE"/>
              </w:rPr>
              <w:t xml:space="preserve">following the preparation of a subsidy program. </w:t>
            </w:r>
            <w:r w:rsidRPr="004F1648">
              <w:rPr>
                <w:noProof/>
                <w:color w:val="004300"/>
                <w:sz w:val="18"/>
                <w:szCs w:val="18"/>
                <w:lang w:val="en-IE"/>
              </w:rPr>
              <w:t xml:space="preserve">The selected projects shall be aimed at supporting demolition and energy-efficient construction or energy-efficient renovation.  </w:t>
            </w:r>
          </w:p>
          <w:p w:rsidRPr="004F1648" w:rsidR="00D87E44" w:rsidRDefault="00D87E44" w14:paraId="154580B0" w14:textId="77777777">
            <w:pPr>
              <w:spacing w:line="257" w:lineRule="auto"/>
              <w:rPr>
                <w:noProof/>
                <w:color w:val="004300"/>
                <w:sz w:val="18"/>
                <w:szCs w:val="18"/>
                <w:lang w:val="en-IE"/>
              </w:rPr>
            </w:pPr>
            <w:r w:rsidRPr="004F1648">
              <w:rPr>
                <w:noProof/>
                <w:color w:val="004300"/>
                <w:sz w:val="18"/>
                <w:szCs w:val="18"/>
                <w:lang w:val="en-IE"/>
              </w:rPr>
              <w:t>As to the funding of demolition and energy-efficient construction, it shall be ensured that the selected projects are such that (i) new buildings shall have a Primary Energy Demand (PED) that is at least 20 % lower than the NZEB requirement; (ii) deep renovation is not possible due to technical, health/safety or fit-for-purpose reasons; (iii) a maximum of 5 % new land shall be used at the place where the former building was located. This excludes the possibility of demolishing buildings in one place and con</w:t>
            </w:r>
            <w:r w:rsidRPr="004F1648">
              <w:rPr>
                <w:noProof/>
                <w:color w:val="004300"/>
                <w:sz w:val="18"/>
                <w:szCs w:val="18"/>
                <w:lang w:val="en-IE"/>
              </w:rPr>
              <w:t>structing another building on another site instead.</w:t>
            </w:r>
          </w:p>
          <w:p w:rsidRPr="004F1648" w:rsidR="00D87E44" w:rsidRDefault="00D87E44" w14:paraId="154580B1" w14:textId="77777777">
            <w:pPr>
              <w:spacing w:line="240" w:lineRule="auto"/>
              <w:rPr>
                <w:noProof/>
                <w:color w:val="004300"/>
                <w:sz w:val="18"/>
                <w:szCs w:val="18"/>
                <w:lang w:val="en-IE"/>
              </w:rPr>
            </w:pPr>
            <w:r w:rsidRPr="004F1648">
              <w:rPr>
                <w:noProof/>
                <w:color w:val="004300"/>
                <w:sz w:val="18"/>
                <w:szCs w:val="18"/>
                <w:lang w:val="en-IE"/>
              </w:rPr>
              <w:t>Concerning the support of renovation activities, it shall be ensured that at least 90 % of the costs shall support energy-efficiency renovations.</w:t>
            </w:r>
          </w:p>
          <w:p w:rsidRPr="004F1648" w:rsidR="00D87E44" w:rsidRDefault="00D87E44" w14:paraId="154580B2" w14:textId="77777777">
            <w:pPr>
              <w:spacing w:line="259" w:lineRule="auto"/>
              <w:rPr>
                <w:noProof/>
                <w:color w:val="004300"/>
                <w:sz w:val="18"/>
                <w:szCs w:val="18"/>
                <w:lang w:val="en-IE"/>
              </w:rPr>
            </w:pPr>
            <w:r w:rsidRPr="004F1648">
              <w:rPr>
                <w:noProof/>
                <w:color w:val="004300"/>
                <w:sz w:val="18"/>
                <w:szCs w:val="18"/>
                <w:lang w:val="en-IE"/>
              </w:rPr>
              <w:t>The requirements of the calls for projects shall ensure that at least 70% of the construction and demolition waste generated is prepared for reuse and recycling.</w:t>
            </w:r>
          </w:p>
          <w:p w:rsidRPr="004F1648" w:rsidR="00D87E44" w:rsidRDefault="00D87E44" w14:paraId="154580B3" w14:textId="77777777">
            <w:pPr>
              <w:spacing w:line="240" w:lineRule="auto"/>
              <w:rPr>
                <w:noProof/>
                <w:color w:val="004300"/>
                <w:sz w:val="18"/>
                <w:szCs w:val="18"/>
                <w:lang w:val="en-IE"/>
              </w:rPr>
            </w:pPr>
            <w:r w:rsidRPr="00FE48E2">
              <w:rPr>
                <w:noProof/>
                <w:color w:val="004300"/>
                <w:sz w:val="18"/>
                <w:szCs w:val="18"/>
                <w:lang w:val="en-IE"/>
              </w:rPr>
              <w:t>Overall, at least 20 projects shall be contracted.</w:t>
            </w:r>
          </w:p>
        </w:tc>
      </w:tr>
      <w:tr w:rsidRPr="00FE48E2" w:rsidR="00E3458A" w14:paraId="154580C0" w14:textId="77777777">
        <w:trPr>
          <w:trHeight w:val="945"/>
          <w:jc w:val="center"/>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159</w:t>
            </w:r>
          </w:p>
        </w:tc>
        <w:tc>
          <w:tcPr>
            <w:tcW w:w="166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6" w14:textId="77777777">
            <w:pPr>
              <w:spacing w:before="0" w:after="0" w:line="240" w:lineRule="auto"/>
              <w:rPr>
                <w:rFonts w:eastAsia="Times New Roman"/>
                <w:noProof/>
                <w:color w:val="004300"/>
                <w:sz w:val="18"/>
                <w:szCs w:val="18"/>
                <w:lang w:val="en-IE" w:eastAsia="en-GB"/>
              </w:rPr>
            </w:pPr>
            <w:r w:rsidRPr="006E3127">
              <w:rPr>
                <w:rFonts w:eastAsia="Times New Roman"/>
                <w:noProof/>
                <w:color w:val="004300"/>
                <w:sz w:val="18"/>
                <w:szCs w:val="18"/>
                <w:lang w:val="en-IE" w:eastAsia="en-GB"/>
              </w:rPr>
              <w:t>Investment 3: Investment aid for the regeneration of brownfield sites owned by municipalities and regions for business use</w:t>
            </w:r>
          </w:p>
        </w:tc>
        <w:tc>
          <w:tcPr>
            <w:tcW w:w="108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Target</w:t>
            </w:r>
          </w:p>
        </w:tc>
        <w:tc>
          <w:tcPr>
            <w:tcW w:w="126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8" w14:textId="77777777">
            <w:pPr>
              <w:spacing w:before="0" w:after="0" w:line="240" w:lineRule="auto"/>
              <w:rPr>
                <w:rFonts w:eastAsia="Times New Roman"/>
                <w:noProof/>
                <w:color w:val="004300"/>
                <w:sz w:val="18"/>
                <w:szCs w:val="18"/>
                <w:lang w:val="en-IE" w:eastAsia="en-GB"/>
              </w:rPr>
            </w:pPr>
            <w:r w:rsidRPr="55474E25">
              <w:rPr>
                <w:rFonts w:eastAsia="Times New Roman"/>
                <w:noProof/>
                <w:color w:val="004300"/>
                <w:sz w:val="18"/>
                <w:szCs w:val="18"/>
                <w:lang w:val="en-IE" w:eastAsia="en-GB"/>
              </w:rPr>
              <w:t xml:space="preserve">Submission of </w:t>
            </w:r>
            <w:r>
              <w:rPr>
                <w:rFonts w:eastAsia="Times New Roman"/>
                <w:noProof/>
                <w:color w:val="004300"/>
                <w:sz w:val="18"/>
                <w:szCs w:val="18"/>
                <w:lang w:val="en-IE" w:eastAsia="en-GB"/>
              </w:rPr>
              <w:t>completion certificates</w:t>
            </w:r>
            <w:r w:rsidRPr="55474E25">
              <w:rPr>
                <w:rFonts w:eastAsia="Times New Roman"/>
                <w:noProof/>
                <w:color w:val="004300"/>
                <w:sz w:val="18"/>
                <w:szCs w:val="18"/>
                <w:lang w:val="en-IE" w:eastAsia="en-GB"/>
              </w:rPr>
              <w:t xml:space="preserve"> for at least 20 projects</w:t>
            </w:r>
            <w:r w:rsidRPr="00FE48E2">
              <w:rPr>
                <w:rFonts w:eastAsia="Times New Roman"/>
                <w:noProof/>
                <w:color w:val="004300"/>
                <w:sz w:val="18"/>
                <w:szCs w:val="18"/>
                <w:lang w:val="en-IE" w:eastAsia="en-GB"/>
              </w:rPr>
              <w:t xml:space="preserve"> </w:t>
            </w:r>
          </w:p>
        </w:tc>
        <w:tc>
          <w:tcPr>
            <w:tcW w:w="112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9" w14:textId="77777777">
            <w:pPr>
              <w:spacing w:before="0" w:after="0" w:line="240" w:lineRule="auto"/>
              <w:rPr>
                <w:rFonts w:eastAsia="Times New Roman"/>
                <w:noProof/>
                <w:color w:val="004300"/>
                <w:sz w:val="18"/>
                <w:szCs w:val="18"/>
                <w:lang w:val="en-IE" w:eastAsia="en-GB"/>
              </w:rPr>
            </w:pPr>
          </w:p>
        </w:tc>
        <w:tc>
          <w:tcPr>
            <w:tcW w:w="10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Number of </w:t>
            </w:r>
            <w:r w:rsidRPr="55474E25">
              <w:rPr>
                <w:rFonts w:eastAsia="Times New Roman"/>
                <w:noProof/>
                <w:color w:val="004300"/>
                <w:sz w:val="18"/>
                <w:szCs w:val="18"/>
                <w:lang w:val="en-IE" w:eastAsia="en-GB"/>
              </w:rPr>
              <w:t>projects</w:t>
            </w:r>
          </w:p>
        </w:tc>
        <w:tc>
          <w:tcPr>
            <w:tcW w:w="9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0</w:t>
            </w:r>
          </w:p>
        </w:tc>
        <w:tc>
          <w:tcPr>
            <w:tcW w:w="75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C" w14:textId="77777777">
            <w:pPr>
              <w:spacing w:before="0" w:after="0" w:line="240" w:lineRule="auto"/>
              <w:rPr>
                <w:rFonts w:eastAsia="Times New Roman"/>
                <w:noProof/>
                <w:color w:val="004300"/>
                <w:sz w:val="18"/>
                <w:szCs w:val="18"/>
                <w:lang w:val="en-IE" w:eastAsia="en-GB"/>
              </w:rPr>
            </w:pPr>
            <w:r w:rsidRPr="58692CA8">
              <w:rPr>
                <w:rFonts w:eastAsia="Times New Roman"/>
                <w:noProof/>
                <w:color w:val="004300"/>
                <w:sz w:val="18"/>
                <w:szCs w:val="18"/>
                <w:lang w:val="en-IE" w:eastAsia="en-GB"/>
              </w:rPr>
              <w:t>20</w:t>
            </w:r>
          </w:p>
        </w:tc>
        <w:tc>
          <w:tcPr>
            <w:tcW w:w="98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D" w14:textId="77777777">
            <w:pPr>
              <w:spacing w:before="0" w:after="0" w:line="240" w:lineRule="auto"/>
              <w:rPr>
                <w:rFonts w:eastAsia="Times New Roman"/>
                <w:noProof/>
                <w:color w:val="004300"/>
                <w:sz w:val="18"/>
                <w:szCs w:val="18"/>
                <w:lang w:val="en-IE" w:eastAsia="en-GB"/>
              </w:rPr>
            </w:pPr>
            <w:r w:rsidRPr="55474E25">
              <w:rPr>
                <w:rFonts w:eastAsia="Times New Roman"/>
                <w:noProof/>
                <w:color w:val="004300"/>
                <w:sz w:val="18"/>
                <w:szCs w:val="18"/>
                <w:lang w:val="en-IE" w:eastAsia="en-GB"/>
              </w:rPr>
              <w:t>Q4</w:t>
            </w:r>
          </w:p>
        </w:tc>
        <w:tc>
          <w:tcPr>
            <w:tcW w:w="10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0B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470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4F1648" w:rsidR="00D87E44" w:rsidRDefault="00D87E44" w14:paraId="154580BF" w14:textId="77777777">
            <w:pPr>
              <w:spacing w:before="0" w:after="0" w:line="240" w:lineRule="auto"/>
              <w:rPr>
                <w:noProof/>
                <w:color w:val="004300"/>
                <w:sz w:val="18"/>
                <w:szCs w:val="18"/>
                <w:lang w:val="en-IE"/>
              </w:rPr>
            </w:pPr>
            <w:r w:rsidRPr="006B7328">
              <w:rPr>
                <w:noProof/>
                <w:color w:val="004300"/>
                <w:sz w:val="18"/>
                <w:szCs w:val="18"/>
                <w:lang w:val="en-IE"/>
              </w:rPr>
              <w:t>Protocols of the acceptance of work signed by the contracting parties or final permits issued by the relevant building authorities</w:t>
            </w:r>
            <w:r w:rsidRPr="4A3258D5">
              <w:rPr>
                <w:noProof/>
                <w:color w:val="004300"/>
                <w:sz w:val="18"/>
                <w:szCs w:val="18"/>
                <w:lang w:val="en-IE"/>
              </w:rPr>
              <w:t xml:space="preserve"> for at least 20 projects</w:t>
            </w:r>
            <w:r w:rsidRPr="004F1648">
              <w:rPr>
                <w:noProof/>
                <w:color w:val="004300"/>
                <w:sz w:val="18"/>
                <w:szCs w:val="18"/>
                <w:lang w:val="en-IE"/>
              </w:rPr>
              <w:t>.</w:t>
            </w:r>
          </w:p>
        </w:tc>
      </w:tr>
    </w:tbl>
    <w:p w:rsidRPr="00FE48E2" w:rsidR="00D87E44" w:rsidP="00D226F4" w:rsidRDefault="00D87E44" w14:paraId="154580C1" w14:textId="77777777">
      <w:pPr>
        <w:pBdr>
          <w:top w:val="nil"/>
          <w:left w:val="nil"/>
          <w:bottom w:val="nil"/>
          <w:right w:val="nil"/>
          <w:between w:val="nil"/>
        </w:pBdr>
        <w:spacing w:line="240" w:lineRule="auto"/>
        <w:rPr>
          <w:rFonts w:ascii="Calibri" w:hAnsi="Calibri"/>
          <w:noProof/>
          <w:color w:val="000000"/>
          <w:sz w:val="22"/>
          <w:lang w:val="en-IE"/>
        </w:rPr>
        <w:sectPr w:rsidRPr="00FE48E2" w:rsidR="00C16C1F" w:rsidSect="00D226F4">
          <w:headerReference w:type="even" r:id="Rfb1e46f09ff14b77"/>
          <w:headerReference w:type="default" r:id="R71ed80bd8f874559"/>
          <w:footerReference w:type="even" r:id="R6eb8beed1b224dad"/>
          <w:footerReference w:type="default" r:id="R6d3000b8792342e7"/>
          <w:headerReference w:type="first" r:id="R68bd9ebb6b33439a"/>
          <w:footerReference w:type="first" r:id="R1db3bd6dc0df4756"/>
          <w:pgSz w:w="16839" w:h="11907" w:orient="landscape"/>
          <w:pgMar w:top="1134" w:right="1134" w:bottom="1134" w:left="1134" w:header="567" w:footer="567" w:gutter="0"/>
          <w:cols w:space="720"/>
          <w:docGrid w:linePitch="326"/>
        </w:sectPr>
      </w:pPr>
    </w:p>
    <w:p w:rsidRPr="00FE48E2" w:rsidR="00D87E44" w:rsidP="00D226F4" w:rsidRDefault="00D87E44" w14:paraId="154580C2" w14:textId="77777777">
      <w:pPr>
        <w:keepNext/>
        <w:tabs>
          <w:tab w:val="left" w:pos="850"/>
        </w:tabs>
        <w:spacing w:line="240" w:lineRule="auto"/>
        <w:jc w:val="both"/>
        <w:outlineLvl w:val="0"/>
        <w:rPr>
          <w:b/>
          <w:smallCaps/>
          <w:noProof/>
          <w:lang w:val="en-IE"/>
        </w:rPr>
      </w:pPr>
      <w:r w:rsidRPr="2B33628C">
        <w:rPr>
          <w:b/>
          <w:bCs/>
          <w:smallCaps/>
          <w:noProof/>
          <w:lang w:val="en-IE"/>
        </w:rPr>
        <w:lastRenderedPageBreak/>
        <w:t>P</w:t>
      </w:r>
      <w:r w:rsidRPr="00FE48E2">
        <w:rPr>
          <w:b/>
          <w:smallCaps/>
          <w:noProof/>
          <w:lang w:val="en-IE"/>
        </w:rPr>
        <w:t>. COMPONENT 2.9: Promotion of Biodiversity and Fight against Drought</w:t>
      </w:r>
    </w:p>
    <w:p w:rsidRPr="00FE48E2" w:rsidR="00D87E44" w:rsidP="00D226F4" w:rsidRDefault="00D87E44" w14:paraId="154580C3"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 xml:space="preserve">This component of the Czech recovery and resilience plan contributes to addressing the challenges arising from low water retention and the impact of climate change in Czechia. The component aims at improving the protection against drought and floods by increasing water retention in the landscape and in urban areas. Investments in the protection of Natura 2000 network sites and Specifically Protected Areas (SPAs) are also planned. </w:t>
      </w:r>
    </w:p>
    <w:p w:rsidRPr="00FE48E2" w:rsidR="00D87E44" w:rsidP="00D226F4" w:rsidRDefault="00D87E44" w14:paraId="154580C4" w14:textId="77777777">
      <w:pPr>
        <w:pBdr>
          <w:top w:val="nil"/>
          <w:left w:val="nil"/>
          <w:bottom w:val="nil"/>
          <w:right w:val="nil"/>
          <w:between w:val="nil"/>
        </w:pBdr>
        <w:spacing w:line="240" w:lineRule="auto"/>
        <w:jc w:val="both"/>
        <w:rPr>
          <w:rFonts w:eastAsia="Times New Roman"/>
          <w:noProof/>
          <w:szCs w:val="24"/>
          <w:lang w:val="en-IE"/>
        </w:rPr>
      </w:pPr>
      <w:r w:rsidRPr="00FE48E2">
        <w:rPr>
          <w:rFonts w:eastAsia="Times New Roman"/>
          <w:noProof/>
          <w:szCs w:val="24"/>
          <w:lang w:val="en-IE"/>
        </w:rPr>
        <w:t xml:space="preserve">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 </w:t>
      </w:r>
    </w:p>
    <w:p w:rsidRPr="00FE48E2" w:rsidR="00D87E44" w:rsidP="00D226F4" w:rsidRDefault="00D87E44" w14:paraId="154580C5" w14:textId="77777777">
      <w:pPr>
        <w:pBdr>
          <w:top w:val="nil"/>
          <w:left w:val="nil"/>
          <w:bottom w:val="nil"/>
          <w:right w:val="nil"/>
          <w:between w:val="nil"/>
        </w:pBdr>
        <w:spacing w:line="240" w:lineRule="auto"/>
        <w:jc w:val="both"/>
        <w:rPr>
          <w:rFonts w:eastAsia="Times New Roman"/>
          <w:noProof/>
          <w:color w:val="000000"/>
          <w:szCs w:val="24"/>
          <w:lang w:val="en-IE"/>
        </w:rPr>
      </w:pPr>
    </w:p>
    <w:p w:rsidRPr="00FE48E2" w:rsidR="00D87E44" w:rsidP="00D226F4" w:rsidRDefault="00D87E44" w14:paraId="154580C6" w14:textId="77777777">
      <w:pPr>
        <w:pBdr>
          <w:top w:val="nil"/>
          <w:left w:val="nil"/>
          <w:bottom w:val="nil"/>
          <w:right w:val="nil"/>
          <w:between w:val="nil"/>
        </w:pBdr>
        <w:spacing w:line="240" w:lineRule="auto"/>
        <w:jc w:val="both"/>
        <w:rPr>
          <w:rFonts w:eastAsia="Times New Roman"/>
          <w:b/>
          <w:bCs/>
          <w:i/>
          <w:iCs/>
          <w:noProof/>
          <w:lang w:val="en-IE"/>
        </w:rPr>
      </w:pPr>
      <w:r w:rsidRPr="0DE2946C">
        <w:rPr>
          <w:rFonts w:eastAsia="Times New Roman"/>
          <w:b/>
          <w:bCs/>
          <w:noProof/>
          <w:color w:val="000000" w:themeColor="text1"/>
          <w:u w:val="single"/>
          <w:lang w:val="en-IE"/>
        </w:rPr>
        <w:t>P.1. Description of the reforms and investments for non-repayable financial support</w:t>
      </w:r>
    </w:p>
    <w:p w:rsidRPr="00FE48E2" w:rsidR="00D87E44" w:rsidP="00D226F4" w:rsidRDefault="00D87E44" w14:paraId="154580C7" w14:textId="77777777">
      <w:pPr>
        <w:pBdr>
          <w:top w:val="nil"/>
          <w:left w:val="nil"/>
          <w:bottom w:val="nil"/>
          <w:right w:val="nil"/>
          <w:between w:val="nil"/>
        </w:pBdr>
        <w:spacing w:line="240" w:lineRule="auto"/>
        <w:jc w:val="both"/>
        <w:rPr>
          <w:rFonts w:eastAsia="Times New Roman"/>
          <w:b/>
          <w:i/>
          <w:noProof/>
          <w:szCs w:val="24"/>
          <w:lang w:val="en-IE"/>
        </w:rPr>
      </w:pPr>
      <w:r w:rsidRPr="006B7328">
        <w:rPr>
          <w:rFonts w:eastAsia="Times New Roman"/>
          <w:b/>
          <w:noProof/>
          <w:color w:val="000000"/>
          <w:szCs w:val="24"/>
          <w:lang w:val="en-IE"/>
        </w:rPr>
        <w:t>Reform 1:</w:t>
      </w:r>
      <w:r w:rsidRPr="00FE48E2">
        <w:rPr>
          <w:rFonts w:eastAsia="Times New Roman"/>
          <w:b/>
          <w:noProof/>
          <w:color w:val="000000"/>
          <w:szCs w:val="24"/>
          <w:lang w:val="en-IE"/>
        </w:rPr>
        <w:t xml:space="preserve"> Amendment to the Water Management Act</w:t>
      </w:r>
    </w:p>
    <w:p w:rsidRPr="00FE48E2" w:rsidR="00D87E44" w:rsidP="00D226F4" w:rsidRDefault="00D87E44" w14:paraId="154580C8"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The objective of the reform shall be to amend the Water Management Act, in order to tackle droughts and water scarcity in a more systematic way. The amendment shall define the framework for prevention and monitoring of droughts, the responsibilities of relevant authorities and</w:t>
      </w:r>
      <w:r w:rsidRPr="00FE48E2">
        <w:rPr>
          <w:rFonts w:eastAsia="Times New Roman"/>
          <w:noProof/>
          <w:szCs w:val="24"/>
          <w:lang w:val="en-IE"/>
        </w:rPr>
        <w:t xml:space="preserve"> </w:t>
      </w:r>
      <w:r w:rsidRPr="00FE48E2">
        <w:rPr>
          <w:rFonts w:eastAsia="Times New Roman"/>
          <w:noProof/>
          <w:color w:val="000000"/>
          <w:szCs w:val="24"/>
          <w:lang w:val="en-IE"/>
        </w:rPr>
        <w:t>control mechanisms</w:t>
      </w:r>
      <w:r w:rsidRPr="00FE48E2">
        <w:rPr>
          <w:rFonts w:eastAsia="Times New Roman"/>
          <w:noProof/>
          <w:szCs w:val="24"/>
          <w:lang w:val="en-IE"/>
        </w:rPr>
        <w:t xml:space="preserve">. </w:t>
      </w:r>
      <w:r w:rsidRPr="00FE48E2">
        <w:rPr>
          <w:rFonts w:eastAsia="Times New Roman"/>
          <w:noProof/>
          <w:color w:val="000000"/>
          <w:szCs w:val="24"/>
          <w:lang w:val="en-IE"/>
        </w:rPr>
        <w:t xml:space="preserve">It shall aim at the establishment of regional commissions with a mandate to issue a declaration of “state of water scarcity” and apply corresponding limitations on the use of water in the region, pursuant to droughts management plans. </w:t>
      </w:r>
    </w:p>
    <w:p w:rsidRPr="00FE48E2" w:rsidR="00D87E44" w:rsidP="00D226F4" w:rsidRDefault="00D87E44" w14:paraId="154580C9" w14:textId="77777777">
      <w:pPr>
        <w:pBdr>
          <w:top w:val="nil"/>
          <w:left w:val="nil"/>
          <w:bottom w:val="nil"/>
          <w:right w:val="nil"/>
          <w:between w:val="nil"/>
        </w:pBdr>
        <w:spacing w:line="240" w:lineRule="auto"/>
        <w:jc w:val="both"/>
        <w:rPr>
          <w:rFonts w:eastAsia="Times New Roman"/>
          <w:noProof/>
          <w:color w:val="000000"/>
          <w:szCs w:val="24"/>
          <w:lang w:val="en-IE"/>
        </w:rPr>
      </w:pPr>
      <w:r w:rsidRPr="00FE48E2">
        <w:rPr>
          <w:rFonts w:eastAsia="Times New Roman"/>
          <w:noProof/>
          <w:color w:val="000000"/>
          <w:szCs w:val="24"/>
          <w:lang w:val="en-IE"/>
        </w:rPr>
        <w:t>The implementation of the</w:t>
      </w:r>
      <w:r w:rsidRPr="00FE48E2">
        <w:rPr>
          <w:rFonts w:ascii="Calibri" w:hAnsi="Calibri"/>
          <w:noProof/>
          <w:sz w:val="22"/>
          <w:lang w:val="en-IE"/>
        </w:rPr>
        <w:t xml:space="preserve"> </w:t>
      </w:r>
      <w:r w:rsidRPr="00FE48E2">
        <w:rPr>
          <w:rFonts w:eastAsia="Times New Roman"/>
          <w:noProof/>
          <w:color w:val="000000"/>
          <w:szCs w:val="24"/>
          <w:lang w:val="en-IE"/>
        </w:rPr>
        <w:t xml:space="preserve">reform shall be completed by 31 December 2024. </w:t>
      </w:r>
    </w:p>
    <w:p w:rsidRPr="00FE48E2" w:rsidR="00D87E44" w:rsidP="00D226F4" w:rsidRDefault="00D87E44" w14:paraId="154580CA"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Investment 1: Protection against droughts and floods of the city of Brno</w:t>
      </w:r>
    </w:p>
    <w:p w:rsidRPr="00FF1320" w:rsidR="00D87E44" w:rsidP="0E69D517" w:rsidRDefault="00D87E44" w14:paraId="154580CB" w14:textId="77777777">
      <w:pPr>
        <w:pBdr>
          <w:top w:val="nil"/>
          <w:left w:val="nil"/>
          <w:bottom w:val="nil"/>
          <w:right w:val="nil"/>
          <w:between w:val="nil"/>
        </w:pBdr>
        <w:spacing w:line="240" w:lineRule="auto"/>
        <w:jc w:val="both"/>
        <w:rPr>
          <w:color w:val="000000"/>
          <w:lang w:val="en-IE"/>
        </w:rPr>
      </w:pPr>
      <w:r w:rsidRPr="0E69D517">
        <w:rPr>
          <w:rFonts w:eastAsia="Times New Roman"/>
          <w:noProof/>
          <w:color w:val="000000" w:themeColor="text1"/>
          <w:lang w:val="en-IE"/>
        </w:rPr>
        <w:t xml:space="preserve">The objective of the measure is to reinforce Brno’s flood defences and revitalise the river Svratka. It consists of several interventions that </w:t>
      </w:r>
      <w:r w:rsidRPr="7DAFCF8A">
        <w:rPr>
          <w:rFonts w:eastAsia="Times New Roman"/>
          <w:noProof/>
          <w:color w:val="000000" w:themeColor="text1"/>
          <w:lang w:val="en-IE"/>
        </w:rPr>
        <w:t xml:space="preserve">may </w:t>
      </w:r>
      <w:r w:rsidRPr="0E69D517">
        <w:rPr>
          <w:rFonts w:eastAsia="Times New Roman"/>
          <w:noProof/>
          <w:color w:val="000000" w:themeColor="text1"/>
          <w:lang w:val="en-IE"/>
        </w:rPr>
        <w:t>include, but are not limited to, nature-based solutions such as natural spills of the increased water-level of the basins in meadows, establishment of natural pools, floodplains, or creation of wetlands.</w:t>
      </w:r>
    </w:p>
    <w:p w:rsidRPr="00FE48E2" w:rsidR="00D87E44" w:rsidP="00D226F4" w:rsidRDefault="00D87E44" w14:paraId="154580CC"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 xml:space="preserve">Investment 2: Rainwater Management in urban agglomerations </w:t>
      </w:r>
    </w:p>
    <w:p w:rsidRPr="00FE48E2" w:rsidR="00D87E44" w:rsidP="0E69D517" w:rsidRDefault="00D87E44" w14:paraId="154580CD" w14:textId="77777777">
      <w:pPr>
        <w:pBdr>
          <w:top w:val="nil"/>
          <w:left w:val="nil"/>
          <w:bottom w:val="nil"/>
          <w:right w:val="nil"/>
          <w:between w:val="nil"/>
        </w:pBdr>
        <w:spacing w:line="240" w:lineRule="auto"/>
        <w:jc w:val="both"/>
        <w:rPr>
          <w:rFonts w:eastAsia="Times New Roman"/>
          <w:noProof/>
          <w:color w:val="000000"/>
          <w:lang w:val="en-IE"/>
        </w:rPr>
      </w:pPr>
      <w:r w:rsidRPr="0E69D517">
        <w:rPr>
          <w:rFonts w:eastAsia="Times New Roman"/>
          <w:noProof/>
          <w:color w:val="000000" w:themeColor="text1"/>
          <w:lang w:val="en-IE"/>
        </w:rPr>
        <w:t xml:space="preserve">This investment aims to slow down run-offs and increase retention of water in urban agglomerations. The investment consists of several projects that </w:t>
      </w:r>
      <w:r w:rsidRPr="7DAFCF8A">
        <w:rPr>
          <w:rFonts w:eastAsia="Times New Roman"/>
          <w:noProof/>
          <w:color w:val="000000" w:themeColor="text1"/>
          <w:lang w:val="en-IE"/>
        </w:rPr>
        <w:t xml:space="preserve">may </w:t>
      </w:r>
      <w:r w:rsidRPr="0E69D517">
        <w:rPr>
          <w:rFonts w:eastAsia="Times New Roman"/>
          <w:noProof/>
          <w:color w:val="000000" w:themeColor="text1"/>
          <w:lang w:val="en-IE"/>
        </w:rPr>
        <w:t xml:space="preserve">include, but are not limited to, absorption strips and reservoirs, rain gardens, underground traps, drainage, storage underground reservoirs or green roofs. </w:t>
      </w:r>
    </w:p>
    <w:p w:rsidRPr="00FE48E2" w:rsidR="00D87E44" w:rsidP="00D226F4" w:rsidRDefault="00D87E44" w14:paraId="154580CE"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 xml:space="preserve">Investment 3: Management of Natura 2000 sites and protected species of plants and animals </w:t>
      </w:r>
    </w:p>
    <w:p w:rsidRPr="00FE48E2" w:rsidR="00D87E44" w:rsidP="00D226F4" w:rsidRDefault="00D87E44" w14:paraId="154580CF" w14:textId="77777777">
      <w:pPr>
        <w:pBdr>
          <w:top w:val="nil"/>
          <w:left w:val="nil"/>
          <w:bottom w:val="nil"/>
          <w:right w:val="nil"/>
          <w:between w:val="nil"/>
        </w:pBdr>
        <w:spacing w:line="240" w:lineRule="auto"/>
        <w:jc w:val="both"/>
        <w:rPr>
          <w:rFonts w:eastAsia="Times New Roman"/>
          <w:noProof/>
          <w:color w:val="000000"/>
          <w:lang w:val="en-IE"/>
        </w:rPr>
      </w:pPr>
      <w:r w:rsidRPr="2BE2676E">
        <w:rPr>
          <w:rFonts w:eastAsia="Times New Roman"/>
          <w:noProof/>
          <w:color w:val="000000" w:themeColor="text1"/>
          <w:lang w:val="en-IE"/>
        </w:rPr>
        <w:t xml:space="preserve">The </w:t>
      </w:r>
      <w:r>
        <w:rPr>
          <w:rFonts w:eastAsia="Times New Roman"/>
          <w:noProof/>
          <w:color w:val="000000" w:themeColor="text1"/>
          <w:lang w:val="en-IE"/>
        </w:rPr>
        <w:t>objective of the investment is</w:t>
      </w:r>
      <w:r w:rsidRPr="288B1DDD">
        <w:rPr>
          <w:rFonts w:eastAsia="Times New Roman"/>
          <w:noProof/>
          <w:color w:val="000000" w:themeColor="text1"/>
          <w:lang w:val="en-IE"/>
        </w:rPr>
        <w:t xml:space="preserve"> </w:t>
      </w:r>
      <w:r w:rsidRPr="2BE2676E">
        <w:rPr>
          <w:rFonts w:eastAsia="Times New Roman"/>
          <w:noProof/>
          <w:color w:val="000000" w:themeColor="text1"/>
          <w:lang w:val="en-IE"/>
        </w:rPr>
        <w:t>to enhance the ecological stability of landscape and biodiversity in Czechia</w:t>
      </w:r>
      <w:r w:rsidRPr="69BD1277">
        <w:rPr>
          <w:rFonts w:eastAsia="Times New Roman"/>
          <w:noProof/>
          <w:color w:val="000000" w:themeColor="text1"/>
          <w:lang w:val="en-IE"/>
        </w:rPr>
        <w:t>.</w:t>
      </w:r>
      <w:r w:rsidRPr="2BE2676E">
        <w:rPr>
          <w:rFonts w:eastAsia="Times New Roman"/>
          <w:noProof/>
          <w:color w:val="000000" w:themeColor="text1"/>
          <w:lang w:val="en-IE"/>
        </w:rPr>
        <w:t xml:space="preserve"> It </w:t>
      </w:r>
      <w:r w:rsidRPr="288B1DDD">
        <w:rPr>
          <w:rFonts w:eastAsia="Times New Roman"/>
          <w:noProof/>
          <w:color w:val="000000" w:themeColor="text1"/>
          <w:lang w:val="en-IE"/>
        </w:rPr>
        <w:t>consists</w:t>
      </w:r>
      <w:r w:rsidRPr="2BE2676E">
        <w:rPr>
          <w:rFonts w:eastAsia="Times New Roman"/>
          <w:noProof/>
          <w:color w:val="000000" w:themeColor="text1"/>
          <w:lang w:val="en-IE"/>
        </w:rPr>
        <w:t xml:space="preserve"> of measures defined in the management plans for restoration and revitalisation of Natura </w:t>
      </w:r>
      <w:r>
        <w:rPr>
          <w:rFonts w:eastAsia="Times New Roman"/>
          <w:noProof/>
          <w:color w:val="000000" w:themeColor="text1"/>
          <w:lang w:val="en-IE"/>
        </w:rPr>
        <w:t xml:space="preserve">2000 </w:t>
      </w:r>
      <w:r w:rsidRPr="2BE2676E">
        <w:rPr>
          <w:rFonts w:eastAsia="Times New Roman"/>
          <w:noProof/>
          <w:color w:val="000000" w:themeColor="text1"/>
          <w:lang w:val="en-IE"/>
        </w:rPr>
        <w:t xml:space="preserve">sites (Special </w:t>
      </w:r>
      <w:r w:rsidRPr="2C8F1D90">
        <w:rPr>
          <w:rFonts w:eastAsia="Times New Roman"/>
          <w:noProof/>
          <w:color w:val="000000" w:themeColor="text1"/>
          <w:lang w:val="en-IE"/>
        </w:rPr>
        <w:t>Protection</w:t>
      </w:r>
      <w:r w:rsidRPr="2BE2676E">
        <w:rPr>
          <w:rFonts w:eastAsia="Times New Roman"/>
          <w:noProof/>
          <w:color w:val="000000" w:themeColor="text1"/>
          <w:lang w:val="en-IE"/>
        </w:rPr>
        <w:t xml:space="preserve"> Areas and </w:t>
      </w:r>
      <w:r w:rsidRPr="2BE2676E">
        <w:rPr>
          <w:rFonts w:eastAsia="Times New Roman"/>
          <w:noProof/>
          <w:color w:val="000000" w:themeColor="text1"/>
          <w:highlight w:val="white"/>
          <w:lang w:val="en-IE"/>
        </w:rPr>
        <w:t>Sites of Community Importance)</w:t>
      </w:r>
      <w:r w:rsidRPr="2BE2676E">
        <w:rPr>
          <w:rFonts w:eastAsia="Times New Roman"/>
          <w:noProof/>
          <w:color w:val="000000" w:themeColor="text1"/>
          <w:lang w:val="en-IE"/>
        </w:rPr>
        <w:t xml:space="preserve"> as well as nationally protected sites and for care of specially protected species.  </w:t>
      </w:r>
    </w:p>
    <w:p w:rsidRPr="00FE48E2" w:rsidR="00D87E44" w:rsidP="00D226F4" w:rsidRDefault="00D87E44" w14:paraId="154580D0" w14:textId="77777777">
      <w:pPr>
        <w:pBdr>
          <w:top w:val="nil"/>
          <w:left w:val="nil"/>
          <w:bottom w:val="nil"/>
          <w:right w:val="nil"/>
          <w:between w:val="nil"/>
        </w:pBdr>
        <w:spacing w:line="240" w:lineRule="auto"/>
        <w:jc w:val="both"/>
        <w:rPr>
          <w:rFonts w:eastAsia="Times New Roman"/>
          <w:b/>
          <w:noProof/>
          <w:color w:val="000000"/>
          <w:szCs w:val="24"/>
          <w:lang w:val="en-IE"/>
        </w:rPr>
      </w:pPr>
      <w:r w:rsidRPr="00FE48E2">
        <w:rPr>
          <w:rFonts w:eastAsia="Times New Roman"/>
          <w:b/>
          <w:noProof/>
          <w:color w:val="000000"/>
          <w:szCs w:val="24"/>
          <w:lang w:val="en-IE"/>
        </w:rPr>
        <w:t>Investment 4: Adaptation of aquatic, non-forest and forest ecosystems to climate change</w:t>
      </w:r>
    </w:p>
    <w:p w:rsidRPr="00FE48E2" w:rsidR="00D87E44" w:rsidP="00D226F4" w:rsidRDefault="00D87E44" w14:paraId="154580D1" w14:textId="77777777">
      <w:pPr>
        <w:pBdr>
          <w:top w:val="nil"/>
          <w:left w:val="nil"/>
          <w:bottom w:val="nil"/>
          <w:right w:val="nil"/>
          <w:between w:val="nil"/>
        </w:pBdr>
        <w:spacing w:line="240" w:lineRule="auto"/>
        <w:jc w:val="both"/>
        <w:rPr>
          <w:rFonts w:eastAsia="Times New Roman"/>
          <w:noProof/>
          <w:color w:val="000000"/>
          <w:lang w:val="en-IE"/>
        </w:rPr>
      </w:pPr>
      <w:r w:rsidRPr="668A15E7">
        <w:rPr>
          <w:rFonts w:eastAsia="Times New Roman"/>
          <w:noProof/>
          <w:color w:val="000000" w:themeColor="text1"/>
          <w:lang w:val="en-IE"/>
        </w:rPr>
        <w:lastRenderedPageBreak/>
        <w:t>Th</w:t>
      </w:r>
      <w:r>
        <w:rPr>
          <w:rFonts w:eastAsia="Times New Roman"/>
          <w:noProof/>
          <w:color w:val="000000" w:themeColor="text1"/>
          <w:lang w:val="en-IE"/>
        </w:rPr>
        <w:t>e objective of the investment is</w:t>
      </w:r>
      <w:r w:rsidRPr="668A15E7">
        <w:rPr>
          <w:rFonts w:eastAsia="Times New Roman"/>
          <w:noProof/>
          <w:color w:val="000000" w:themeColor="text1"/>
          <w:lang w:val="en-IE"/>
        </w:rPr>
        <w:t xml:space="preserve"> </w:t>
      </w:r>
      <w:r>
        <w:rPr>
          <w:rFonts w:eastAsia="Times New Roman"/>
          <w:noProof/>
          <w:color w:val="000000" w:themeColor="text1"/>
          <w:lang w:val="en-IE"/>
        </w:rPr>
        <w:t>to</w:t>
      </w:r>
      <w:r w:rsidRPr="668A15E7">
        <w:rPr>
          <w:rFonts w:eastAsia="Times New Roman"/>
          <w:noProof/>
          <w:color w:val="000000" w:themeColor="text1"/>
          <w:lang w:val="en-IE"/>
        </w:rPr>
        <w:t xml:space="preserve"> enabl</w:t>
      </w:r>
      <w:r>
        <w:rPr>
          <w:rFonts w:eastAsia="Times New Roman"/>
          <w:noProof/>
          <w:color w:val="000000" w:themeColor="text1"/>
          <w:lang w:val="en-IE"/>
        </w:rPr>
        <w:t>e</w:t>
      </w:r>
      <w:r w:rsidRPr="668A15E7">
        <w:rPr>
          <w:rFonts w:eastAsia="Times New Roman"/>
          <w:noProof/>
          <w:color w:val="000000" w:themeColor="text1"/>
          <w:lang w:val="en-IE"/>
        </w:rPr>
        <w:t xml:space="preserve"> systemic water retention in the landscape. It </w:t>
      </w:r>
      <w:r w:rsidRPr="288B1DDD">
        <w:rPr>
          <w:rFonts w:eastAsia="Times New Roman"/>
          <w:noProof/>
          <w:color w:val="000000" w:themeColor="text1"/>
          <w:lang w:val="en-IE"/>
        </w:rPr>
        <w:t>consists</w:t>
      </w:r>
      <w:r w:rsidRPr="668A15E7">
        <w:rPr>
          <w:rFonts w:eastAsia="Times New Roman"/>
          <w:noProof/>
          <w:color w:val="000000" w:themeColor="text1"/>
          <w:lang w:val="en-IE"/>
        </w:rPr>
        <w:t xml:space="preserve"> of actions which may include</w:t>
      </w:r>
      <w:r>
        <w:rPr>
          <w:rFonts w:eastAsia="Times New Roman"/>
          <w:noProof/>
          <w:color w:val="000000" w:themeColor="text1"/>
          <w:lang w:val="en-IE"/>
        </w:rPr>
        <w:t>,</w:t>
      </w:r>
      <w:r w:rsidRPr="668A15E7">
        <w:rPr>
          <w:rFonts w:eastAsia="Times New Roman"/>
          <w:noProof/>
          <w:color w:val="000000" w:themeColor="text1"/>
          <w:lang w:val="en-IE"/>
        </w:rPr>
        <w:t xml:space="preserve"> but are not limited to</w:t>
      </w:r>
      <w:r>
        <w:rPr>
          <w:rFonts w:eastAsia="Times New Roman"/>
          <w:noProof/>
          <w:color w:val="000000" w:themeColor="text1"/>
          <w:lang w:val="en-IE"/>
        </w:rPr>
        <w:t>,</w:t>
      </w:r>
      <w:r w:rsidRPr="668A15E7">
        <w:rPr>
          <w:rFonts w:eastAsia="Times New Roman"/>
          <w:noProof/>
          <w:color w:val="000000" w:themeColor="text1"/>
          <w:lang w:val="en-IE"/>
        </w:rPr>
        <w:t xml:space="preserve"> improving the species and spatial composition of forests; protecting non-forest habitats; the creation or restoration of wetlands and ponds; the revitalisation of watercourses, restoration of landscape elements, planting of trees outside forested areas and other related actions. </w:t>
      </w:r>
    </w:p>
    <w:p w:rsidR="00D87E44" w:rsidRDefault="00D87E44" w14:paraId="154580D2" w14:textId="77777777">
      <w:pPr>
        <w:spacing w:before="0" w:after="160" w:line="259" w:lineRule="auto"/>
        <w:rPr>
          <w:rFonts w:eastAsia="Times New Roman"/>
          <w:b/>
          <w:noProof/>
          <w:color w:val="000000"/>
          <w:szCs w:val="24"/>
          <w:lang w:val="en-IE"/>
        </w:rPr>
      </w:pPr>
      <w:r>
        <w:rPr>
          <w:rFonts w:eastAsia="Times New Roman"/>
          <w:b/>
          <w:noProof/>
          <w:color w:val="000000"/>
          <w:szCs w:val="24"/>
          <w:lang w:val="en-IE"/>
        </w:rPr>
        <w:br w:type="page"/>
      </w:r>
    </w:p>
    <w:p w:rsidR="00D87E44" w:rsidP="00D226F4" w:rsidRDefault="00D87E44" w14:paraId="154580D3" w14:textId="77777777">
      <w:pPr>
        <w:spacing w:line="240" w:lineRule="auto"/>
        <w:rPr>
          <w:b/>
          <w:noProof/>
          <w:lang w:val="en-IE"/>
        </w:rPr>
      </w:pPr>
      <w:r w:rsidRPr="00FE48E2">
        <w:rPr>
          <w:rFonts w:eastAsia="Times New Roman"/>
          <w:b/>
          <w:noProof/>
          <w:color w:val="000000"/>
          <w:szCs w:val="24"/>
          <w:lang w:val="en-IE"/>
        </w:rPr>
        <w:lastRenderedPageBreak/>
        <w:t xml:space="preserve">Reform 2: </w:t>
      </w:r>
      <w:r>
        <w:rPr>
          <w:b/>
          <w:noProof/>
          <w:lang w:val="en-IE"/>
        </w:rPr>
        <w:t>Establishment</w:t>
      </w:r>
      <w:r w:rsidRPr="00FE48E2">
        <w:rPr>
          <w:b/>
          <w:noProof/>
          <w:lang w:val="en-IE"/>
        </w:rPr>
        <w:t xml:space="preserve"> of landscape policy and planning </w:t>
      </w:r>
    </w:p>
    <w:p w:rsidRPr="00FF1320" w:rsidR="00D87E44" w:rsidP="00D46E74" w:rsidRDefault="00D87E44" w14:paraId="154580D4" w14:textId="77777777">
      <w:pPr>
        <w:tabs>
          <w:tab w:val="left" w:pos="2442"/>
        </w:tabs>
        <w:spacing w:line="240" w:lineRule="auto"/>
        <w:rPr>
          <w:color w:val="000000" w:themeColor="text1"/>
          <w:lang w:val="en-IE"/>
        </w:rPr>
      </w:pPr>
      <w:r w:rsidRPr="00FF1320">
        <w:rPr>
          <w:color w:val="000000" w:themeColor="text1"/>
          <w:lang w:val="en-IE"/>
        </w:rPr>
        <w:t xml:space="preserve">The reform aims </w:t>
      </w:r>
      <w:r w:rsidRPr="006B399D">
        <w:rPr>
          <w:rFonts w:eastAsia="Times New Roman"/>
          <w:noProof/>
          <w:color w:val="000000" w:themeColor="text1"/>
          <w:lang w:val="en-IE"/>
        </w:rPr>
        <w:t>to establish</w:t>
      </w:r>
      <w:r w:rsidRPr="00FF1320">
        <w:rPr>
          <w:color w:val="000000" w:themeColor="text1"/>
          <w:lang w:val="en-IE"/>
        </w:rPr>
        <w:t xml:space="preserve"> an integrated landscape management and planning, ensuring cross-sectorial coordination and multi-stakeholders’ involvement. </w:t>
      </w:r>
      <w:r w:rsidRPr="006B399D">
        <w:rPr>
          <w:rFonts w:eastAsia="Times New Roman"/>
          <w:noProof/>
          <w:color w:val="000000" w:themeColor="text1"/>
          <w:lang w:val="en-IE"/>
        </w:rPr>
        <w:t>It consists of the adoption of an integrated landscape policy document.</w:t>
      </w:r>
      <w:r w:rsidRPr="00FF1320">
        <w:rPr>
          <w:color w:val="000000" w:themeColor="text1"/>
          <w:lang w:val="en-IE"/>
        </w:rPr>
        <w:t xml:space="preserve"> </w:t>
      </w:r>
    </w:p>
    <w:p w:rsidRPr="00FE48E2" w:rsidR="00D87E44" w:rsidP="00D226F4" w:rsidRDefault="00D87E44" w14:paraId="154580D5" w14:textId="77777777">
      <w:pPr>
        <w:pBdr>
          <w:top w:val="nil"/>
          <w:left w:val="nil"/>
          <w:bottom w:val="nil"/>
          <w:right w:val="nil"/>
          <w:between w:val="nil"/>
        </w:pBdr>
        <w:spacing w:line="240" w:lineRule="auto"/>
        <w:jc w:val="both"/>
        <w:rPr>
          <w:rFonts w:eastAsia="Times New Roman"/>
          <w:noProof/>
          <w:color w:val="000000"/>
          <w:szCs w:val="24"/>
          <w:lang w:val="en-IE" w:eastAsia="en-GB"/>
        </w:rPr>
      </w:pPr>
      <w:r w:rsidRPr="00FE48E2">
        <w:rPr>
          <w:rFonts w:eastAsia="Times New Roman"/>
          <w:noProof/>
          <w:szCs w:val="24"/>
          <w:lang w:val="en-IE" w:eastAsia="en-GB"/>
        </w:rPr>
        <w:t xml:space="preserve"> </w:t>
      </w:r>
    </w:p>
    <w:p w:rsidRPr="00FE48E2" w:rsidR="00D87E44" w:rsidP="00D226F4" w:rsidRDefault="00D87E44" w14:paraId="154580D6" w14:textId="77777777">
      <w:pPr>
        <w:pBdr>
          <w:top w:val="nil"/>
          <w:left w:val="nil"/>
          <w:bottom w:val="nil"/>
          <w:right w:val="nil"/>
          <w:between w:val="nil"/>
        </w:pBdr>
        <w:spacing w:line="240" w:lineRule="auto"/>
        <w:jc w:val="both"/>
        <w:rPr>
          <w:rFonts w:eastAsia="Times New Roman"/>
          <w:b/>
          <w:noProof/>
          <w:color w:val="000000"/>
          <w:szCs w:val="24"/>
          <w:u w:val="single"/>
          <w:lang w:val="en-IE" w:eastAsia="en-GB"/>
        </w:rPr>
        <w:sectPr w:rsidRPr="00FE48E2" w:rsidR="00C16C1F" w:rsidSect="00D226F4">
          <w:headerReference w:type="even" r:id="R4ff4dac8ab904e0d"/>
          <w:headerReference w:type="default" r:id="Ra0b7df7a9a424a3c"/>
          <w:footerReference w:type="even" r:id="Rb88e554dde244b03"/>
          <w:footerReference w:type="default" r:id="R6ee1c1e2b9804a62"/>
          <w:headerReference w:type="first" r:id="Re5d656a4a5e843c0"/>
          <w:footerReference w:type="first" r:id="Rdf4a9c5e1f6942ed"/>
          <w:pgSz w:w="11907" w:h="16839"/>
          <w:pgMar w:top="1134" w:right="1134" w:bottom="1134" w:left="1134" w:header="567" w:footer="567" w:gutter="0"/>
          <w:cols w:space="708"/>
          <w:docGrid w:linePitch="326"/>
        </w:sectPr>
      </w:pPr>
    </w:p>
    <w:p w:rsidRPr="00FE48E2" w:rsidR="00D87E44" w:rsidP="00D226F4" w:rsidRDefault="00D87E44" w14:paraId="154580D7" w14:textId="77777777">
      <w:pPr>
        <w:pBdr>
          <w:top w:val="nil"/>
          <w:left w:val="nil"/>
          <w:bottom w:val="nil"/>
          <w:right w:val="nil"/>
          <w:between w:val="nil"/>
        </w:pBdr>
        <w:spacing w:line="240" w:lineRule="auto"/>
        <w:jc w:val="both"/>
        <w:rPr>
          <w:rFonts w:eastAsia="Times New Roman"/>
          <w:b/>
          <w:bCs/>
          <w:noProof/>
          <w:color w:val="000000"/>
          <w:u w:val="single"/>
          <w:lang w:val="en-IE" w:eastAsia="en-GB"/>
        </w:rPr>
      </w:pPr>
      <w:r w:rsidRPr="0DE2946C">
        <w:rPr>
          <w:rFonts w:eastAsia="Times New Roman"/>
          <w:b/>
          <w:bCs/>
          <w:noProof/>
          <w:color w:val="000000" w:themeColor="text1"/>
          <w:u w:val="single"/>
          <w:lang w:val="en-IE" w:eastAsia="en-GB"/>
        </w:rPr>
        <w:lastRenderedPageBreak/>
        <w:t>P.2. Milestones, targets, indicators, and timetable for monitoring and implementation for non-repayable financial support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00" w:firstRow="0" w:lastRow="0" w:firstColumn="0" w:lastColumn="0" w:noHBand="0" w:noVBand="1"/>
      </w:tblPr>
      <w:tblGrid>
        <w:gridCol w:w="708"/>
        <w:gridCol w:w="1389"/>
        <w:gridCol w:w="978"/>
        <w:gridCol w:w="1797"/>
        <w:gridCol w:w="1162"/>
        <w:gridCol w:w="914"/>
        <w:gridCol w:w="856"/>
        <w:gridCol w:w="929"/>
        <w:gridCol w:w="1040"/>
        <w:gridCol w:w="961"/>
        <w:gridCol w:w="3827"/>
      </w:tblGrid>
      <w:tr w:rsidRPr="00FE48E2" w:rsidR="00E3458A" w:rsidTr="4A45BCA2" w14:paraId="154580E0" w14:textId="77777777">
        <w:trPr>
          <w:trHeight w:val="513"/>
          <w:tblHeader/>
        </w:trPr>
        <w:tc>
          <w:tcPr>
            <w:tcW w:w="243" w:type="pct"/>
            <w:vMerge w:val="restart"/>
            <w:shd w:val="clear" w:color="auto" w:fill="BDD7EE"/>
            <w:vAlign w:val="center"/>
          </w:tcPr>
          <w:p w:rsidRPr="00FE48E2" w:rsidR="00D87E44" w:rsidRDefault="00D87E44" w14:paraId="154580D8"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477" w:type="pct"/>
            <w:vMerge w:val="restart"/>
            <w:shd w:val="clear" w:color="auto" w:fill="BDD7EE"/>
            <w:vAlign w:val="center"/>
          </w:tcPr>
          <w:p w:rsidRPr="00FE48E2" w:rsidR="00D87E44" w:rsidRDefault="00D87E44" w14:paraId="154580D9"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336" w:type="pct"/>
            <w:vMerge w:val="restart"/>
            <w:shd w:val="clear" w:color="auto" w:fill="BDD7EE"/>
            <w:vAlign w:val="center"/>
          </w:tcPr>
          <w:p w:rsidRPr="00FE48E2" w:rsidR="00D87E44" w:rsidRDefault="00D87E44" w14:paraId="154580DA"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617" w:type="pct"/>
            <w:vMerge w:val="restart"/>
            <w:shd w:val="clear" w:color="auto" w:fill="BDD7EE"/>
            <w:vAlign w:val="center"/>
          </w:tcPr>
          <w:p w:rsidRPr="00FE48E2" w:rsidR="00D87E44" w:rsidRDefault="00D87E44" w14:paraId="154580DB"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399" w:type="pct"/>
            <w:vMerge w:val="restart"/>
            <w:shd w:val="clear" w:color="auto" w:fill="BDD7EE"/>
            <w:vAlign w:val="center"/>
          </w:tcPr>
          <w:p w:rsidRPr="00FE48E2" w:rsidR="00D87E44" w:rsidRDefault="00D87E44" w14:paraId="154580DC"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927" w:type="pct"/>
            <w:gridSpan w:val="3"/>
            <w:shd w:val="clear" w:color="auto" w:fill="BDD7EE"/>
            <w:vAlign w:val="center"/>
          </w:tcPr>
          <w:p w:rsidRPr="00FE48E2" w:rsidR="00D87E44" w:rsidRDefault="00D87E44" w14:paraId="154580DD"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687" w:type="pct"/>
            <w:gridSpan w:val="2"/>
            <w:shd w:val="clear" w:color="auto" w:fill="BDD7EE"/>
            <w:vAlign w:val="center"/>
          </w:tcPr>
          <w:p w:rsidRPr="00FE48E2" w:rsidR="00D87E44" w:rsidRDefault="00D87E44" w14:paraId="154580DE"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1314" w:type="pct"/>
            <w:vMerge w:val="restart"/>
            <w:shd w:val="clear" w:color="auto" w:fill="BDD7EE"/>
            <w:vAlign w:val="center"/>
          </w:tcPr>
          <w:p w:rsidRPr="00FE48E2" w:rsidR="00D87E44" w:rsidRDefault="00D87E44" w14:paraId="154580DF" w14:textId="77777777">
            <w:pPr>
              <w:spacing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rsidTr="4A45BCA2" w14:paraId="154580EC" w14:textId="77777777">
        <w:trPr>
          <w:trHeight w:val="564"/>
          <w:tblHeader/>
        </w:trPr>
        <w:tc>
          <w:tcPr>
            <w:tcW w:w="243" w:type="pct"/>
            <w:vMerge/>
            <w:vAlign w:val="center"/>
          </w:tcPr>
          <w:p w:rsidRPr="00FE48E2" w:rsidR="00D87E44" w:rsidRDefault="00D87E44" w14:paraId="154580E1"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477" w:type="pct"/>
            <w:vMerge/>
            <w:vAlign w:val="center"/>
          </w:tcPr>
          <w:p w:rsidRPr="00FE48E2" w:rsidR="00D87E44" w:rsidRDefault="00D87E44" w14:paraId="154580E2"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36" w:type="pct"/>
            <w:vMerge/>
            <w:vAlign w:val="center"/>
          </w:tcPr>
          <w:p w:rsidRPr="00FE48E2" w:rsidR="00D87E44" w:rsidRDefault="00D87E44" w14:paraId="154580E3"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617" w:type="pct"/>
            <w:vMerge/>
            <w:vAlign w:val="center"/>
          </w:tcPr>
          <w:p w:rsidRPr="00FE48E2" w:rsidR="00D87E44" w:rsidRDefault="00D87E44" w14:paraId="154580E4"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99" w:type="pct"/>
            <w:vMerge/>
            <w:vAlign w:val="center"/>
          </w:tcPr>
          <w:p w:rsidRPr="00FE48E2" w:rsidR="00D87E44" w:rsidRDefault="00D87E44" w14:paraId="154580E5"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14" w:type="pct"/>
            <w:shd w:val="clear" w:color="auto" w:fill="BDD7EE"/>
            <w:vAlign w:val="center"/>
          </w:tcPr>
          <w:p w:rsidRPr="00C86F28" w:rsidR="00D87E44" w:rsidRDefault="00D87E44" w14:paraId="154580E6" w14:textId="77777777">
            <w:pPr>
              <w:spacing w:after="0" w:line="240" w:lineRule="auto"/>
              <w:jc w:val="center"/>
              <w:rPr>
                <w:rFonts w:eastAsia="Times New Roman"/>
                <w:b/>
                <w:noProof/>
                <w:sz w:val="18"/>
                <w:szCs w:val="18"/>
                <w:lang w:val="en-IE"/>
              </w:rPr>
            </w:pPr>
            <w:r w:rsidRPr="00C86F28">
              <w:rPr>
                <w:rFonts w:eastAsia="Times New Roman"/>
                <w:b/>
                <w:noProof/>
                <w:sz w:val="18"/>
                <w:szCs w:val="18"/>
                <w:lang w:val="en-IE"/>
              </w:rPr>
              <w:t>Unit of measure</w:t>
            </w:r>
          </w:p>
        </w:tc>
        <w:tc>
          <w:tcPr>
            <w:tcW w:w="294" w:type="pct"/>
            <w:shd w:val="clear" w:color="auto" w:fill="BDD7EE"/>
            <w:vAlign w:val="center"/>
          </w:tcPr>
          <w:p w:rsidRPr="00C86F28" w:rsidR="00D87E44" w:rsidRDefault="00D87E44" w14:paraId="154580E7" w14:textId="77777777">
            <w:pPr>
              <w:spacing w:after="0" w:line="240" w:lineRule="auto"/>
              <w:jc w:val="center"/>
              <w:rPr>
                <w:rFonts w:eastAsia="Times New Roman"/>
                <w:b/>
                <w:noProof/>
                <w:sz w:val="18"/>
                <w:szCs w:val="18"/>
                <w:lang w:val="en-IE"/>
              </w:rPr>
            </w:pPr>
            <w:r w:rsidRPr="00C86F28">
              <w:rPr>
                <w:rFonts w:eastAsia="Times New Roman"/>
                <w:b/>
                <w:noProof/>
                <w:sz w:val="18"/>
                <w:szCs w:val="18"/>
                <w:lang w:val="en-IE"/>
              </w:rPr>
              <w:t xml:space="preserve">Baseline </w:t>
            </w:r>
          </w:p>
        </w:tc>
        <w:tc>
          <w:tcPr>
            <w:tcW w:w="319" w:type="pct"/>
            <w:shd w:val="clear" w:color="auto" w:fill="BDD7EE"/>
            <w:vAlign w:val="center"/>
          </w:tcPr>
          <w:p w:rsidRPr="00C86F28" w:rsidR="00D87E44" w:rsidRDefault="00D87E44" w14:paraId="154580E8" w14:textId="77777777">
            <w:pPr>
              <w:spacing w:after="0" w:line="240" w:lineRule="auto"/>
              <w:jc w:val="center"/>
              <w:rPr>
                <w:rFonts w:eastAsia="Times New Roman"/>
                <w:b/>
                <w:noProof/>
                <w:sz w:val="18"/>
                <w:szCs w:val="18"/>
                <w:lang w:val="en-IE"/>
              </w:rPr>
            </w:pPr>
            <w:r w:rsidRPr="00C86F28">
              <w:rPr>
                <w:rFonts w:eastAsia="Times New Roman"/>
                <w:b/>
                <w:noProof/>
                <w:sz w:val="18"/>
                <w:szCs w:val="18"/>
                <w:lang w:val="en-IE"/>
              </w:rPr>
              <w:t xml:space="preserve">Goal </w:t>
            </w:r>
          </w:p>
        </w:tc>
        <w:tc>
          <w:tcPr>
            <w:tcW w:w="357" w:type="pct"/>
            <w:shd w:val="clear" w:color="auto" w:fill="BDD7EE"/>
            <w:vAlign w:val="center"/>
          </w:tcPr>
          <w:p w:rsidRPr="00C86F28" w:rsidR="00D87E44" w:rsidRDefault="00D87E44" w14:paraId="154580E9" w14:textId="77777777">
            <w:pPr>
              <w:spacing w:after="0" w:line="240" w:lineRule="auto"/>
              <w:jc w:val="center"/>
              <w:rPr>
                <w:rFonts w:eastAsia="Times New Roman"/>
                <w:b/>
                <w:noProof/>
                <w:sz w:val="18"/>
                <w:szCs w:val="18"/>
                <w:lang w:val="en-IE"/>
              </w:rPr>
            </w:pPr>
            <w:r w:rsidRPr="00C86F28">
              <w:rPr>
                <w:rFonts w:eastAsia="Times New Roman"/>
                <w:b/>
                <w:noProof/>
                <w:sz w:val="18"/>
                <w:szCs w:val="18"/>
                <w:lang w:val="en-IE"/>
              </w:rPr>
              <w:t>Quarter</w:t>
            </w:r>
          </w:p>
        </w:tc>
        <w:tc>
          <w:tcPr>
            <w:tcW w:w="330" w:type="pct"/>
            <w:shd w:val="clear" w:color="auto" w:fill="BDD7EE"/>
            <w:vAlign w:val="center"/>
          </w:tcPr>
          <w:p w:rsidRPr="00C86F28" w:rsidR="00D87E44" w:rsidRDefault="00D87E44" w14:paraId="154580EA" w14:textId="77777777">
            <w:pPr>
              <w:spacing w:after="0" w:line="240" w:lineRule="auto"/>
              <w:jc w:val="center"/>
              <w:rPr>
                <w:rFonts w:eastAsia="Times New Roman"/>
                <w:b/>
                <w:noProof/>
                <w:sz w:val="18"/>
                <w:szCs w:val="18"/>
                <w:lang w:val="en-IE"/>
              </w:rPr>
            </w:pPr>
            <w:r w:rsidRPr="00C86F28">
              <w:rPr>
                <w:rFonts w:eastAsia="Times New Roman"/>
                <w:b/>
                <w:noProof/>
                <w:sz w:val="18"/>
                <w:szCs w:val="18"/>
                <w:lang w:val="en-IE"/>
              </w:rPr>
              <w:t>Year</w:t>
            </w:r>
          </w:p>
        </w:tc>
        <w:tc>
          <w:tcPr>
            <w:tcW w:w="1314" w:type="pct"/>
            <w:vMerge/>
            <w:vAlign w:val="center"/>
          </w:tcPr>
          <w:p w:rsidRPr="00FE48E2" w:rsidR="00D87E44" w:rsidRDefault="00D87E44" w14:paraId="154580EB" w14:textId="77777777">
            <w:pPr>
              <w:widowControl w:val="0"/>
              <w:pBdr>
                <w:top w:val="nil"/>
                <w:left w:val="nil"/>
                <w:bottom w:val="nil"/>
                <w:right w:val="nil"/>
                <w:between w:val="nil"/>
              </w:pBdr>
              <w:spacing w:before="0" w:after="0" w:line="276" w:lineRule="auto"/>
              <w:rPr>
                <w:rFonts w:eastAsia="Times New Roman"/>
                <w:b/>
                <w:noProof/>
                <w:sz w:val="18"/>
                <w:szCs w:val="18"/>
                <w:lang w:val="en-IE"/>
              </w:rPr>
            </w:pPr>
          </w:p>
        </w:tc>
      </w:tr>
      <w:tr w:rsidRPr="00FE48E2" w:rsidR="00E3458A" w:rsidTr="4A45BCA2" w14:paraId="154580F8"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6B7328" w:rsidR="00D87E44" w:rsidRDefault="00D87E44" w14:paraId="154580ED"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160</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E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Reform 1: Amendment to the Water Management Act</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E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Amendment to the Water Management Act (Act No. 254/2001 Coll.) aiming at a systemic approach to management of drought and water scarcity.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Entry into force of the Amendment to the Water Management Act (Act No. 254/2001 Coll.) </w:t>
            </w: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2" w14:textId="77777777">
            <w:pPr>
              <w:spacing w:before="0" w:after="0" w:line="240" w:lineRule="auto"/>
              <w:rPr>
                <w:rFonts w:eastAsia="Times New Roman"/>
                <w:noProof/>
                <w:color w:val="004300"/>
                <w:sz w:val="18"/>
                <w:szCs w:val="18"/>
                <w:lang w:val="en-IE" w:eastAsia="en-GB"/>
              </w:rPr>
            </w:pP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3" w14:textId="77777777">
            <w:pPr>
              <w:spacing w:before="0" w:after="0" w:line="240" w:lineRule="auto"/>
              <w:rPr>
                <w:rFonts w:eastAsia="Times New Roman"/>
                <w:noProof/>
                <w:color w:val="004300"/>
                <w:sz w:val="18"/>
                <w:szCs w:val="18"/>
                <w:lang w:val="en-IE" w:eastAsia="en-GB"/>
              </w:rPr>
            </w:pP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4" w14:textId="77777777">
            <w:pPr>
              <w:spacing w:before="0" w:after="0" w:line="240" w:lineRule="auto"/>
              <w:rPr>
                <w:rFonts w:eastAsia="Times New Roman"/>
                <w:noProof/>
                <w:color w:val="004300"/>
                <w:sz w:val="18"/>
                <w:szCs w:val="18"/>
                <w:lang w:val="en-IE" w:eastAsia="en-GB"/>
              </w:rPr>
            </w:pP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2024</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7" w14:textId="77777777">
            <w:pPr>
              <w:spacing w:before="0" w:after="0" w:line="240" w:lineRule="auto"/>
              <w:rPr>
                <w:rFonts w:eastAsia="Times New Roman"/>
                <w:noProof/>
                <w:color w:val="004300"/>
                <w:sz w:val="18"/>
                <w:szCs w:val="18"/>
                <w:lang w:val="en-IE" w:eastAsia="en-GB"/>
              </w:rPr>
            </w:pPr>
            <w:r w:rsidRPr="25DE4B84">
              <w:rPr>
                <w:rFonts w:eastAsia="Times New Roman"/>
                <w:noProof/>
                <w:color w:val="004300"/>
                <w:sz w:val="18"/>
                <w:szCs w:val="18"/>
                <w:lang w:val="en-IE" w:eastAsia="en-GB"/>
              </w:rPr>
              <w:t xml:space="preserve">The amendment to the Water Act defining the framework for the prevention of droughts and water scarcity by the monitoring of droughts, the establishment of control mechanisms and definition of responsibilities of competent authorities shall be adopted. A regional and a central commission for the prevention, monitoring and management of drought and water scarcity shall be established. Regional and national drought plans shall be developed and approved. </w:t>
            </w:r>
          </w:p>
        </w:tc>
      </w:tr>
      <w:tr w:rsidRPr="00FE48E2" w:rsidR="00E3458A" w:rsidTr="4A45BCA2" w14:paraId="15458104"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6B7328" w:rsidR="00D87E44" w:rsidRDefault="00D87E44" w14:paraId="154580F9"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161</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A"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 Protection against droughts and floods of the city of Brno</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Notification of award of contracts for projects aiming at the protection against droughts and floods of the city of Brno.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D"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Notification of award of all contracts.</w:t>
            </w: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E" w14:textId="77777777">
            <w:pPr>
              <w:spacing w:before="0" w:after="0" w:line="240" w:lineRule="auto"/>
              <w:rPr>
                <w:rFonts w:eastAsia="Times New Roman"/>
                <w:noProof/>
                <w:color w:val="004300"/>
                <w:sz w:val="18"/>
                <w:szCs w:val="18"/>
                <w:lang w:val="en-IE" w:eastAsia="en-GB"/>
              </w:rPr>
            </w:pP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0FF" w14:textId="77777777">
            <w:pPr>
              <w:spacing w:before="0" w:after="0" w:line="240" w:lineRule="auto"/>
              <w:rPr>
                <w:rFonts w:eastAsia="Times New Roman"/>
                <w:noProof/>
                <w:color w:val="004300"/>
                <w:sz w:val="18"/>
                <w:szCs w:val="18"/>
                <w:lang w:val="en-IE" w:eastAsia="en-GB"/>
              </w:rPr>
            </w:pP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0" w14:textId="77777777">
            <w:pPr>
              <w:spacing w:before="0" w:after="0" w:line="240" w:lineRule="auto"/>
              <w:rPr>
                <w:rFonts w:eastAsia="Times New Roman"/>
                <w:noProof/>
                <w:color w:val="004300"/>
                <w:sz w:val="18"/>
                <w:szCs w:val="18"/>
                <w:lang w:val="en-IE" w:eastAsia="en-GB"/>
              </w:rPr>
            </w:pP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2022</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3"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Notification of all contracts awarded for projects aiming at the protection against droughts and floods of the city of Brno. </w:t>
            </w:r>
          </w:p>
        </w:tc>
      </w:tr>
      <w:tr w:rsidRPr="00FE48E2" w:rsidR="00E3458A" w:rsidTr="4A45BCA2" w14:paraId="15458110"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162</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06"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1: Protection against droughts and floods of the city of Brno</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8"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Handover protocol</w:t>
            </w:r>
            <w:r w:rsidRPr="006225C6">
              <w:rPr>
                <w:rFonts w:eastAsia="Times New Roman"/>
                <w:noProof/>
                <w:color w:val="004300"/>
                <w:sz w:val="18"/>
                <w:szCs w:val="18"/>
                <w:lang w:val="en-IE"/>
              </w:rPr>
              <w:t>(s)</w:t>
            </w:r>
            <w:r>
              <w:rPr>
                <w:rFonts w:eastAsia="Times New Roman"/>
                <w:noProof/>
                <w:color w:val="004300"/>
                <w:sz w:val="18"/>
                <w:szCs w:val="18"/>
                <w:lang w:val="en-IE" w:eastAsia="en-GB"/>
              </w:rPr>
              <w:t xml:space="preserve"> for the flood protection project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9"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Handover protocol</w:t>
            </w:r>
            <w:r w:rsidRPr="006225C6">
              <w:rPr>
                <w:rFonts w:eastAsia="Times New Roman"/>
                <w:noProof/>
                <w:color w:val="004300"/>
                <w:sz w:val="18"/>
                <w:szCs w:val="18"/>
                <w:lang w:val="en-IE"/>
              </w:rPr>
              <w:t>(s)</w:t>
            </w:r>
            <w:r>
              <w:rPr>
                <w:rFonts w:eastAsia="Times New Roman"/>
                <w:noProof/>
                <w:color w:val="004300"/>
                <w:sz w:val="18"/>
                <w:szCs w:val="18"/>
                <w:lang w:val="en-IE" w:eastAsia="en-GB"/>
              </w:rPr>
              <w:t xml:space="preserve"> of </w:t>
            </w:r>
            <w:r w:rsidRPr="69BD1277">
              <w:rPr>
                <w:rFonts w:eastAsia="Times New Roman"/>
                <w:noProof/>
                <w:color w:val="004300"/>
                <w:sz w:val="18"/>
                <w:szCs w:val="18"/>
                <w:lang w:val="en-IE" w:eastAsia="en-GB"/>
              </w:rPr>
              <w:t>project</w:t>
            </w:r>
            <w:r w:rsidRPr="00FE48E2">
              <w:rPr>
                <w:rFonts w:eastAsia="Times New Roman"/>
                <w:noProof/>
                <w:color w:val="004300"/>
                <w:sz w:val="18"/>
                <w:szCs w:val="18"/>
                <w:lang w:val="en-IE" w:eastAsia="en-GB"/>
              </w:rPr>
              <w:t xml:space="preserve"> </w:t>
            </w: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A" w14:textId="77777777">
            <w:pPr>
              <w:spacing w:before="0" w:after="0" w:line="240" w:lineRule="auto"/>
              <w:rPr>
                <w:rFonts w:eastAsia="Times New Roman"/>
                <w:noProof/>
                <w:color w:val="004300"/>
                <w:sz w:val="18"/>
                <w:szCs w:val="18"/>
                <w:lang w:val="en-IE" w:eastAsia="en-GB"/>
              </w:rPr>
            </w:pP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B" w14:textId="77777777">
            <w:pPr>
              <w:spacing w:before="0" w:after="0" w:line="240" w:lineRule="auto"/>
              <w:rPr>
                <w:rFonts w:eastAsia="Times New Roman"/>
                <w:noProof/>
                <w:color w:val="004300"/>
                <w:sz w:val="18"/>
                <w:szCs w:val="18"/>
                <w:lang w:val="en-IE" w:eastAsia="en-GB"/>
              </w:rPr>
            </w:pP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C" w14:textId="77777777">
            <w:pPr>
              <w:spacing w:before="0" w:after="0" w:line="240" w:lineRule="auto"/>
              <w:rPr>
                <w:rFonts w:eastAsia="Times New Roman"/>
                <w:noProof/>
                <w:color w:val="004300"/>
                <w:sz w:val="18"/>
                <w:szCs w:val="18"/>
                <w:lang w:val="en-IE" w:eastAsia="en-GB"/>
              </w:rPr>
            </w:pP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D" w14:textId="77777777">
            <w:pPr>
              <w:spacing w:before="0" w:after="0" w:line="240" w:lineRule="auto"/>
              <w:rPr>
                <w:rFonts w:eastAsia="Times New Roman"/>
                <w:noProof/>
                <w:color w:val="004300"/>
                <w:sz w:val="18"/>
                <w:szCs w:val="18"/>
                <w:lang w:val="en-IE" w:eastAsia="en-GB"/>
              </w:rPr>
            </w:pPr>
            <w:r w:rsidRPr="254C7607">
              <w:rPr>
                <w:rFonts w:eastAsia="Times New Roman"/>
                <w:noProof/>
                <w:color w:val="004300"/>
                <w:sz w:val="18"/>
                <w:szCs w:val="18"/>
                <w:lang w:val="en-IE" w:eastAsia="en-GB"/>
              </w:rPr>
              <w:t>Q2</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0E"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P="00FF1320" w:rsidRDefault="00D87E44" w14:paraId="1545810F" w14:textId="77777777">
            <w:pPr>
              <w:spacing w:before="0" w:after="0" w:line="240" w:lineRule="auto"/>
              <w:rPr>
                <w:rFonts w:eastAsia="Times New Roman"/>
                <w:noProof/>
                <w:color w:val="004300"/>
                <w:sz w:val="18"/>
                <w:szCs w:val="18"/>
                <w:lang w:val="en-IE"/>
              </w:rPr>
            </w:pPr>
            <w:r w:rsidRPr="006B7328">
              <w:rPr>
                <w:noProof/>
                <w:color w:val="004300"/>
                <w:sz w:val="18"/>
                <w:szCs w:val="18"/>
                <w:lang w:val="en-IE"/>
              </w:rPr>
              <w:t xml:space="preserve">Handover </w:t>
            </w:r>
            <w:r w:rsidRPr="006B7328">
              <w:rPr>
                <w:noProof/>
                <w:color w:val="004300"/>
                <w:sz w:val="18"/>
                <w:szCs w:val="18"/>
                <w:lang w:val="en-IE"/>
              </w:rPr>
              <w:t>protocol(s) are issued and signed by the constructor and the representative of city of Brno, demonstrating that the works are accepted</w:t>
            </w:r>
            <w:r w:rsidRPr="006B7328">
              <w:rPr>
                <w:rFonts w:eastAsia="Times New Roman"/>
                <w:noProof/>
                <w:color w:val="004300"/>
                <w:sz w:val="18"/>
                <w:szCs w:val="18"/>
                <w:lang w:val="en-IE"/>
              </w:rPr>
              <w:t>.</w:t>
            </w:r>
            <w:r w:rsidRPr="71F43F00">
              <w:rPr>
                <w:rFonts w:eastAsia="Times New Roman"/>
                <w:noProof/>
                <w:color w:val="004300"/>
                <w:sz w:val="18"/>
                <w:szCs w:val="18"/>
                <w:lang w:val="en-IE"/>
              </w:rPr>
              <w:t xml:space="preserve"> </w:t>
            </w:r>
          </w:p>
        </w:tc>
      </w:tr>
      <w:tr w:rsidRPr="00FE48E2" w:rsidR="00E3458A" w:rsidTr="4A45BCA2" w14:paraId="1545811E"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1"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163</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2"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Investment 2: Rainwater management in urban agglomerations</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3" w14:textId="77777777">
            <w:pPr>
              <w:spacing w:before="0" w:after="0" w:line="240" w:lineRule="auto"/>
              <w:rPr>
                <w:rFonts w:eastAsia="Times New Roman"/>
                <w:noProof/>
                <w:color w:val="004300"/>
                <w:sz w:val="18"/>
                <w:szCs w:val="18"/>
                <w:lang w:val="en-IE" w:eastAsia="en-GB"/>
              </w:rPr>
            </w:pPr>
            <w:r w:rsidRPr="25FDEFFD">
              <w:rPr>
                <w:rFonts w:eastAsia="Times New Roman"/>
                <w:noProof/>
                <w:color w:val="004300"/>
                <w:sz w:val="18"/>
                <w:szCs w:val="18"/>
                <w:lang w:val="en-IE" w:eastAsia="en-GB"/>
              </w:rPr>
              <w:t>Target</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4"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R</w:t>
            </w:r>
            <w:r w:rsidRPr="00FE48E2">
              <w:rPr>
                <w:rFonts w:eastAsia="Times New Roman"/>
                <w:noProof/>
                <w:color w:val="004300"/>
                <w:sz w:val="18"/>
                <w:szCs w:val="18"/>
                <w:lang w:val="en-IE" w:eastAsia="en-GB"/>
              </w:rPr>
              <w:t xml:space="preserve">ainwater management measures in urban areas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5" w14:textId="77777777">
            <w:pPr>
              <w:spacing w:before="0" w:after="0" w:line="240" w:lineRule="auto"/>
              <w:rPr>
                <w:rFonts w:eastAsia="Times New Roman"/>
                <w:noProof/>
                <w:color w:val="004300"/>
                <w:sz w:val="18"/>
                <w:szCs w:val="18"/>
                <w:lang w:val="en-IE" w:eastAsia="en-GB"/>
              </w:rPr>
            </w:pPr>
          </w:p>
          <w:p w:rsidRPr="00FE48E2" w:rsidR="00D87E44" w:rsidRDefault="00D87E44" w14:paraId="15458116" w14:textId="77777777">
            <w:pPr>
              <w:spacing w:before="0" w:after="0" w:line="240" w:lineRule="auto"/>
              <w:rPr>
                <w:rFonts w:eastAsia="Times New Roman"/>
                <w:noProof/>
                <w:color w:val="004300"/>
                <w:sz w:val="18"/>
                <w:szCs w:val="18"/>
                <w:lang w:val="en-IE" w:eastAsia="en-GB"/>
              </w:rPr>
            </w:pP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P="006B399D" w:rsidRDefault="00D87E44" w14:paraId="15458117" w14:textId="77777777">
            <w:pPr>
              <w:spacing w:before="0" w:after="0" w:line="240" w:lineRule="auto"/>
              <w:rPr>
                <w:rFonts w:eastAsia="Times New Roman"/>
                <w:noProof/>
                <w:color w:val="004300"/>
                <w:sz w:val="18"/>
                <w:szCs w:val="18"/>
                <w:lang w:val="en-IE" w:eastAsia="en-GB"/>
              </w:rPr>
            </w:pPr>
            <w:r w:rsidRPr="183715C3">
              <w:rPr>
                <w:rFonts w:eastAsia="Times New Roman"/>
                <w:noProof/>
                <w:color w:val="004300"/>
                <w:sz w:val="18"/>
                <w:szCs w:val="18"/>
                <w:lang w:val="en-IE" w:eastAsia="en-GB"/>
              </w:rPr>
              <w:t xml:space="preserve">Volume of m3 of rainwater </w:t>
            </w:r>
            <w:r>
              <w:rPr>
                <w:rFonts w:eastAsia="Times New Roman"/>
                <w:noProof/>
                <w:color w:val="004300"/>
                <w:sz w:val="18"/>
                <w:szCs w:val="18"/>
                <w:lang w:val="en-IE" w:eastAsia="en-GB"/>
              </w:rPr>
              <w:t xml:space="preserve">estimated to be </w:t>
            </w:r>
            <w:r w:rsidRPr="183715C3">
              <w:rPr>
                <w:rFonts w:eastAsia="Times New Roman"/>
                <w:noProof/>
                <w:color w:val="004300"/>
                <w:sz w:val="18"/>
                <w:szCs w:val="18"/>
                <w:lang w:val="en-IE" w:eastAsia="en-GB"/>
              </w:rPr>
              <w:t>retained</w:t>
            </w: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8" w14:textId="77777777">
            <w:pPr>
              <w:spacing w:before="0" w:after="0" w:line="240" w:lineRule="auto"/>
              <w:rPr>
                <w:rFonts w:eastAsia="Times New Roman"/>
                <w:noProof/>
                <w:color w:val="004300"/>
                <w:sz w:val="18"/>
                <w:szCs w:val="18"/>
                <w:lang w:val="en-IE" w:eastAsia="en-GB"/>
              </w:rPr>
            </w:pPr>
            <w:r w:rsidRPr="183715C3" w:rsidDel="000909AB">
              <w:rPr>
                <w:rFonts w:eastAsia="Times New Roman"/>
                <w:noProof/>
                <w:color w:val="004300"/>
                <w:sz w:val="18"/>
                <w:szCs w:val="18"/>
                <w:lang w:val="en-IE" w:eastAsia="en-GB"/>
              </w:rPr>
              <w:t>0</w:t>
            </w: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9" w14:textId="77777777">
            <w:pPr>
              <w:spacing w:before="0" w:after="0" w:line="240" w:lineRule="auto"/>
              <w:rPr>
                <w:rFonts w:eastAsia="Times New Roman"/>
                <w:noProof/>
                <w:color w:val="004300"/>
                <w:sz w:val="18"/>
                <w:szCs w:val="18"/>
                <w:lang w:val="en-IE" w:eastAsia="en-GB"/>
              </w:rPr>
            </w:pPr>
            <w:r w:rsidRPr="183715C3">
              <w:rPr>
                <w:rFonts w:eastAsia="Times New Roman"/>
                <w:noProof/>
                <w:color w:val="004300"/>
                <w:sz w:val="18"/>
                <w:szCs w:val="18"/>
                <w:lang w:val="en-IE" w:eastAsia="en-GB"/>
              </w:rPr>
              <w:t>20</w:t>
            </w:r>
            <w:r>
              <w:rPr>
                <w:rFonts w:eastAsia="Times New Roman"/>
                <w:noProof/>
                <w:color w:val="004300"/>
                <w:sz w:val="18"/>
                <w:szCs w:val="18"/>
                <w:lang w:val="en-IE" w:eastAsia="en-GB"/>
              </w:rPr>
              <w:t> </w:t>
            </w:r>
            <w:r w:rsidRPr="183715C3">
              <w:rPr>
                <w:rFonts w:eastAsia="Times New Roman"/>
                <w:noProof/>
                <w:color w:val="004300"/>
                <w:sz w:val="18"/>
                <w:szCs w:val="18"/>
                <w:lang w:val="en-IE" w:eastAsia="en-GB"/>
              </w:rPr>
              <w:t>000</w:t>
            </w: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A" w14:textId="77777777">
            <w:pPr>
              <w:spacing w:before="0" w:after="0" w:line="240" w:lineRule="auto"/>
              <w:rPr>
                <w:rFonts w:eastAsia="Times New Roman"/>
                <w:noProof/>
                <w:color w:val="004300"/>
                <w:sz w:val="18"/>
                <w:szCs w:val="18"/>
                <w:lang w:val="en-IE" w:eastAsia="en-GB"/>
              </w:rPr>
            </w:pPr>
            <w:r w:rsidRPr="7C1D10F9">
              <w:rPr>
                <w:rFonts w:eastAsia="Times New Roman"/>
                <w:noProof/>
                <w:color w:val="004300"/>
                <w:sz w:val="18"/>
                <w:szCs w:val="18"/>
                <w:lang w:val="en-IE" w:eastAsia="en-GB"/>
              </w:rPr>
              <w:t>Q2</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B"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Pr="006B7328" w:rsidR="00D87E44" w:rsidRDefault="00D87E44" w14:paraId="1545811C" w14:textId="77777777">
            <w:pPr>
              <w:pBdr>
                <w:top w:val="nil"/>
                <w:left w:val="nil"/>
                <w:bottom w:val="nil"/>
                <w:right w:val="nil"/>
                <w:between w:val="nil"/>
              </w:pBdr>
              <w:spacing w:before="0" w:after="0" w:line="240" w:lineRule="auto"/>
              <w:rPr>
                <w:rFonts w:eastAsia="Times New Roman"/>
                <w:noProof/>
                <w:color w:val="004300"/>
                <w:sz w:val="18"/>
                <w:szCs w:val="18"/>
                <w:lang w:val="en-IE" w:eastAsia="en-GB"/>
              </w:rPr>
            </w:pPr>
            <w:r w:rsidRPr="69BD1277">
              <w:rPr>
                <w:rFonts w:eastAsia="Times New Roman"/>
                <w:noProof/>
                <w:color w:val="004300"/>
                <w:sz w:val="18"/>
                <w:szCs w:val="18"/>
                <w:lang w:val="en-IE" w:eastAsia="en-GB"/>
              </w:rPr>
              <w:t>A</w:t>
            </w:r>
            <w:r w:rsidRPr="4BB69A1D">
              <w:rPr>
                <w:rFonts w:eastAsia="Times New Roman"/>
                <w:noProof/>
                <w:color w:val="004300"/>
                <w:sz w:val="18"/>
                <w:szCs w:val="18"/>
                <w:lang w:val="en-IE" w:eastAsia="en-GB"/>
              </w:rPr>
              <w:t xml:space="preserve"> call on rainwater management in urban </w:t>
            </w:r>
            <w:r>
              <w:rPr>
                <w:rFonts w:eastAsia="Times New Roman"/>
                <w:noProof/>
                <w:color w:val="004300"/>
                <w:sz w:val="18"/>
                <w:szCs w:val="18"/>
                <w:lang w:val="en-IE" w:eastAsia="en-GB"/>
              </w:rPr>
              <w:t>areas</w:t>
            </w:r>
            <w:r w:rsidRPr="4BB69A1D">
              <w:rPr>
                <w:rFonts w:eastAsia="Times New Roman"/>
                <w:noProof/>
                <w:color w:val="004300"/>
                <w:sz w:val="18"/>
                <w:szCs w:val="18"/>
                <w:lang w:val="en-IE" w:eastAsia="en-GB"/>
              </w:rPr>
              <w:t xml:space="preserve"> shall </w:t>
            </w:r>
            <w:r>
              <w:rPr>
                <w:rFonts w:eastAsia="Times New Roman"/>
                <w:noProof/>
                <w:color w:val="004300"/>
                <w:sz w:val="18"/>
                <w:szCs w:val="18"/>
                <w:lang w:val="en-IE" w:eastAsia="en-GB"/>
              </w:rPr>
              <w:t xml:space="preserve">be launched in support of </w:t>
            </w:r>
            <w:r w:rsidRPr="4BB69A1D">
              <w:rPr>
                <w:rFonts w:eastAsia="Times New Roman"/>
                <w:noProof/>
                <w:color w:val="004300"/>
                <w:sz w:val="18"/>
                <w:szCs w:val="18"/>
                <w:lang w:val="en-IE" w:eastAsia="en-GB"/>
              </w:rPr>
              <w:t xml:space="preserve">rainwater retention projects. </w:t>
            </w:r>
            <w:r>
              <w:rPr>
                <w:rFonts w:eastAsia="Times New Roman"/>
                <w:noProof/>
                <w:color w:val="004300"/>
                <w:sz w:val="18"/>
                <w:szCs w:val="18"/>
                <w:lang w:val="en-IE" w:eastAsia="en-GB"/>
              </w:rPr>
              <w:t xml:space="preserve">Supported </w:t>
            </w:r>
            <w:r w:rsidRPr="73AF96BD">
              <w:rPr>
                <w:rFonts w:eastAsia="Times New Roman"/>
                <w:noProof/>
                <w:color w:val="004300"/>
                <w:sz w:val="18"/>
                <w:szCs w:val="18"/>
                <w:lang w:val="en-IE" w:eastAsia="en-GB"/>
              </w:rPr>
              <w:t xml:space="preserve">projects shall </w:t>
            </w:r>
            <w:r w:rsidRPr="1F19FF24">
              <w:rPr>
                <w:rFonts w:eastAsia="Times New Roman"/>
                <w:noProof/>
                <w:color w:val="004300"/>
                <w:sz w:val="18"/>
                <w:szCs w:val="18"/>
                <w:lang w:val="en-IE" w:eastAsia="en-GB"/>
              </w:rPr>
              <w:t>be estimated to cumulatively retain</w:t>
            </w:r>
            <w:r w:rsidRPr="73AF96BD">
              <w:rPr>
                <w:rFonts w:eastAsia="Times New Roman"/>
                <w:noProof/>
                <w:color w:val="004300"/>
                <w:sz w:val="18"/>
                <w:szCs w:val="18"/>
                <w:lang w:val="en-IE" w:eastAsia="en-GB"/>
              </w:rPr>
              <w:t xml:space="preserve"> </w:t>
            </w:r>
            <w:r>
              <w:rPr>
                <w:rFonts w:eastAsia="Times New Roman"/>
                <w:noProof/>
                <w:color w:val="004300"/>
                <w:sz w:val="18"/>
                <w:szCs w:val="18"/>
                <w:lang w:val="en-IE" w:eastAsia="en-GB"/>
              </w:rPr>
              <w:t xml:space="preserve">at least </w:t>
            </w:r>
            <w:r w:rsidRPr="73AF96BD">
              <w:rPr>
                <w:rFonts w:eastAsia="Times New Roman"/>
                <w:noProof/>
                <w:color w:val="004300"/>
                <w:sz w:val="18"/>
                <w:szCs w:val="18"/>
                <w:lang w:val="en-IE" w:eastAsia="en-GB"/>
              </w:rPr>
              <w:t>20</w:t>
            </w:r>
            <w:r>
              <w:rPr>
                <w:rFonts w:eastAsia="Times New Roman"/>
                <w:noProof/>
                <w:color w:val="004300"/>
                <w:sz w:val="18"/>
                <w:szCs w:val="18"/>
                <w:lang w:val="en-IE" w:eastAsia="en-GB"/>
              </w:rPr>
              <w:t> </w:t>
            </w:r>
            <w:r w:rsidRPr="73AF96BD">
              <w:rPr>
                <w:rFonts w:eastAsia="Times New Roman"/>
                <w:noProof/>
                <w:color w:val="004300"/>
                <w:sz w:val="18"/>
                <w:szCs w:val="18"/>
                <w:lang w:val="en-IE" w:eastAsia="en-GB"/>
              </w:rPr>
              <w:t xml:space="preserve">000 </w:t>
            </w:r>
            <w:r w:rsidRPr="0B6E5996">
              <w:rPr>
                <w:rFonts w:eastAsia="Times New Roman"/>
                <w:noProof/>
                <w:color w:val="004300"/>
                <w:sz w:val="18"/>
                <w:szCs w:val="18"/>
                <w:lang w:val="en-IE" w:eastAsia="en-GB"/>
              </w:rPr>
              <w:t>m3</w:t>
            </w:r>
            <w:r w:rsidRPr="73AF96BD">
              <w:rPr>
                <w:rFonts w:eastAsia="Times New Roman"/>
                <w:noProof/>
                <w:color w:val="004300"/>
                <w:sz w:val="18"/>
                <w:szCs w:val="18"/>
                <w:lang w:val="en-IE" w:eastAsia="en-GB"/>
              </w:rPr>
              <w:t xml:space="preserve"> of rainwater. </w:t>
            </w:r>
          </w:p>
          <w:p w:rsidRPr="00FE48E2" w:rsidR="00D87E44" w:rsidRDefault="00D87E44" w14:paraId="1545811D" w14:textId="77777777">
            <w:pPr>
              <w:spacing w:before="0" w:after="0" w:line="240" w:lineRule="auto"/>
              <w:rPr>
                <w:rFonts w:eastAsia="Times New Roman"/>
                <w:noProof/>
                <w:color w:val="004300"/>
                <w:sz w:val="18"/>
                <w:szCs w:val="18"/>
                <w:lang w:val="en-IE" w:eastAsia="en-GB"/>
              </w:rPr>
            </w:pPr>
          </w:p>
        </w:tc>
      </w:tr>
      <w:tr w:rsidRPr="00FE48E2" w:rsidR="00E3458A" w:rsidTr="4A45BCA2" w14:paraId="1545812B" w14:textId="77777777">
        <w:trPr>
          <w:trHeight w:val="1138"/>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1F"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164</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0"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3: Protected areas including Natura 2000 sites and protected species of plants and animals </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1" w14:textId="77777777">
            <w:pPr>
              <w:spacing w:before="0" w:after="0" w:line="240" w:lineRule="auto"/>
              <w:rPr>
                <w:rFonts w:eastAsia="Times New Roman"/>
                <w:noProof/>
                <w:color w:val="004300"/>
                <w:sz w:val="18"/>
                <w:szCs w:val="18"/>
                <w:lang w:val="en-IE" w:eastAsia="en-GB"/>
              </w:rPr>
            </w:pPr>
            <w:r w:rsidRPr="183715C3">
              <w:rPr>
                <w:rFonts w:eastAsia="Times New Roman"/>
                <w:noProof/>
                <w:color w:val="004300"/>
                <w:sz w:val="18"/>
                <w:szCs w:val="18"/>
                <w:lang w:val="en-IE" w:eastAsia="en-GB"/>
              </w:rPr>
              <w:t xml:space="preserve">Target </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22"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P</w:t>
            </w:r>
            <w:r w:rsidRPr="183715C3">
              <w:rPr>
                <w:rFonts w:eastAsia="Times New Roman"/>
                <w:noProof/>
                <w:color w:val="004300"/>
                <w:sz w:val="18"/>
                <w:szCs w:val="18"/>
                <w:lang w:val="en-IE" w:eastAsia="en-GB"/>
              </w:rPr>
              <w:t xml:space="preserve">rojects </w:t>
            </w:r>
            <w:r>
              <w:rPr>
                <w:rFonts w:eastAsia="Times New Roman"/>
                <w:noProof/>
                <w:color w:val="004300"/>
                <w:sz w:val="18"/>
                <w:szCs w:val="18"/>
                <w:lang w:val="en-IE" w:eastAsia="en-GB"/>
              </w:rPr>
              <w:t>for</w:t>
            </w:r>
            <w:r w:rsidRPr="183715C3">
              <w:rPr>
                <w:rFonts w:eastAsia="Times New Roman"/>
                <w:noProof/>
                <w:color w:val="004300"/>
                <w:sz w:val="18"/>
                <w:szCs w:val="18"/>
                <w:lang w:val="en-IE" w:eastAsia="en-GB"/>
              </w:rPr>
              <w:t xml:space="preserve"> the conservation of protected areas including Natura 2000 sites and of protected species of plants and animals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3" w14:textId="77777777">
            <w:pPr>
              <w:spacing w:before="0" w:after="0" w:line="240" w:lineRule="auto"/>
              <w:rPr>
                <w:rFonts w:eastAsia="Times New Roman"/>
                <w:noProof/>
                <w:color w:val="004300"/>
                <w:sz w:val="18"/>
                <w:szCs w:val="18"/>
                <w:lang w:val="en-IE" w:eastAsia="en-GB"/>
              </w:rPr>
            </w:pPr>
            <w:r w:rsidRPr="183715C3">
              <w:rPr>
                <w:rFonts w:eastAsia="Times New Roman"/>
                <w:noProof/>
                <w:color w:val="004300"/>
                <w:sz w:val="18"/>
                <w:szCs w:val="18"/>
                <w:lang w:val="en-IE" w:eastAsia="en-GB"/>
              </w:rPr>
              <w:t> </w:t>
            </w: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4" w14:textId="77777777">
            <w:pPr>
              <w:spacing w:before="0" w:after="0" w:line="240" w:lineRule="auto"/>
              <w:rPr>
                <w:rFonts w:eastAsia="Times New Roman"/>
                <w:noProof/>
                <w:color w:val="004300"/>
                <w:sz w:val="18"/>
                <w:szCs w:val="18"/>
                <w:lang w:val="en-IE" w:eastAsia="en-GB"/>
              </w:rPr>
            </w:pPr>
            <w:r w:rsidRPr="183715C3" w:rsidDel="00706665">
              <w:rPr>
                <w:rFonts w:eastAsia="Times New Roman"/>
                <w:noProof/>
                <w:color w:val="004300"/>
                <w:sz w:val="18"/>
                <w:szCs w:val="18"/>
                <w:lang w:val="en-IE" w:eastAsia="en-GB"/>
              </w:rPr>
              <w:t>Hectares</w:t>
            </w: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5" w14:textId="77777777">
            <w:pPr>
              <w:spacing w:before="0" w:after="0" w:line="240" w:lineRule="auto"/>
              <w:rPr>
                <w:rFonts w:eastAsia="Times New Roman"/>
                <w:noProof/>
                <w:color w:val="004300"/>
                <w:sz w:val="18"/>
                <w:szCs w:val="18"/>
                <w:lang w:val="en-IE" w:eastAsia="en-GB"/>
              </w:rPr>
            </w:pPr>
            <w:r w:rsidRPr="4909D794">
              <w:rPr>
                <w:rFonts w:eastAsia="Times New Roman"/>
                <w:noProof/>
                <w:color w:val="004300"/>
                <w:sz w:val="18"/>
                <w:szCs w:val="18"/>
                <w:lang w:val="en-IE" w:eastAsia="en-GB"/>
              </w:rPr>
              <w:t xml:space="preserve"> </w:t>
            </w:r>
            <w:r w:rsidRPr="183715C3" w:rsidDel="00706665">
              <w:rPr>
                <w:rFonts w:eastAsia="Times New Roman"/>
                <w:noProof/>
                <w:color w:val="004300"/>
                <w:sz w:val="18"/>
                <w:szCs w:val="18"/>
                <w:lang w:val="en-IE" w:eastAsia="en-GB"/>
              </w:rPr>
              <w:t>0</w:t>
            </w: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6" w14:textId="77777777">
            <w:pPr>
              <w:spacing w:before="0" w:after="0" w:line="240" w:lineRule="auto"/>
              <w:rPr>
                <w:rFonts w:eastAsia="Times New Roman"/>
                <w:noProof/>
                <w:color w:val="004300"/>
                <w:sz w:val="18"/>
                <w:szCs w:val="18"/>
                <w:lang w:val="en-IE" w:eastAsia="en-GB"/>
              </w:rPr>
            </w:pPr>
            <w:r w:rsidRPr="183715C3" w:rsidDel="00706665">
              <w:rPr>
                <w:rFonts w:eastAsia="Times New Roman"/>
                <w:noProof/>
                <w:color w:val="004300"/>
                <w:sz w:val="18"/>
                <w:szCs w:val="18"/>
                <w:lang w:val="en-IE" w:eastAsia="en-GB"/>
              </w:rPr>
              <w:t>150</w:t>
            </w:r>
            <w:r>
              <w:rPr>
                <w:rFonts w:eastAsia="Times New Roman"/>
                <w:noProof/>
                <w:color w:val="004300"/>
                <w:sz w:val="18"/>
                <w:szCs w:val="18"/>
                <w:lang w:val="en-IE" w:eastAsia="en-GB"/>
              </w:rPr>
              <w:t> </w:t>
            </w:r>
            <w:r w:rsidRPr="183715C3" w:rsidDel="00706665">
              <w:rPr>
                <w:rFonts w:eastAsia="Times New Roman"/>
                <w:noProof/>
                <w:color w:val="004300"/>
                <w:sz w:val="18"/>
                <w:szCs w:val="18"/>
                <w:lang w:val="en-IE" w:eastAsia="en-GB"/>
              </w:rPr>
              <w:t xml:space="preserve">000 </w:t>
            </w: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7"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8" w14:textId="77777777">
            <w:pPr>
              <w:spacing w:before="0" w:after="0" w:line="240" w:lineRule="auto"/>
              <w:rPr>
                <w:rFonts w:eastAsia="Times New Roman"/>
                <w:noProof/>
                <w:color w:val="004300"/>
                <w:sz w:val="18"/>
                <w:szCs w:val="18"/>
                <w:lang w:val="en-IE" w:eastAsia="en-GB"/>
              </w:rPr>
            </w:pPr>
            <w:r w:rsidRPr="12C63452">
              <w:rPr>
                <w:rFonts w:eastAsia="Times New Roman"/>
                <w:noProof/>
                <w:color w:val="004300"/>
                <w:sz w:val="18"/>
                <w:szCs w:val="18"/>
                <w:lang w:val="en-IE" w:eastAsia="en-GB"/>
              </w:rPr>
              <w:t>2025</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29" w14:textId="77777777">
            <w:pPr>
              <w:spacing w:before="0" w:after="0" w:line="240" w:lineRule="auto"/>
              <w:rPr>
                <w:rFonts w:eastAsia="Times New Roman"/>
                <w:noProof/>
                <w:color w:val="004300"/>
                <w:sz w:val="18"/>
                <w:szCs w:val="18"/>
                <w:lang w:val="en-IE" w:eastAsia="en-GB"/>
              </w:rPr>
            </w:pPr>
            <w:bookmarkStart w:name="_Hlk212124542" w:id="11"/>
            <w:r w:rsidRPr="69BD1277">
              <w:rPr>
                <w:rFonts w:eastAsia="Times New Roman"/>
                <w:noProof/>
                <w:color w:val="004300"/>
                <w:sz w:val="18"/>
                <w:szCs w:val="18"/>
                <w:lang w:val="en-IE" w:eastAsia="en-GB"/>
              </w:rPr>
              <w:t>Calls on management of Natura 2</w:t>
            </w:r>
            <w:r>
              <w:rPr>
                <w:rFonts w:eastAsia="Times New Roman"/>
                <w:noProof/>
                <w:color w:val="004300"/>
                <w:sz w:val="18"/>
                <w:szCs w:val="18"/>
                <w:lang w:val="en-IE" w:eastAsia="en-GB"/>
              </w:rPr>
              <w:t> </w:t>
            </w:r>
            <w:r w:rsidRPr="69BD1277">
              <w:rPr>
                <w:rFonts w:eastAsia="Times New Roman"/>
                <w:noProof/>
                <w:color w:val="004300"/>
                <w:sz w:val="18"/>
                <w:szCs w:val="18"/>
                <w:lang w:val="en-IE" w:eastAsia="en-GB"/>
              </w:rPr>
              <w:t xml:space="preserve">000 sites and protected areas, and care of specially protected species shall </w:t>
            </w:r>
            <w:r>
              <w:rPr>
                <w:rFonts w:eastAsia="Times New Roman"/>
                <w:noProof/>
                <w:color w:val="004300"/>
                <w:sz w:val="18"/>
                <w:szCs w:val="18"/>
                <w:lang w:val="en-IE" w:eastAsia="en-GB"/>
              </w:rPr>
              <w:t xml:space="preserve">be launched in </w:t>
            </w:r>
            <w:r w:rsidRPr="2C1B9F1A">
              <w:rPr>
                <w:rFonts w:eastAsia="Times New Roman"/>
                <w:noProof/>
                <w:color w:val="004300"/>
                <w:sz w:val="18"/>
                <w:szCs w:val="18"/>
                <w:lang w:val="en-IE" w:eastAsia="en-GB"/>
              </w:rPr>
              <w:t>support</w:t>
            </w:r>
            <w:r>
              <w:rPr>
                <w:rFonts w:eastAsia="Times New Roman"/>
                <w:noProof/>
                <w:color w:val="004300"/>
                <w:sz w:val="18"/>
                <w:szCs w:val="18"/>
                <w:lang w:val="en-IE" w:eastAsia="en-GB"/>
              </w:rPr>
              <w:t xml:space="preserve"> of i)</w:t>
            </w:r>
            <w:r w:rsidRPr="2C1B9F1A">
              <w:rPr>
                <w:rFonts w:eastAsia="Times New Roman"/>
                <w:noProof/>
                <w:color w:val="004300"/>
                <w:sz w:val="18"/>
                <w:szCs w:val="18"/>
                <w:lang w:val="en-IE" w:eastAsia="en-GB"/>
              </w:rPr>
              <w:t xml:space="preserve"> measures on conservation of Natura 2</w:t>
            </w:r>
            <w:r>
              <w:rPr>
                <w:rFonts w:eastAsia="Times New Roman"/>
                <w:noProof/>
                <w:color w:val="004300"/>
                <w:sz w:val="18"/>
                <w:szCs w:val="18"/>
                <w:lang w:val="en-IE" w:eastAsia="en-GB"/>
              </w:rPr>
              <w:t> </w:t>
            </w:r>
            <w:r w:rsidRPr="2C1B9F1A">
              <w:rPr>
                <w:rFonts w:eastAsia="Times New Roman"/>
                <w:noProof/>
                <w:color w:val="004300"/>
                <w:sz w:val="18"/>
                <w:szCs w:val="18"/>
                <w:lang w:val="en-IE" w:eastAsia="en-GB"/>
              </w:rPr>
              <w:t>000 and protected sites</w:t>
            </w:r>
            <w:r>
              <w:rPr>
                <w:rFonts w:eastAsia="Times New Roman"/>
                <w:noProof/>
                <w:color w:val="004300"/>
                <w:sz w:val="18"/>
                <w:szCs w:val="18"/>
                <w:lang w:val="en-IE" w:eastAsia="en-GB"/>
              </w:rPr>
              <w:t>,</w:t>
            </w:r>
            <w:r w:rsidRPr="2C1B9F1A">
              <w:rPr>
                <w:rFonts w:eastAsia="Times New Roman"/>
                <w:noProof/>
                <w:color w:val="004300"/>
                <w:sz w:val="18"/>
                <w:szCs w:val="18"/>
                <w:lang w:val="en-IE" w:eastAsia="en-GB"/>
              </w:rPr>
              <w:t xml:space="preserve"> and on protection of specially protected species</w:t>
            </w:r>
            <w:r>
              <w:rPr>
                <w:rFonts w:eastAsia="Times New Roman"/>
                <w:noProof/>
                <w:color w:val="004300"/>
                <w:sz w:val="18"/>
                <w:szCs w:val="18"/>
                <w:lang w:val="en-IE" w:eastAsia="en-GB"/>
              </w:rPr>
              <w:t>, and ii) background and monitoring studies.</w:t>
            </w:r>
            <w:bookmarkEnd w:id="11"/>
            <w:r>
              <w:rPr>
                <w:rFonts w:eastAsia="Times New Roman"/>
                <w:noProof/>
                <w:color w:val="004300"/>
                <w:sz w:val="18"/>
                <w:szCs w:val="18"/>
                <w:lang w:val="en-IE" w:eastAsia="en-GB"/>
              </w:rPr>
              <w:t xml:space="preserve"> Supported</w:t>
            </w:r>
            <w:r w:rsidRPr="2C1B9F1A">
              <w:rPr>
                <w:rFonts w:eastAsia="Times New Roman"/>
                <w:noProof/>
                <w:color w:val="004300"/>
                <w:sz w:val="18"/>
                <w:szCs w:val="18"/>
                <w:lang w:val="en-IE" w:eastAsia="en-GB"/>
              </w:rPr>
              <w:t xml:space="preserve"> projects shall be estimated to cumulatively cover</w:t>
            </w:r>
            <w:r>
              <w:rPr>
                <w:rFonts w:eastAsia="Times New Roman"/>
                <w:noProof/>
                <w:color w:val="004300"/>
                <w:sz w:val="18"/>
                <w:szCs w:val="18"/>
                <w:lang w:val="en-IE" w:eastAsia="en-GB"/>
              </w:rPr>
              <w:t xml:space="preserve"> at least</w:t>
            </w:r>
            <w:r w:rsidRPr="2C1B9F1A">
              <w:rPr>
                <w:rFonts w:eastAsia="Times New Roman"/>
                <w:noProof/>
                <w:color w:val="004300"/>
                <w:sz w:val="18"/>
                <w:szCs w:val="18"/>
                <w:lang w:val="en-IE" w:eastAsia="en-GB"/>
              </w:rPr>
              <w:t xml:space="preserve"> 150</w:t>
            </w:r>
            <w:r>
              <w:rPr>
                <w:rFonts w:eastAsia="Times New Roman"/>
                <w:noProof/>
                <w:color w:val="004300"/>
                <w:sz w:val="18"/>
                <w:szCs w:val="18"/>
                <w:lang w:val="en-IE" w:eastAsia="en-GB"/>
              </w:rPr>
              <w:t> </w:t>
            </w:r>
            <w:r w:rsidRPr="2C1B9F1A">
              <w:rPr>
                <w:rFonts w:eastAsia="Times New Roman"/>
                <w:noProof/>
                <w:color w:val="004300"/>
                <w:sz w:val="18"/>
                <w:szCs w:val="18"/>
                <w:lang w:val="en-IE" w:eastAsia="en-GB"/>
              </w:rPr>
              <w:t xml:space="preserve">000 </w:t>
            </w:r>
            <w:r w:rsidRPr="6DE1CB44">
              <w:rPr>
                <w:rFonts w:eastAsia="Times New Roman"/>
                <w:noProof/>
                <w:color w:val="004300"/>
                <w:sz w:val="18"/>
                <w:szCs w:val="18"/>
                <w:lang w:val="en-IE" w:eastAsia="en-GB"/>
              </w:rPr>
              <w:t>ha</w:t>
            </w:r>
            <w:r w:rsidRPr="2C1B9F1A">
              <w:rPr>
                <w:rFonts w:eastAsia="Times New Roman"/>
                <w:noProof/>
                <w:color w:val="004300"/>
                <w:sz w:val="18"/>
                <w:szCs w:val="18"/>
                <w:lang w:val="en-IE" w:eastAsia="en-GB"/>
              </w:rPr>
              <w:t>.</w:t>
            </w:r>
          </w:p>
          <w:p w:rsidRPr="00FE48E2" w:rsidR="00D87E44" w:rsidRDefault="00D87E44" w14:paraId="1545812A" w14:textId="77777777">
            <w:pPr>
              <w:spacing w:before="0" w:after="0" w:line="240" w:lineRule="auto"/>
              <w:rPr>
                <w:rFonts w:eastAsia="Times New Roman"/>
                <w:noProof/>
                <w:color w:val="004300"/>
                <w:sz w:val="18"/>
                <w:szCs w:val="18"/>
                <w:lang w:val="en-IE" w:eastAsia="en-GB"/>
              </w:rPr>
            </w:pPr>
          </w:p>
        </w:tc>
      </w:tr>
      <w:tr w:rsidRPr="00FE48E2" w:rsidR="00E3458A" w:rsidTr="4A45BCA2" w14:paraId="15458138"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67A8C47F" w:rsidR="00D87E44" w:rsidRDefault="00D87E44" w14:paraId="1545812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lastRenderedPageBreak/>
              <w:t>165</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P="00E3458A" w:rsidRDefault="00D87E44" w14:paraId="1545812D" w14:textId="77777777">
            <w:pPr>
              <w:spacing w:before="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Investment 4: Adaptation of aquatic, non-forest and forest ecosystems to climate change </w:t>
            </w: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2E" w14:textId="77777777">
            <w:pPr>
              <w:spacing w:before="0" w:after="0" w:line="240" w:lineRule="auto"/>
              <w:rPr>
                <w:rFonts w:eastAsia="Times New Roman"/>
                <w:noProof/>
                <w:color w:val="004300"/>
                <w:sz w:val="18"/>
                <w:szCs w:val="18"/>
                <w:lang w:val="en-IE" w:eastAsia="en-GB"/>
              </w:rPr>
            </w:pPr>
            <w:r w:rsidRPr="00FF1320">
              <w:rPr>
                <w:color w:val="004300"/>
                <w:sz w:val="18"/>
                <w:lang w:val="en-IE"/>
              </w:rPr>
              <w:t>Target</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2F" w14:textId="77777777">
            <w:pPr>
              <w:spacing w:before="0" w:after="0" w:line="240" w:lineRule="auto"/>
              <w:rPr>
                <w:rFonts w:eastAsia="Times New Roman"/>
                <w:noProof/>
                <w:color w:val="004300"/>
                <w:sz w:val="18"/>
                <w:szCs w:val="18"/>
                <w:lang w:val="en-IE" w:eastAsia="en-GB"/>
              </w:rPr>
            </w:pPr>
            <w:r w:rsidRPr="4A45BCA2">
              <w:rPr>
                <w:rFonts w:eastAsia="Times New Roman"/>
                <w:noProof/>
                <w:color w:val="004300"/>
                <w:sz w:val="18"/>
                <w:szCs w:val="18"/>
                <w:lang w:val="en-IE" w:eastAsia="en-GB"/>
              </w:rPr>
              <w:t xml:space="preserve">Projects for adaptation of aquatic, non-forest and forest ecosystems to climate change </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30" w14:textId="77777777">
            <w:pPr>
              <w:spacing w:before="0" w:after="0" w:line="240" w:lineRule="auto"/>
              <w:rPr>
                <w:rFonts w:eastAsia="Times New Roman"/>
                <w:noProof/>
                <w:color w:val="004300"/>
                <w:sz w:val="18"/>
                <w:szCs w:val="18"/>
                <w:lang w:val="en-IE" w:eastAsia="en-GB"/>
              </w:rPr>
            </w:pP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1" w14:textId="77777777">
            <w:pPr>
              <w:spacing w:before="0" w:after="0" w:line="240" w:lineRule="auto"/>
              <w:rPr>
                <w:rFonts w:eastAsia="Times New Roman"/>
                <w:noProof/>
                <w:color w:val="004300"/>
                <w:sz w:val="18"/>
                <w:szCs w:val="18"/>
                <w:lang w:val="en-IE" w:eastAsia="en-GB"/>
              </w:rPr>
            </w:pPr>
            <w:r w:rsidRPr="00FF1320">
              <w:rPr>
                <w:color w:val="004300"/>
                <w:sz w:val="18"/>
                <w:lang w:val="en-IE"/>
              </w:rPr>
              <w:t>Projects</w:t>
            </w: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2" w14:textId="77777777">
            <w:pPr>
              <w:spacing w:before="0" w:after="0" w:line="240" w:lineRule="auto"/>
              <w:rPr>
                <w:rFonts w:eastAsia="Times New Roman"/>
                <w:noProof/>
                <w:color w:val="004300"/>
                <w:sz w:val="18"/>
                <w:szCs w:val="18"/>
                <w:lang w:val="en-IE" w:eastAsia="en-GB"/>
              </w:rPr>
            </w:pPr>
            <w:r w:rsidRPr="3A632FED">
              <w:rPr>
                <w:rFonts w:eastAsia="Times New Roman"/>
                <w:noProof/>
                <w:color w:val="004300"/>
                <w:sz w:val="18"/>
                <w:szCs w:val="18"/>
                <w:lang w:val="en-IE" w:eastAsia="en-GB"/>
              </w:rPr>
              <w:t>0</w:t>
            </w: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3" w14:textId="77777777">
            <w:pPr>
              <w:spacing w:before="0" w:after="0" w:line="240" w:lineRule="auto"/>
              <w:rPr>
                <w:rFonts w:eastAsia="Times New Roman"/>
                <w:noProof/>
                <w:color w:val="004300"/>
                <w:sz w:val="18"/>
                <w:szCs w:val="18"/>
                <w:lang w:val="en-IE" w:eastAsia="en-GB"/>
              </w:rPr>
            </w:pPr>
            <w:r w:rsidRPr="3A632FED">
              <w:rPr>
                <w:rFonts w:eastAsia="Times New Roman"/>
                <w:noProof/>
                <w:color w:val="004300"/>
                <w:sz w:val="18"/>
                <w:szCs w:val="18"/>
                <w:lang w:val="en-IE" w:eastAsia="en-GB"/>
              </w:rPr>
              <w:t>2</w:t>
            </w:r>
            <w:r>
              <w:rPr>
                <w:rFonts w:eastAsia="Times New Roman"/>
                <w:noProof/>
                <w:color w:val="004300"/>
                <w:sz w:val="18"/>
                <w:szCs w:val="18"/>
                <w:lang w:val="en-IE" w:eastAsia="en-GB"/>
              </w:rPr>
              <w:t> </w:t>
            </w:r>
            <w:r w:rsidRPr="3A632FED">
              <w:rPr>
                <w:rFonts w:eastAsia="Times New Roman"/>
                <w:noProof/>
                <w:color w:val="004300"/>
                <w:sz w:val="18"/>
                <w:szCs w:val="18"/>
                <w:lang w:val="en-IE" w:eastAsia="en-GB"/>
              </w:rPr>
              <w:t xml:space="preserve">500 </w:t>
            </w: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4"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Q4</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5"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2025</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36"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w:t>
            </w:r>
            <w:r w:rsidRPr="16B6B879">
              <w:rPr>
                <w:rFonts w:eastAsia="Times New Roman"/>
                <w:noProof/>
                <w:color w:val="004300"/>
                <w:sz w:val="18"/>
                <w:szCs w:val="18"/>
                <w:lang w:val="en-IE" w:eastAsia="en-GB"/>
              </w:rPr>
              <w:t>alls</w:t>
            </w:r>
            <w:r>
              <w:rPr>
                <w:rFonts w:eastAsia="Times New Roman"/>
                <w:noProof/>
                <w:color w:val="004300"/>
                <w:sz w:val="18"/>
                <w:szCs w:val="18"/>
                <w:lang w:val="en-IE" w:eastAsia="en-GB"/>
              </w:rPr>
              <w:t xml:space="preserve"> on adaptation of ecosystems to climate change shall </w:t>
            </w:r>
            <w:r w:rsidRPr="4C2E7970">
              <w:rPr>
                <w:rFonts w:eastAsia="Times New Roman"/>
                <w:noProof/>
                <w:color w:val="004300"/>
                <w:sz w:val="18"/>
                <w:szCs w:val="18"/>
                <w:lang w:val="en-IE" w:eastAsia="en-GB"/>
              </w:rPr>
              <w:t xml:space="preserve">be </w:t>
            </w:r>
            <w:r w:rsidRPr="376BAB15">
              <w:rPr>
                <w:rFonts w:eastAsia="Times New Roman"/>
                <w:noProof/>
                <w:color w:val="004300"/>
                <w:sz w:val="18"/>
                <w:szCs w:val="18"/>
                <w:lang w:val="en-IE" w:eastAsia="en-GB"/>
              </w:rPr>
              <w:t>launched to support</w:t>
            </w:r>
            <w:r>
              <w:rPr>
                <w:rFonts w:eastAsia="Times New Roman"/>
                <w:noProof/>
                <w:color w:val="004300"/>
                <w:sz w:val="18"/>
                <w:szCs w:val="18"/>
                <w:lang w:val="en-IE" w:eastAsia="en-GB"/>
              </w:rPr>
              <w:t xml:space="preserve"> </w:t>
            </w:r>
            <w:r w:rsidRPr="5AFF394F">
              <w:rPr>
                <w:rFonts w:eastAsia="Times New Roman"/>
                <w:noProof/>
                <w:color w:val="004300"/>
                <w:sz w:val="18"/>
                <w:szCs w:val="18"/>
                <w:lang w:val="en-IE" w:eastAsia="en-GB"/>
              </w:rPr>
              <w:t xml:space="preserve">1) </w:t>
            </w:r>
            <w:r w:rsidRPr="4A78FE70">
              <w:rPr>
                <w:rFonts w:eastAsia="Times New Roman"/>
                <w:noProof/>
                <w:color w:val="004300"/>
                <w:sz w:val="18"/>
                <w:szCs w:val="18"/>
                <w:lang w:val="en-IE" w:eastAsia="en-GB"/>
              </w:rPr>
              <w:t>projects</w:t>
            </w:r>
            <w:r>
              <w:rPr>
                <w:rFonts w:eastAsia="Times New Roman"/>
                <w:noProof/>
                <w:color w:val="004300"/>
                <w:sz w:val="18"/>
                <w:szCs w:val="18"/>
                <w:lang w:val="en-IE" w:eastAsia="en-GB"/>
              </w:rPr>
              <w:t xml:space="preserve"> in aquatic, non-forest and forest ecosystems, </w:t>
            </w:r>
            <w:r w:rsidRPr="4A78FE70">
              <w:rPr>
                <w:rFonts w:eastAsia="Times New Roman"/>
                <w:noProof/>
                <w:color w:val="004300"/>
                <w:sz w:val="18"/>
                <w:szCs w:val="18"/>
                <w:lang w:val="en-IE" w:eastAsia="en-GB"/>
              </w:rPr>
              <w:t xml:space="preserve">and 2) </w:t>
            </w:r>
            <w:r w:rsidRPr="59580218">
              <w:rPr>
                <w:rFonts w:eastAsia="Times New Roman"/>
                <w:noProof/>
                <w:color w:val="004300"/>
                <w:sz w:val="18"/>
                <w:szCs w:val="18"/>
                <w:lang w:val="en-IE" w:eastAsia="en-GB"/>
              </w:rPr>
              <w:t>water retention studies</w:t>
            </w:r>
            <w:r>
              <w:rPr>
                <w:rFonts w:eastAsia="Times New Roman"/>
                <w:noProof/>
                <w:color w:val="004300"/>
                <w:sz w:val="18"/>
                <w:szCs w:val="18"/>
                <w:lang w:val="en-IE" w:eastAsia="en-GB"/>
              </w:rPr>
              <w:t xml:space="preserve">.  </w:t>
            </w:r>
          </w:p>
          <w:p w:rsidRPr="668A15E7" w:rsidR="00D87E44" w:rsidP="006B399D" w:rsidRDefault="00D87E44" w14:paraId="15458137"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Final project evaluations for 2 500 projects shall be issued. </w:t>
            </w:r>
            <w:r w:rsidRPr="00FB1C8C">
              <w:rPr>
                <w:rFonts w:eastAsia="Times New Roman"/>
                <w:noProof/>
                <w:color w:val="004300"/>
                <w:sz w:val="18"/>
                <w:szCs w:val="18"/>
                <w:lang w:val="en-IE" w:eastAsia="en-GB"/>
              </w:rPr>
              <w:t>Water retention studies shall cumulatively cover an estimated 4</w:t>
            </w:r>
            <w:r>
              <w:rPr>
                <w:rFonts w:eastAsia="Times New Roman"/>
                <w:noProof/>
                <w:color w:val="004300"/>
                <w:sz w:val="18"/>
                <w:szCs w:val="18"/>
                <w:lang w:val="en-IE" w:eastAsia="en-GB"/>
              </w:rPr>
              <w:t> </w:t>
            </w:r>
            <w:r w:rsidRPr="36BB68C7">
              <w:rPr>
                <w:rFonts w:eastAsia="Times New Roman"/>
                <w:noProof/>
                <w:color w:val="004300"/>
                <w:sz w:val="18"/>
                <w:szCs w:val="18"/>
                <w:lang w:val="en-IE" w:eastAsia="en-GB"/>
              </w:rPr>
              <w:t>000</w:t>
            </w:r>
            <w:r w:rsidRPr="00FB1C8C">
              <w:rPr>
                <w:rFonts w:eastAsia="Times New Roman"/>
                <w:noProof/>
                <w:color w:val="004300"/>
                <w:sz w:val="18"/>
                <w:szCs w:val="18"/>
                <w:lang w:val="en-IE" w:eastAsia="en-GB"/>
              </w:rPr>
              <w:t xml:space="preserve"> km2 of river basin territories.</w:t>
            </w:r>
            <w:r w:rsidRPr="4FC94716">
              <w:rPr>
                <w:rFonts w:eastAsia="Times New Roman"/>
                <w:noProof/>
                <w:color w:val="004300"/>
                <w:sz w:val="18"/>
                <w:szCs w:val="18"/>
                <w:lang w:val="en-IE" w:eastAsia="en-GB"/>
              </w:rPr>
              <w:t xml:space="preserve"> </w:t>
            </w:r>
          </w:p>
        </w:tc>
      </w:tr>
      <w:tr w:rsidRPr="00FE48E2" w:rsidR="00E3458A" w:rsidTr="4A45BCA2" w14:paraId="15458146" w14:textId="77777777">
        <w:trPr>
          <w:trHeight w:val="320"/>
        </w:trPr>
        <w:tc>
          <w:tcPr>
            <w:tcW w:w="243" w:type="pct"/>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39" w14:textId="77777777">
            <w:pPr>
              <w:spacing w:before="0" w:after="0" w:line="240" w:lineRule="auto"/>
              <w:rPr>
                <w:rFonts w:eastAsia="Times New Roman"/>
                <w:noProof/>
                <w:color w:val="004300"/>
                <w:sz w:val="18"/>
                <w:szCs w:val="18"/>
                <w:lang w:val="en-IE" w:eastAsia="en-GB"/>
              </w:rPr>
            </w:pPr>
            <w:r w:rsidRPr="67A8C47F">
              <w:rPr>
                <w:rFonts w:eastAsia="Times New Roman"/>
                <w:noProof/>
                <w:color w:val="004300"/>
                <w:sz w:val="18"/>
                <w:szCs w:val="18"/>
                <w:lang w:val="en-IE" w:eastAsia="en-GB"/>
              </w:rPr>
              <w:t>262</w:t>
            </w:r>
          </w:p>
        </w:tc>
        <w:tc>
          <w:tcPr>
            <w:tcW w:w="47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A" w14:textId="77777777">
            <w:pPr>
              <w:spacing w:before="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 xml:space="preserve">Reform 2: </w:t>
            </w:r>
            <w:r>
              <w:rPr>
                <w:rFonts w:eastAsia="Times New Roman"/>
                <w:noProof/>
                <w:color w:val="004300"/>
                <w:sz w:val="18"/>
                <w:szCs w:val="18"/>
                <w:lang w:val="en-IE" w:eastAsia="en-GB"/>
              </w:rPr>
              <w:t>Establishment</w:t>
            </w:r>
            <w:r w:rsidRPr="00FE48E2">
              <w:rPr>
                <w:rFonts w:eastAsia="Times New Roman"/>
                <w:noProof/>
                <w:color w:val="004300"/>
                <w:sz w:val="18"/>
                <w:szCs w:val="18"/>
                <w:lang w:val="en-IE" w:eastAsia="en-GB"/>
              </w:rPr>
              <w:t xml:space="preserve"> of landscape policy and planning </w:t>
            </w:r>
          </w:p>
          <w:p w:rsidRPr="00FE48E2" w:rsidR="00D87E44" w:rsidRDefault="00D87E44" w14:paraId="1545813B" w14:textId="77777777">
            <w:pPr>
              <w:spacing w:before="0" w:after="0" w:line="240" w:lineRule="auto"/>
              <w:rPr>
                <w:rFonts w:eastAsia="Times New Roman"/>
                <w:noProof/>
                <w:color w:val="004300"/>
                <w:sz w:val="18"/>
                <w:szCs w:val="18"/>
                <w:lang w:val="en-IE" w:eastAsia="en-GB"/>
              </w:rPr>
            </w:pPr>
          </w:p>
        </w:tc>
        <w:tc>
          <w:tcPr>
            <w:tcW w:w="336"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C" w14:textId="77777777">
            <w:pPr>
              <w:spacing w:before="0" w:after="0" w:line="240" w:lineRule="auto"/>
              <w:rPr>
                <w:rFonts w:eastAsia="Times New Roman"/>
                <w:noProof/>
                <w:color w:val="004300"/>
                <w:sz w:val="18"/>
                <w:szCs w:val="18"/>
                <w:lang w:val="en-IE" w:eastAsia="en-GB"/>
              </w:rPr>
            </w:pPr>
            <w:r w:rsidRPr="00FE48E2">
              <w:rPr>
                <w:rFonts w:eastAsia="Times New Roman"/>
                <w:noProof/>
                <w:color w:val="004300"/>
                <w:sz w:val="18"/>
                <w:szCs w:val="18"/>
                <w:lang w:val="en-IE" w:eastAsia="en-GB"/>
              </w:rPr>
              <w:t>Milestone</w:t>
            </w:r>
          </w:p>
        </w:tc>
        <w:tc>
          <w:tcPr>
            <w:tcW w:w="61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3D"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Adoption of an integrated landscape policy and planning</w:t>
            </w:r>
          </w:p>
        </w:tc>
        <w:tc>
          <w:tcPr>
            <w:tcW w:w="399" w:type="pct"/>
            <w:tcBorders>
              <w:top w:val="single" w:color="auto" w:sz="4" w:space="0"/>
              <w:left w:val="single" w:color="auto" w:sz="4" w:space="0"/>
              <w:bottom w:val="single" w:color="auto" w:sz="4" w:space="0"/>
              <w:right w:val="single" w:color="auto" w:sz="4" w:space="0"/>
            </w:tcBorders>
            <w:shd w:val="clear" w:color="auto" w:fill="C6EFCE"/>
          </w:tcPr>
          <w:p w:rsidRPr="00446FF0" w:rsidR="00D87E44" w:rsidRDefault="00D87E44" w14:paraId="1545813E"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Adoption of the landscape </w:t>
            </w:r>
            <w:r w:rsidRPr="006B7328">
              <w:rPr>
                <w:rFonts w:eastAsia="Times New Roman"/>
                <w:noProof/>
                <w:color w:val="004300"/>
                <w:sz w:val="18"/>
                <w:szCs w:val="18"/>
                <w:lang w:val="en-IE" w:eastAsia="en-GB"/>
              </w:rPr>
              <w:t>policy</w:t>
            </w:r>
          </w:p>
          <w:p w:rsidRPr="00FE48E2" w:rsidR="00D87E44" w:rsidRDefault="00D87E44" w14:paraId="1545813F" w14:textId="77777777">
            <w:pPr>
              <w:spacing w:before="0" w:after="0" w:line="240" w:lineRule="auto"/>
              <w:rPr>
                <w:rFonts w:eastAsia="Times New Roman"/>
                <w:noProof/>
                <w:color w:val="004300"/>
                <w:sz w:val="18"/>
                <w:szCs w:val="18"/>
                <w:lang w:val="en-IE" w:eastAsia="en-GB"/>
              </w:rPr>
            </w:pPr>
          </w:p>
        </w:tc>
        <w:tc>
          <w:tcPr>
            <w:tcW w:w="31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40" w14:textId="77777777">
            <w:pPr>
              <w:spacing w:before="0" w:after="0" w:line="240" w:lineRule="auto"/>
              <w:rPr>
                <w:rFonts w:eastAsia="Times New Roman"/>
                <w:noProof/>
                <w:color w:val="004300"/>
                <w:sz w:val="18"/>
                <w:szCs w:val="18"/>
                <w:lang w:val="en-IE" w:eastAsia="en-GB"/>
              </w:rPr>
            </w:pPr>
          </w:p>
        </w:tc>
        <w:tc>
          <w:tcPr>
            <w:tcW w:w="294"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41" w14:textId="77777777">
            <w:pPr>
              <w:spacing w:before="0" w:after="0" w:line="240" w:lineRule="auto"/>
              <w:rPr>
                <w:rFonts w:eastAsia="Times New Roman"/>
                <w:noProof/>
                <w:color w:val="004300"/>
                <w:sz w:val="18"/>
                <w:szCs w:val="18"/>
                <w:lang w:val="en-IE" w:eastAsia="en-GB"/>
              </w:rPr>
            </w:pPr>
          </w:p>
        </w:tc>
        <w:tc>
          <w:tcPr>
            <w:tcW w:w="319"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42" w14:textId="77777777">
            <w:pPr>
              <w:spacing w:before="0" w:after="0" w:line="240" w:lineRule="auto"/>
              <w:rPr>
                <w:rFonts w:eastAsia="Times New Roman"/>
                <w:noProof/>
                <w:color w:val="004300"/>
                <w:sz w:val="18"/>
                <w:szCs w:val="18"/>
                <w:lang w:val="en-IE" w:eastAsia="en-GB"/>
              </w:rPr>
            </w:pPr>
          </w:p>
        </w:tc>
        <w:tc>
          <w:tcPr>
            <w:tcW w:w="357" w:type="pct"/>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143" w14:textId="77777777">
            <w:pPr>
              <w:spacing w:before="0" w:after="0" w:line="240" w:lineRule="auto"/>
              <w:rPr>
                <w:rFonts w:eastAsia="Times New Roman"/>
                <w:noProof/>
                <w:color w:val="004300"/>
                <w:sz w:val="18"/>
                <w:szCs w:val="18"/>
                <w:lang w:val="en-IE" w:eastAsia="en-GB"/>
              </w:rPr>
            </w:pPr>
            <w:r w:rsidRPr="552E1F98">
              <w:rPr>
                <w:rFonts w:eastAsia="Times New Roman"/>
                <w:noProof/>
                <w:color w:val="004300"/>
                <w:sz w:val="18"/>
                <w:szCs w:val="18"/>
                <w:lang w:val="en-IE" w:eastAsia="en-GB"/>
              </w:rPr>
              <w:t>Q2</w:t>
            </w:r>
          </w:p>
        </w:tc>
        <w:tc>
          <w:tcPr>
            <w:tcW w:w="330" w:type="pct"/>
            <w:tcBorders>
              <w:top w:val="single" w:color="auto" w:sz="4" w:space="0"/>
              <w:left w:val="single" w:color="auto" w:sz="4" w:space="0"/>
              <w:bottom w:val="single" w:color="auto" w:sz="4" w:space="0"/>
              <w:right w:val="single" w:color="auto" w:sz="4" w:space="0"/>
            </w:tcBorders>
            <w:shd w:val="clear" w:color="auto" w:fill="C6EFCE"/>
          </w:tcPr>
          <w:p w:rsidRPr="006B7328" w:rsidR="00D87E44" w:rsidRDefault="00D87E44" w14:paraId="15458144" w14:textId="77777777">
            <w:pPr>
              <w:spacing w:before="0" w:after="0" w:line="240" w:lineRule="auto"/>
              <w:rPr>
                <w:rFonts w:eastAsia="Times New Roman"/>
                <w:noProof/>
                <w:color w:val="004300"/>
                <w:sz w:val="18"/>
                <w:szCs w:val="18"/>
                <w:lang w:val="en-IE" w:eastAsia="en-GB"/>
              </w:rPr>
            </w:pPr>
            <w:r w:rsidRPr="006B7328">
              <w:rPr>
                <w:rFonts w:eastAsia="Times New Roman"/>
                <w:noProof/>
                <w:color w:val="004300"/>
                <w:sz w:val="18"/>
                <w:szCs w:val="18"/>
                <w:lang w:val="en-IE" w:eastAsia="en-GB"/>
              </w:rPr>
              <w:t>2025</w:t>
            </w:r>
          </w:p>
        </w:tc>
        <w:tc>
          <w:tcPr>
            <w:tcW w:w="1314" w:type="pct"/>
            <w:tcBorders>
              <w:top w:val="single" w:color="auto" w:sz="4" w:space="0"/>
              <w:left w:val="single" w:color="auto" w:sz="4" w:space="0"/>
              <w:bottom w:val="single" w:color="auto" w:sz="4" w:space="0"/>
              <w:right w:val="single" w:color="auto" w:sz="4" w:space="0"/>
            </w:tcBorders>
            <w:shd w:val="clear" w:color="auto" w:fill="C6EFCE"/>
          </w:tcPr>
          <w:p w:rsidRPr="00FF1320" w:rsidR="00D87E44" w:rsidRDefault="00D87E44" w14:paraId="15458145" w14:textId="77777777">
            <w:pPr>
              <w:spacing w:before="0" w:line="240" w:lineRule="auto"/>
              <w:rPr>
                <w:color w:val="004300"/>
                <w:sz w:val="18"/>
                <w:lang w:val="cs-CZ"/>
              </w:rPr>
            </w:pPr>
            <w:r w:rsidRPr="0E69D517">
              <w:rPr>
                <w:rFonts w:eastAsia="Times New Roman"/>
                <w:noProof/>
                <w:color w:val="004300"/>
                <w:sz w:val="18"/>
                <w:szCs w:val="18"/>
                <w:lang w:val="en-IE" w:eastAsia="en-GB"/>
              </w:rPr>
              <w:t xml:space="preserve">Adoption by the Government of an integrated landscape policy document. The policy shall create an enabling environment for sustainable land management by both public and private sectors. It shall cover at least the following topics: biodiversity, water management, forestry and cultural heritage. </w:t>
            </w:r>
          </w:p>
        </w:tc>
      </w:tr>
    </w:tbl>
    <w:p w:rsidRPr="00FE48E2" w:rsidR="00D87E44" w:rsidP="00D226F4" w:rsidRDefault="00D87E44" w14:paraId="15458147" w14:textId="77777777">
      <w:pPr>
        <w:spacing w:before="0" w:after="0" w:line="240" w:lineRule="auto"/>
        <w:rPr>
          <w:noProof/>
          <w:lang w:val="en-IE"/>
        </w:rPr>
        <w:sectPr w:rsidRPr="00FE48E2" w:rsidR="00C16C1F" w:rsidSect="00D226F4">
          <w:headerReference w:type="even" r:id="R81b8d0cc21e64efc"/>
          <w:headerReference w:type="default" r:id="R38320f1d1bd04acd"/>
          <w:footerReference w:type="even" r:id="R795dd5e24611475e"/>
          <w:footerReference w:type="default" r:id="Rf63b3f14c60645a3"/>
          <w:headerReference w:type="first" r:id="R1230ef111e4841ad"/>
          <w:footerReference w:type="first" r:id="R29f18eedee3e4033"/>
          <w:pgSz w:w="16839" w:h="11907" w:orient="landscape"/>
          <w:pgMar w:top="1134" w:right="1134" w:bottom="1134" w:left="1134" w:header="567" w:footer="567" w:gutter="0"/>
          <w:cols w:space="708"/>
          <w:docGrid w:linePitch="326"/>
        </w:sectPr>
      </w:pPr>
    </w:p>
    <w:p w:rsidRPr="00FE48E2" w:rsidR="00D87E44" w:rsidP="00D226F4" w:rsidRDefault="00D87E44" w14:paraId="15458148" w14:textId="77777777">
      <w:pPr>
        <w:keepNext/>
        <w:tabs>
          <w:tab w:val="left" w:pos="850"/>
        </w:tabs>
        <w:spacing w:line="240" w:lineRule="auto"/>
        <w:jc w:val="both"/>
        <w:outlineLvl w:val="0"/>
        <w:rPr>
          <w:b/>
          <w:bCs/>
          <w:smallCaps/>
          <w:noProof/>
          <w:lang w:val="en-IE"/>
        </w:rPr>
      </w:pPr>
      <w:r w:rsidRPr="0DE2946C">
        <w:rPr>
          <w:b/>
          <w:bCs/>
          <w:caps/>
          <w:noProof/>
          <w:lang w:val="en-IE"/>
        </w:rPr>
        <w:lastRenderedPageBreak/>
        <w:t xml:space="preserve">Q. </w:t>
      </w:r>
      <w:r w:rsidRPr="0DE2946C">
        <w:rPr>
          <w:b/>
          <w:bCs/>
          <w:noProof/>
          <w:lang w:val="en-IE"/>
        </w:rPr>
        <w:t>COMPONENT</w:t>
      </w:r>
      <w:r w:rsidRPr="00FF1320">
        <w:rPr>
          <w:b/>
          <w:lang w:val="en-IE"/>
        </w:rPr>
        <w:t xml:space="preserve"> 2.10</w:t>
      </w:r>
      <w:r w:rsidRPr="0DE2946C">
        <w:rPr>
          <w:b/>
          <w:bCs/>
          <w:smallCaps/>
          <w:noProof/>
          <w:lang w:val="en-IE"/>
        </w:rPr>
        <w:t xml:space="preserve"> Affordable housing</w:t>
      </w:r>
    </w:p>
    <w:p w:rsidR="00D87E44" w:rsidP="00D226F4" w:rsidRDefault="00D87E44" w14:paraId="15458149" w14:textId="77777777">
      <w:pPr>
        <w:keepNext/>
        <w:tabs>
          <w:tab w:val="left" w:pos="850"/>
        </w:tabs>
        <w:spacing w:line="240" w:lineRule="auto"/>
        <w:jc w:val="both"/>
        <w:rPr>
          <w:rFonts w:eastAsia="Times New Roman"/>
          <w:noProof/>
          <w:color w:val="000000" w:themeColor="text1"/>
          <w:lang w:val="en-IE"/>
        </w:rPr>
      </w:pPr>
      <w:r w:rsidRPr="6FB80703">
        <w:rPr>
          <w:noProof/>
          <w:lang w:val="en-IE"/>
        </w:rPr>
        <w:t xml:space="preserve">This component of the Czech recovery and resilience plan contributes to </w:t>
      </w:r>
      <w:r w:rsidRPr="6FCFFCBC">
        <w:rPr>
          <w:noProof/>
          <w:lang w:val="en-IE"/>
        </w:rPr>
        <w:t>addressing the</w:t>
      </w:r>
      <w:r w:rsidRPr="6FCFFCBC" w:rsidDel="00750446">
        <w:rPr>
          <w:noProof/>
          <w:lang w:val="en-IE"/>
        </w:rPr>
        <w:t xml:space="preserve"> </w:t>
      </w:r>
      <w:r w:rsidRPr="00FE48E2" w:rsidDel="00750446">
        <w:rPr>
          <w:rFonts w:eastAsia="Times New Roman"/>
          <w:noProof/>
          <w:color w:val="000000" w:themeColor="text1"/>
          <w:lang w:val="en-IE"/>
        </w:rPr>
        <w:t>current and</w:t>
      </w:r>
      <w:r w:rsidRPr="00FE48E2">
        <w:rPr>
          <w:rFonts w:eastAsia="Times New Roman"/>
          <w:noProof/>
          <w:color w:val="000000" w:themeColor="text1"/>
          <w:lang w:val="en-IE"/>
        </w:rPr>
        <w:t xml:space="preserve"> escalating housing </w:t>
      </w:r>
      <w:r w:rsidRPr="6FCFFCBC">
        <w:rPr>
          <w:rFonts w:eastAsia="Times New Roman"/>
          <w:noProof/>
          <w:color w:val="000000" w:themeColor="text1"/>
          <w:lang w:val="en-IE"/>
        </w:rPr>
        <w:t>afford</w:t>
      </w:r>
      <w:r w:rsidRPr="6FCFFCBC" w:rsidDel="001D3543">
        <w:rPr>
          <w:rFonts w:eastAsia="Times New Roman"/>
          <w:noProof/>
          <w:color w:val="000000" w:themeColor="text1"/>
          <w:lang w:val="en-IE"/>
        </w:rPr>
        <w:t>ability</w:t>
      </w:r>
      <w:r w:rsidRPr="00FE48E2">
        <w:rPr>
          <w:rFonts w:eastAsia="Times New Roman"/>
          <w:noProof/>
          <w:color w:val="000000" w:themeColor="text1"/>
          <w:lang w:val="en-IE"/>
        </w:rPr>
        <w:t xml:space="preserve"> crisis</w:t>
      </w:r>
      <w:r w:rsidRPr="6FCFFCBC">
        <w:rPr>
          <w:rFonts w:eastAsia="Times New Roman"/>
          <w:noProof/>
          <w:color w:val="000000" w:themeColor="text1"/>
          <w:lang w:val="en-IE"/>
        </w:rPr>
        <w:t>.</w:t>
      </w:r>
      <w:r>
        <w:rPr>
          <w:rFonts w:eastAsia="Times New Roman"/>
          <w:noProof/>
          <w:color w:val="000000" w:themeColor="text1"/>
          <w:lang w:val="en-IE"/>
        </w:rPr>
        <w:t xml:space="preserve"> It aims to increase</w:t>
      </w:r>
      <w:r w:rsidRPr="00FE48E2">
        <w:rPr>
          <w:rFonts w:eastAsia="Times New Roman"/>
          <w:noProof/>
          <w:color w:val="000000" w:themeColor="text1"/>
          <w:lang w:val="en-IE"/>
        </w:rPr>
        <w:t xml:space="preserve"> the supply</w:t>
      </w:r>
      <w:r w:rsidRPr="00FE48E2" w:rsidDel="00052831">
        <w:rPr>
          <w:rFonts w:eastAsia="Times New Roman"/>
          <w:noProof/>
          <w:color w:val="000000" w:themeColor="text1"/>
          <w:lang w:val="en-IE"/>
        </w:rPr>
        <w:t xml:space="preserve"> </w:t>
      </w:r>
      <w:r w:rsidRPr="00FE48E2">
        <w:rPr>
          <w:rFonts w:eastAsia="Times New Roman"/>
          <w:noProof/>
          <w:color w:val="000000" w:themeColor="text1"/>
          <w:lang w:val="en-IE"/>
        </w:rPr>
        <w:t>of affordable housing</w:t>
      </w:r>
      <w:r>
        <w:rPr>
          <w:rFonts w:eastAsia="Times New Roman"/>
          <w:noProof/>
          <w:color w:val="000000" w:themeColor="text1"/>
          <w:lang w:val="en-IE"/>
        </w:rPr>
        <w:t xml:space="preserve"> by providing </w:t>
      </w:r>
      <w:r w:rsidRPr="6FCFFCBC">
        <w:rPr>
          <w:rFonts w:eastAsia="Times New Roman"/>
          <w:noProof/>
          <w:color w:val="000000" w:themeColor="text1"/>
          <w:lang w:val="en-IE"/>
        </w:rPr>
        <w:t>concessional</w:t>
      </w:r>
      <w:r>
        <w:rPr>
          <w:rFonts w:eastAsia="Times New Roman"/>
          <w:noProof/>
          <w:color w:val="000000" w:themeColor="text1"/>
          <w:lang w:val="en-IE"/>
        </w:rPr>
        <w:t xml:space="preserve"> and subordinated loans to investors as well as establishing a public-private co-investment fund for </w:t>
      </w:r>
      <w:r w:rsidRPr="006E3127">
        <w:rPr>
          <w:rFonts w:eastAsia="Times New Roman"/>
          <w:noProof/>
          <w:color w:val="000000" w:themeColor="text1"/>
          <w:lang w:val="en-IE"/>
        </w:rPr>
        <w:t>the acquisition, renovation and construction</w:t>
      </w:r>
      <w:r>
        <w:rPr>
          <w:rFonts w:eastAsia="Times New Roman"/>
          <w:noProof/>
          <w:color w:val="000000" w:themeColor="text1"/>
          <w:lang w:val="en-IE"/>
        </w:rPr>
        <w:t xml:space="preserve"> of affordable housing.</w:t>
      </w:r>
      <w:r w:rsidRPr="00FE48E2">
        <w:rPr>
          <w:rFonts w:eastAsia="Times New Roman"/>
          <w:noProof/>
          <w:color w:val="000000" w:themeColor="text1"/>
          <w:lang w:val="en-IE"/>
        </w:rPr>
        <w:t xml:space="preserve"> </w:t>
      </w:r>
    </w:p>
    <w:p w:rsidRPr="00283525" w:rsidR="00D87E44" w:rsidP="00D226F4" w:rsidRDefault="00D87E44" w14:paraId="1545814A" w14:textId="77777777">
      <w:pPr>
        <w:spacing w:line="240" w:lineRule="auto"/>
        <w:rPr>
          <w:rFonts w:eastAsia="Times New Roman"/>
          <w:noProof/>
          <w:color w:val="000000" w:themeColor="text1"/>
          <w:szCs w:val="24"/>
          <w:lang w:val="en-IE"/>
        </w:rPr>
      </w:pPr>
      <w:r w:rsidRPr="00283525">
        <w:rPr>
          <w:rFonts w:eastAsia="Times New Roman"/>
          <w:noProof/>
          <w:color w:val="000000" w:themeColor="text1"/>
          <w:szCs w:val="24"/>
          <w:lang w:val="en-IE"/>
        </w:rPr>
        <w:t>The component consists of a housing reform</w:t>
      </w:r>
      <w:r>
        <w:rPr>
          <w:rFonts w:eastAsia="Times New Roman"/>
          <w:noProof/>
          <w:color w:val="000000" w:themeColor="text1"/>
          <w:szCs w:val="24"/>
          <w:lang w:val="en-IE"/>
        </w:rPr>
        <w:t xml:space="preserve">, a housing advisory hub and a network of regional housing advisory centres, </w:t>
      </w:r>
      <w:r w:rsidRPr="00413122">
        <w:rPr>
          <w:rFonts w:eastAsia="Times New Roman"/>
          <w:noProof/>
          <w:color w:val="000000" w:themeColor="text1"/>
          <w:szCs w:val="24"/>
          <w:lang w:val="en-IE"/>
        </w:rPr>
        <w:t xml:space="preserve">and three </w:t>
      </w:r>
      <w:r w:rsidRPr="004328C6">
        <w:rPr>
          <w:rFonts w:eastAsia="Times New Roman"/>
          <w:noProof/>
          <w:color w:val="000000" w:themeColor="text1"/>
          <w:szCs w:val="24"/>
          <w:lang w:val="en-IE"/>
        </w:rPr>
        <w:t xml:space="preserve">financial instruments focusing on </w:t>
      </w:r>
      <w:r w:rsidRPr="2809E5BA">
        <w:rPr>
          <w:rFonts w:eastAsia="Times New Roman"/>
          <w:noProof/>
          <w:color w:val="000000" w:themeColor="text1"/>
          <w:lang w:val="en-IE"/>
        </w:rPr>
        <w:t>maximi</w:t>
      </w:r>
      <w:r>
        <w:rPr>
          <w:rFonts w:eastAsia="Times New Roman"/>
          <w:noProof/>
          <w:color w:val="000000" w:themeColor="text1"/>
          <w:lang w:val="en-IE"/>
        </w:rPr>
        <w:t>si</w:t>
      </w:r>
      <w:r w:rsidRPr="2809E5BA">
        <w:rPr>
          <w:rFonts w:eastAsia="Times New Roman"/>
          <w:noProof/>
          <w:color w:val="000000" w:themeColor="text1"/>
          <w:lang w:val="en-IE"/>
        </w:rPr>
        <w:t>ng access to finance and leveraging private capital</w:t>
      </w:r>
      <w:r w:rsidRPr="00283525">
        <w:rPr>
          <w:rFonts w:eastAsia="Times New Roman"/>
          <w:noProof/>
          <w:color w:val="000000" w:themeColor="text1"/>
          <w:szCs w:val="24"/>
          <w:lang w:val="en-IE"/>
        </w:rPr>
        <w:t>:</w:t>
      </w:r>
    </w:p>
    <w:p w:rsidRPr="00E3458A" w:rsidR="00D87E44" w:rsidP="00FF1320" w:rsidRDefault="00D87E44" w14:paraId="1545814B" w14:textId="77777777">
      <w:pPr>
        <w:pStyle w:val="ListParagraph"/>
        <w:numPr>
          <w:ilvl w:val="0"/>
          <w:numId w:val="53"/>
        </w:numPr>
        <w:spacing w:after="160" w:line="240" w:lineRule="auto"/>
        <w:rPr>
          <w:color w:val="000000" w:themeColor="text1"/>
          <w:lang w:val="en-IE"/>
        </w:rPr>
      </w:pPr>
      <w:r w:rsidRPr="00E3458A">
        <w:rPr>
          <w:color w:val="000000" w:themeColor="text1"/>
          <w:lang w:val="en-IE"/>
        </w:rPr>
        <w:t>A concessional loans facility</w:t>
      </w:r>
    </w:p>
    <w:p w:rsidRPr="00E3458A" w:rsidR="00D87E44" w:rsidP="00FF1320" w:rsidRDefault="00D87E44" w14:paraId="1545814C" w14:textId="77777777">
      <w:pPr>
        <w:pStyle w:val="ListParagraph"/>
        <w:numPr>
          <w:ilvl w:val="0"/>
          <w:numId w:val="53"/>
        </w:numPr>
        <w:spacing w:after="160" w:line="240" w:lineRule="auto"/>
        <w:rPr>
          <w:color w:val="000000" w:themeColor="text1"/>
          <w:lang w:val="en-IE"/>
        </w:rPr>
      </w:pPr>
      <w:r w:rsidRPr="00E3458A">
        <w:rPr>
          <w:color w:val="000000" w:themeColor="text1"/>
          <w:lang w:val="en-IE"/>
        </w:rPr>
        <w:t>A subordinated loans facility</w:t>
      </w:r>
    </w:p>
    <w:p w:rsidRPr="00E3458A" w:rsidR="00D87E44" w:rsidP="00FF1320" w:rsidRDefault="00D87E44" w14:paraId="1545814D" w14:textId="77777777">
      <w:pPr>
        <w:pStyle w:val="ListParagraph"/>
        <w:numPr>
          <w:ilvl w:val="0"/>
          <w:numId w:val="53"/>
        </w:numPr>
        <w:spacing w:after="160" w:line="240" w:lineRule="auto"/>
        <w:rPr>
          <w:color w:val="000000" w:themeColor="text1"/>
          <w:lang w:val="en-IE"/>
        </w:rPr>
      </w:pPr>
      <w:r w:rsidRPr="00E3458A">
        <w:rPr>
          <w:color w:val="000000" w:themeColor="text1"/>
          <w:lang w:val="en-IE"/>
        </w:rPr>
        <w:t xml:space="preserve">A </w:t>
      </w:r>
      <w:r w:rsidRPr="00E3458A">
        <w:rPr>
          <w:color w:val="000000" w:themeColor="text1"/>
          <w:lang w:val="en-IE"/>
        </w:rPr>
        <w:t>public-private co-investment fund</w:t>
      </w:r>
    </w:p>
    <w:p w:rsidR="00D87E44" w:rsidP="00D226F4" w:rsidRDefault="00D87E44" w14:paraId="1545814E" w14:textId="77777777">
      <w:pPr>
        <w:spacing w:line="240" w:lineRule="auto"/>
        <w:jc w:val="both"/>
        <w:rPr>
          <w:rFonts w:eastAsia="Times New Roman"/>
          <w:noProof/>
          <w:color w:val="000000" w:themeColor="text1"/>
          <w:lang w:val="en-IE"/>
        </w:rPr>
      </w:pPr>
      <w:r w:rsidRPr="011F3C73">
        <w:rPr>
          <w:rFonts w:eastAsia="Times New Roman"/>
          <w:noProof/>
          <w:color w:val="000000" w:themeColor="text1"/>
          <w:lang w:val="en-IE"/>
        </w:rPr>
        <w:t>The component supports</w:t>
      </w:r>
      <w:r w:rsidRPr="00FE48E2">
        <w:rPr>
          <w:rFonts w:eastAsia="Times New Roman"/>
          <w:noProof/>
          <w:color w:val="000000" w:themeColor="text1"/>
          <w:lang w:val="en-IE"/>
        </w:rPr>
        <w:t xml:space="preserve"> addressing the country specific recommendations on </w:t>
      </w:r>
      <w:r>
        <w:rPr>
          <w:rFonts w:eastAsia="Times New Roman"/>
          <w:noProof/>
          <w:color w:val="000000" w:themeColor="text1"/>
          <w:lang w:val="en-IE"/>
        </w:rPr>
        <w:t xml:space="preserve">strengthening the provision of social and affordable housing, including through the adoption of a specific legislative framework for social housing and better coordination between different bodies (CSR 3 </w:t>
      </w:r>
      <w:r w:rsidRPr="0B1D0147">
        <w:rPr>
          <w:rFonts w:eastAsia="Times New Roman"/>
          <w:noProof/>
          <w:color w:val="000000" w:themeColor="text1"/>
          <w:lang w:val="en-IE"/>
        </w:rPr>
        <w:t>2022</w:t>
      </w:r>
      <w:r w:rsidRPr="00FE48E2">
        <w:rPr>
          <w:rFonts w:eastAsia="Times New Roman"/>
          <w:noProof/>
          <w:color w:val="000000" w:themeColor="text1"/>
          <w:lang w:val="en-IE"/>
        </w:rPr>
        <w:t>)</w:t>
      </w:r>
      <w:r>
        <w:rPr>
          <w:rFonts w:eastAsia="Times New Roman"/>
          <w:noProof/>
          <w:color w:val="000000" w:themeColor="text1"/>
          <w:lang w:val="en-IE"/>
        </w:rPr>
        <w:t>.</w:t>
      </w:r>
    </w:p>
    <w:p w:rsidRPr="007747A1" w:rsidR="00D87E44" w:rsidP="00D226F4" w:rsidRDefault="00D87E44" w14:paraId="1545814F" w14:textId="77777777">
      <w:pPr>
        <w:spacing w:line="276" w:lineRule="auto"/>
        <w:jc w:val="both"/>
        <w:rPr>
          <w:noProof/>
          <w:sz w:val="22"/>
          <w:lang w:val="en-IE"/>
        </w:rPr>
      </w:pPr>
      <w:r>
        <w:rPr>
          <w:noProof/>
        </w:rPr>
        <w:t xml:space="preserve">It is expected that no measure in this component does significant harm to environmental objectives within the meaning of Article 17 of Regulation (EU) 2020/852, taking into account the </w:t>
      </w:r>
      <w:r>
        <w:rPr>
          <w:noProof/>
        </w:rPr>
        <w:t>description of the measures and the mitigating steps set out in the recovery and resilience plan in accordance with the DNSH Technical Guidance (2021/C58/01).</w:t>
      </w:r>
    </w:p>
    <w:p w:rsidR="00D87E44" w:rsidP="00D226F4" w:rsidRDefault="00D87E44" w14:paraId="15458150" w14:textId="77777777">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lang w:val="en-IE"/>
        </w:rPr>
      </w:pPr>
    </w:p>
    <w:p w:rsidRPr="00FE48E2" w:rsidR="00D87E44" w:rsidP="00D226F4" w:rsidRDefault="00D87E44" w14:paraId="15458151" w14:textId="77777777">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lang w:val="en-IE"/>
        </w:rPr>
      </w:pPr>
      <w:r w:rsidRPr="0DE2946C">
        <w:rPr>
          <w:rFonts w:eastAsia="Times New Roman"/>
          <w:b/>
          <w:bCs/>
          <w:noProof/>
          <w:color w:val="000000" w:themeColor="text1"/>
          <w:u w:val="single"/>
          <w:lang w:val="en-IE"/>
        </w:rPr>
        <w:t>Q.1. Description of the reforms and investments for non-repayable financial support</w:t>
      </w:r>
    </w:p>
    <w:p w:rsidRPr="00FA10BA" w:rsidR="00D87E44" w:rsidP="00D226F4" w:rsidRDefault="00D87E44" w14:paraId="15458152" w14:textId="77777777">
      <w:pPr>
        <w:spacing w:line="240" w:lineRule="auto"/>
        <w:jc w:val="both"/>
        <w:rPr>
          <w:b/>
          <w:noProof/>
          <w:color w:val="000000" w:themeColor="text1"/>
          <w:lang w:val="en-IE"/>
        </w:rPr>
      </w:pPr>
      <w:r w:rsidRPr="5FDE66B2">
        <w:rPr>
          <w:rFonts w:eastAsia="Times New Roman"/>
          <w:b/>
          <w:bCs/>
          <w:noProof/>
          <w:color w:val="000000" w:themeColor="text1"/>
          <w:lang w:val="en-IE"/>
        </w:rPr>
        <w:t xml:space="preserve">Reform 1: </w:t>
      </w:r>
      <w:r w:rsidRPr="05CE5CC0">
        <w:rPr>
          <w:rFonts w:eastAsia="Times New Roman"/>
          <w:b/>
          <w:bCs/>
          <w:noProof/>
          <w:color w:val="000000" w:themeColor="text1"/>
          <w:lang w:val="en-IE"/>
        </w:rPr>
        <w:t>Leg</w:t>
      </w:r>
      <w:r>
        <w:rPr>
          <w:rFonts w:eastAsia="Times New Roman"/>
          <w:b/>
          <w:bCs/>
          <w:noProof/>
          <w:color w:val="000000" w:themeColor="text1"/>
          <w:lang w:val="en-IE"/>
        </w:rPr>
        <w:t xml:space="preserve">al act </w:t>
      </w:r>
      <w:r w:rsidRPr="22AE392A">
        <w:rPr>
          <w:rFonts w:eastAsia="Times New Roman"/>
          <w:b/>
          <w:bCs/>
          <w:noProof/>
          <w:color w:val="000000" w:themeColor="text1"/>
          <w:lang w:val="en-IE"/>
        </w:rPr>
        <w:t xml:space="preserve">on </w:t>
      </w:r>
      <w:r w:rsidRPr="05CE5CC0">
        <w:rPr>
          <w:rFonts w:eastAsia="Times New Roman"/>
          <w:b/>
          <w:bCs/>
          <w:noProof/>
          <w:color w:val="000000" w:themeColor="text1"/>
          <w:lang w:val="en-IE"/>
        </w:rPr>
        <w:t>affordable housing</w:t>
      </w:r>
    </w:p>
    <w:p w:rsidRPr="006A21DB" w:rsidR="00D87E44" w:rsidP="00D226F4" w:rsidRDefault="00D87E44" w14:paraId="15458153" w14:textId="77777777">
      <w:pPr>
        <w:spacing w:line="240" w:lineRule="auto"/>
        <w:jc w:val="both"/>
        <w:rPr>
          <w:rFonts w:eastAsia="Times New Roman"/>
          <w:noProof/>
          <w:lang w:val="en-IE"/>
        </w:rPr>
      </w:pPr>
      <w:r w:rsidRPr="4A45BCA2">
        <w:rPr>
          <w:rFonts w:eastAsia="Times New Roman"/>
          <w:noProof/>
          <w:color w:val="000000" w:themeColor="text1"/>
          <w:lang w:val="en-IE"/>
        </w:rPr>
        <w:t>The objective</w:t>
      </w:r>
      <w:r w:rsidRPr="4A45BCA2">
        <w:rPr>
          <w:color w:val="000000" w:themeColor="text1"/>
          <w:lang w:val="en-IE"/>
        </w:rPr>
        <w:t xml:space="preserve"> of the </w:t>
      </w:r>
      <w:r w:rsidRPr="4A45BCA2">
        <w:rPr>
          <w:rFonts w:eastAsia="Times New Roman"/>
          <w:noProof/>
          <w:color w:val="000000" w:themeColor="text1"/>
          <w:lang w:val="en-IE"/>
        </w:rPr>
        <w:t>reform is to increase the affordability of housing by adopting a legal act</w:t>
      </w:r>
      <w:r w:rsidRPr="4A45BCA2">
        <w:rPr>
          <w:rFonts w:eastAsia="Times New Roman"/>
          <w:noProof/>
          <w:lang w:val="en-IE"/>
        </w:rPr>
        <w:t xml:space="preserve"> on housing support. The reform consists</w:t>
      </w:r>
      <w:r w:rsidRPr="4A45BCA2">
        <w:rPr>
          <w:lang w:val="en-IE"/>
        </w:rPr>
        <w:t xml:space="preserve"> of </w:t>
      </w:r>
      <w:r w:rsidRPr="4A45BCA2">
        <w:rPr>
          <w:rFonts w:eastAsia="Times New Roman"/>
          <w:noProof/>
          <w:color w:val="000000" w:themeColor="text1"/>
          <w:lang w:val="en-IE"/>
        </w:rPr>
        <w:t>the entry into force of legal provisions establish</w:t>
      </w:r>
      <w:r w:rsidRPr="4A45BCA2">
        <w:rPr>
          <w:rFonts w:eastAsiaTheme="minorEastAsia"/>
          <w:noProof/>
          <w:lang w:val="en-IE"/>
        </w:rPr>
        <w:t xml:space="preserve">ing mechanisms helping </w:t>
      </w:r>
      <w:r w:rsidRPr="4A45BCA2">
        <w:rPr>
          <w:rFonts w:eastAsiaTheme="minorEastAsia"/>
          <w:noProof/>
          <w:lang w:val="en-IE"/>
        </w:rPr>
        <w:t>applicants find housing and incentivising</w:t>
      </w:r>
      <w:r w:rsidRPr="4A45BCA2">
        <w:rPr>
          <w:lang w:val="en-IE"/>
        </w:rPr>
        <w:t xml:space="preserve"> the </w:t>
      </w:r>
      <w:r w:rsidRPr="4A45BCA2">
        <w:rPr>
          <w:rFonts w:eastAsiaTheme="minorEastAsia"/>
          <w:noProof/>
          <w:lang w:val="en-IE"/>
        </w:rPr>
        <w:t xml:space="preserve">use of empty housing </w:t>
      </w:r>
      <w:r w:rsidRPr="4A45BCA2">
        <w:rPr>
          <w:rFonts w:eastAsia="Times New Roman"/>
          <w:noProof/>
          <w:color w:val="000000" w:themeColor="text1"/>
          <w:lang w:val="en-IE"/>
        </w:rPr>
        <w:t>by</w:t>
      </w:r>
      <w:r w:rsidRPr="4A45BCA2">
        <w:rPr>
          <w:rFonts w:eastAsiaTheme="minorEastAsia"/>
          <w:noProof/>
          <w:lang w:val="en-IE"/>
        </w:rPr>
        <w:t xml:space="preserve"> helping tenants fulfil their obligations towards landlords.</w:t>
      </w:r>
    </w:p>
    <w:p w:rsidR="00D87E44" w:rsidP="00D226F4" w:rsidRDefault="00D87E44" w14:paraId="15458154" w14:textId="77777777">
      <w:pPr>
        <w:spacing w:after="160" w:line="259" w:lineRule="auto"/>
        <w:rPr>
          <w:rFonts w:eastAsia="Times New Roman"/>
          <w:b/>
          <w:noProof/>
          <w:color w:val="000000" w:themeColor="text1"/>
          <w:lang w:val="en-IE"/>
        </w:rPr>
      </w:pPr>
      <w:r w:rsidRPr="00FE48E2">
        <w:rPr>
          <w:rFonts w:eastAsia="Times New Roman"/>
          <w:b/>
          <w:noProof/>
          <w:color w:val="000000" w:themeColor="text1"/>
          <w:lang w:val="en-IE"/>
        </w:rPr>
        <w:t xml:space="preserve">Investment 3: Co-Investment </w:t>
      </w:r>
      <w:r>
        <w:rPr>
          <w:rFonts w:eastAsia="Times New Roman"/>
          <w:b/>
          <w:noProof/>
          <w:color w:val="000000" w:themeColor="text1"/>
          <w:lang w:val="en-IE"/>
        </w:rPr>
        <w:t>Facility</w:t>
      </w:r>
      <w:r w:rsidRPr="00FE48E2">
        <w:rPr>
          <w:rFonts w:eastAsia="Times New Roman"/>
          <w:b/>
          <w:noProof/>
          <w:color w:val="000000" w:themeColor="text1"/>
          <w:lang w:val="en-IE"/>
        </w:rPr>
        <w:t xml:space="preserve"> </w:t>
      </w:r>
    </w:p>
    <w:p w:rsidRPr="00C63536" w:rsidR="00D87E44" w:rsidP="00D226F4" w:rsidRDefault="00D87E44" w14:paraId="15458155" w14:textId="77777777">
      <w:pPr>
        <w:spacing w:after="160" w:line="259"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 xml:space="preserve">This </w:t>
      </w:r>
      <w:r>
        <w:rPr>
          <w:rFonts w:eastAsia="Times New Roman"/>
          <w:noProof/>
          <w:color w:val="000000" w:themeColor="text1"/>
          <w:szCs w:val="24"/>
          <w:lang w:val="en-IE"/>
        </w:rPr>
        <w:t>measure</w:t>
      </w:r>
      <w:r w:rsidRPr="00FE48E2">
        <w:rPr>
          <w:rFonts w:eastAsia="Times New Roman"/>
          <w:noProof/>
          <w:color w:val="000000" w:themeColor="text1"/>
          <w:szCs w:val="24"/>
          <w:lang w:val="en-IE"/>
        </w:rPr>
        <w:t xml:space="preserve"> shall consist of a public investment in a public-private co-investment </w:t>
      </w:r>
      <w:r>
        <w:rPr>
          <w:rFonts w:eastAsia="Times New Roman"/>
          <w:noProof/>
          <w:color w:val="000000" w:themeColor="text1"/>
          <w:szCs w:val="24"/>
          <w:lang w:val="en-IE"/>
        </w:rPr>
        <w:t>Facility</w:t>
      </w:r>
      <w:r w:rsidRPr="00FE48E2">
        <w:rPr>
          <w:rFonts w:eastAsia="Times New Roman"/>
          <w:noProof/>
          <w:color w:val="000000" w:themeColor="text1"/>
          <w:szCs w:val="24"/>
          <w:lang w:val="en-IE"/>
        </w:rPr>
        <w:t xml:space="preserve"> aiming to improve access to affordable housing</w:t>
      </w:r>
      <w:r>
        <w:rPr>
          <w:rFonts w:eastAsia="Times New Roman"/>
          <w:noProof/>
          <w:color w:val="000000" w:themeColor="text1"/>
          <w:szCs w:val="24"/>
          <w:lang w:val="en-IE"/>
        </w:rPr>
        <w:t xml:space="preserve"> in Czechia</w:t>
      </w:r>
      <w:r w:rsidRPr="00FE48E2">
        <w:rPr>
          <w:rFonts w:eastAsia="Times New Roman"/>
          <w:noProof/>
          <w:color w:val="000000" w:themeColor="text1"/>
          <w:szCs w:val="24"/>
          <w:lang w:val="en-IE"/>
        </w:rPr>
        <w:t xml:space="preserve">. </w:t>
      </w:r>
      <w:r w:rsidRPr="00A165CA">
        <w:rPr>
          <w:noProof/>
          <w:szCs w:val="24"/>
        </w:rPr>
        <w:t>The Facility shall operate by investing</w:t>
      </w:r>
      <w:r w:rsidRPr="00737A78">
        <w:rPr>
          <w:noProof/>
          <w:szCs w:val="24"/>
        </w:rPr>
        <w:t xml:space="preserve"> </w:t>
      </w:r>
      <w:r w:rsidRPr="00A165CA">
        <w:rPr>
          <w:noProof/>
          <w:szCs w:val="24"/>
        </w:rPr>
        <w:t xml:space="preserve">directly into real estate. On the basis of the RRF investment, the Facility aims </w:t>
      </w:r>
      <w:r>
        <w:rPr>
          <w:noProof/>
          <w:szCs w:val="24"/>
        </w:rPr>
        <w:t>at</w:t>
      </w:r>
      <w:r w:rsidRPr="00A165CA">
        <w:rPr>
          <w:noProof/>
          <w:szCs w:val="24"/>
        </w:rPr>
        <w:t xml:space="preserve"> </w:t>
      </w:r>
      <w:r w:rsidRPr="00C63536">
        <w:rPr>
          <w:rFonts w:eastAsia="Times New Roman"/>
          <w:noProof/>
          <w:color w:val="000000" w:themeColor="text1"/>
          <w:szCs w:val="24"/>
          <w:lang w:val="en-IE"/>
        </w:rPr>
        <w:t>initially invest</w:t>
      </w:r>
      <w:r>
        <w:rPr>
          <w:rFonts w:eastAsia="Times New Roman"/>
          <w:noProof/>
          <w:color w:val="000000" w:themeColor="text1"/>
          <w:szCs w:val="24"/>
          <w:lang w:val="en-IE"/>
        </w:rPr>
        <w:t>ing</w:t>
      </w:r>
      <w:r w:rsidRPr="00C63536">
        <w:rPr>
          <w:rFonts w:eastAsia="Times New Roman"/>
          <w:noProof/>
          <w:color w:val="000000" w:themeColor="text1"/>
          <w:szCs w:val="24"/>
          <w:lang w:val="en-IE"/>
        </w:rPr>
        <w:t xml:space="preserve"> at least EUR 39</w:t>
      </w:r>
      <w:r>
        <w:rPr>
          <w:rFonts w:eastAsia="Times New Roman"/>
          <w:noProof/>
          <w:color w:val="000000" w:themeColor="text1"/>
          <w:szCs w:val="24"/>
          <w:lang w:val="en-IE"/>
        </w:rPr>
        <w:t> </w:t>
      </w:r>
      <w:r w:rsidRPr="00C63536">
        <w:rPr>
          <w:rFonts w:eastAsia="Times New Roman"/>
          <w:noProof/>
          <w:color w:val="000000" w:themeColor="text1"/>
          <w:szCs w:val="24"/>
          <w:lang w:val="en-IE"/>
        </w:rPr>
        <w:t>574 000</w:t>
      </w:r>
      <w:r w:rsidRPr="00A165CA">
        <w:rPr>
          <w:rFonts w:eastAsia="Times New Roman"/>
          <w:noProof/>
          <w:color w:val="000000" w:themeColor="text1"/>
          <w:lang w:val="en-IE"/>
        </w:rPr>
        <w:t>.</w:t>
      </w:r>
    </w:p>
    <w:p w:rsidRPr="00C63536" w:rsidR="00D87E44" w:rsidP="00D226F4" w:rsidRDefault="00D87E44" w14:paraId="15458156" w14:textId="77777777">
      <w:pPr>
        <w:spacing w:line="240" w:lineRule="auto"/>
        <w:jc w:val="both"/>
        <w:rPr>
          <w:rFonts w:eastAsia="Times New Roman"/>
          <w:noProof/>
          <w:color w:val="000000" w:themeColor="text1"/>
          <w:lang w:val="en-IE"/>
        </w:rPr>
      </w:pPr>
      <w:r w:rsidRPr="7A3406BA">
        <w:rPr>
          <w:noProof/>
        </w:rPr>
        <w:t xml:space="preserve">The Facility shall be managed </w:t>
      </w:r>
      <w:r w:rsidRPr="7A3406BA">
        <w:rPr>
          <w:rFonts w:eastAsia="Times New Roman"/>
          <w:noProof/>
          <w:color w:val="000000" w:themeColor="text1"/>
          <w:lang w:val="en-IE"/>
        </w:rPr>
        <w:t>by the National Development Investment Company as the implementing partner.</w:t>
      </w:r>
    </w:p>
    <w:p w:rsidRPr="00363AD5" w:rsidR="00D87E44" w:rsidP="00D226F4" w:rsidRDefault="00D87E44" w14:paraId="15458157" w14:textId="77777777">
      <w:pPr>
        <w:spacing w:line="240" w:lineRule="auto"/>
        <w:jc w:val="both"/>
        <w:rPr>
          <w:noProof/>
          <w:szCs w:val="24"/>
        </w:rPr>
      </w:pPr>
      <w:r w:rsidRPr="00C63536">
        <w:rPr>
          <w:rFonts w:eastAsia="Times New Roman"/>
          <w:noProof/>
          <w:color w:val="000000" w:themeColor="text1"/>
          <w:szCs w:val="24"/>
          <w:lang w:val="en-IE"/>
        </w:rPr>
        <w:t xml:space="preserve">In order to implement the investment into the Facility, Czechia and the National Development </w:t>
      </w:r>
      <w:r>
        <w:rPr>
          <w:rFonts w:eastAsia="Times New Roman"/>
          <w:noProof/>
          <w:color w:val="000000" w:themeColor="text1"/>
          <w:szCs w:val="24"/>
          <w:lang w:val="en-IE"/>
        </w:rPr>
        <w:t>Investment Company</w:t>
      </w:r>
      <w:r w:rsidRPr="00C63536">
        <w:rPr>
          <w:rFonts w:eastAsia="Times New Roman"/>
          <w:noProof/>
          <w:color w:val="000000" w:themeColor="text1"/>
          <w:szCs w:val="24"/>
          <w:lang w:val="en-IE"/>
        </w:rPr>
        <w:t xml:space="preserve"> shall sign an Implementing Agreement that shall include the following</w:t>
      </w:r>
      <w:r w:rsidRPr="00A165CA">
        <w:rPr>
          <w:noProof/>
          <w:szCs w:val="24"/>
        </w:rPr>
        <w:t xml:space="preserve"> content:</w:t>
      </w:r>
    </w:p>
    <w:p w:rsidRPr="00E3458A" w:rsidR="00D87E44" w:rsidP="00FF1320" w:rsidRDefault="00D87E44" w14:paraId="15458158" w14:textId="77777777">
      <w:pPr>
        <w:pStyle w:val="ListParagraph"/>
        <w:numPr>
          <w:ilvl w:val="0"/>
          <w:numId w:val="54"/>
        </w:numPr>
        <w:spacing w:after="160" w:line="259" w:lineRule="auto"/>
        <w:jc w:val="both"/>
        <w:rPr>
          <w:color w:val="000000" w:themeColor="text1"/>
          <w:lang w:val="en-IE"/>
        </w:rPr>
      </w:pPr>
      <w:r w:rsidRPr="00E3458A">
        <w:t xml:space="preserve">Description of the decision-making process of the Facility: </w:t>
      </w:r>
      <w:r w:rsidRPr="00E3458A">
        <w:rPr>
          <w:lang w:val="en-IE"/>
        </w:rPr>
        <w:t>The final investment decision of the Facility shall be taken by an investment committee or other relevant equivalent governing body and approved by a majority of votes from members who are independent from the government.</w:t>
      </w:r>
    </w:p>
    <w:p w:rsidR="00D87E44" w:rsidRDefault="00D87E44" w14:paraId="15458159" w14:textId="77777777">
      <w:pPr>
        <w:spacing w:before="0" w:after="160" w:line="259" w:lineRule="auto"/>
        <w:rPr>
          <w:rFonts w:eastAsia="Times New Roman"/>
          <w:noProof/>
          <w:color w:val="000000" w:themeColor="text1"/>
          <w:szCs w:val="24"/>
          <w:lang w:val="en-IE"/>
        </w:rPr>
      </w:pPr>
      <w:r>
        <w:rPr>
          <w:rFonts w:eastAsia="Times New Roman"/>
          <w:noProof/>
          <w:color w:val="000000" w:themeColor="text1"/>
          <w:szCs w:val="24"/>
          <w:lang w:val="en-IE"/>
        </w:rPr>
        <w:lastRenderedPageBreak/>
        <w:br w:type="page"/>
      </w:r>
    </w:p>
    <w:p w:rsidRPr="00E3458A" w:rsidR="00D87E44" w:rsidP="00FF1320" w:rsidRDefault="00D87E44" w14:paraId="1545815A" w14:textId="77777777">
      <w:pPr>
        <w:pStyle w:val="ListParagraph"/>
        <w:numPr>
          <w:ilvl w:val="0"/>
          <w:numId w:val="54"/>
        </w:numPr>
        <w:spacing w:after="160" w:line="259" w:lineRule="auto"/>
        <w:jc w:val="both"/>
        <w:rPr>
          <w:color w:val="000000" w:themeColor="text1"/>
          <w:lang w:val="en-IE"/>
        </w:rPr>
      </w:pPr>
      <w:r w:rsidRPr="00E3458A">
        <w:rPr>
          <w:color w:val="000000" w:themeColor="text1"/>
          <w:lang w:val="en-IE"/>
        </w:rPr>
        <w:lastRenderedPageBreak/>
        <w:t>Key requirements of the associated investment policy, which shall include:</w:t>
      </w:r>
    </w:p>
    <w:p w:rsidRPr="00E3458A" w:rsidR="00D87E44" w:rsidP="00FF1320" w:rsidRDefault="00D87E44" w14:paraId="1545815B" w14:textId="77777777">
      <w:pPr>
        <w:pStyle w:val="ListParagraph"/>
        <w:numPr>
          <w:ilvl w:val="1"/>
          <w:numId w:val="54"/>
        </w:numPr>
        <w:spacing w:after="160" w:line="259" w:lineRule="auto"/>
        <w:jc w:val="both"/>
        <w:rPr>
          <w:color w:val="000000" w:themeColor="text1"/>
          <w:lang w:val="en-IE"/>
        </w:rPr>
      </w:pPr>
      <w:r w:rsidRPr="00E3458A">
        <w:rPr>
          <w:color w:val="000000" w:themeColor="text1"/>
          <w:lang w:val="en-IE"/>
        </w:rPr>
        <w:t xml:space="preserve">The requirement that all investments supported are </w:t>
      </w:r>
      <w:r w:rsidRPr="00E3458A">
        <w:rPr>
          <w:color w:val="000000" w:themeColor="text1"/>
          <w:lang w:val="en-IE"/>
        </w:rPr>
        <w:t>economically viable.</w:t>
      </w:r>
    </w:p>
    <w:p w:rsidRPr="00E3458A" w:rsidR="00D87E44" w:rsidP="00FF1320" w:rsidRDefault="00D87E44" w14:paraId="1545815C" w14:textId="77777777">
      <w:pPr>
        <w:pStyle w:val="ListParagraph"/>
        <w:numPr>
          <w:ilvl w:val="1"/>
          <w:numId w:val="54"/>
        </w:numPr>
        <w:spacing w:after="160" w:line="259" w:lineRule="auto"/>
        <w:jc w:val="both"/>
        <w:rPr>
          <w:color w:val="000000" w:themeColor="text1"/>
          <w:lang w:val="en-IE"/>
        </w:rPr>
      </w:pPr>
      <w:r w:rsidRPr="00E3458A">
        <w:t>The requirement to comply with the ‘Do no significant harm’ (DNSH) principle as set out in the DNSH Technical Guidance</w:t>
      </w:r>
      <w:r w:rsidRPr="00E3458A">
        <w:rPr>
          <w:lang w:val="en-IE"/>
        </w:rPr>
        <w:t xml:space="preserve"> (2021/C58/01). In particular, the investment policy shall exclude the following list of activities and assets from eligibility: (</w:t>
      </w:r>
      <w:proofErr w:type="spellStart"/>
      <w:r w:rsidRPr="00E3458A">
        <w:rPr>
          <w:lang w:val="en-IE"/>
        </w:rPr>
        <w:t>i</w:t>
      </w:r>
      <w:proofErr w:type="spellEnd"/>
      <w:r w:rsidRPr="00E3458A">
        <w:rPr>
          <w:lang w:val="en-IE"/>
        </w:rPr>
        <w:t>) activities and assets related to fossil fuels, including downstream use</w:t>
      </w:r>
      <w:r w:rsidRPr="00E3458A">
        <w:rPr>
          <w:vertAlign w:val="superscript"/>
          <w:lang w:val="en-IE"/>
        </w:rPr>
        <w:footnoteReference w:id="9"/>
      </w:r>
      <w:r w:rsidRPr="00E3458A">
        <w:rPr>
          <w:lang w:val="en-IE"/>
        </w:rPr>
        <w:t>, (ii) activities and assets under the EU Emission Trading System (ETS) achieving projected greenhouse gas emissions that are not lower than the relevant benchmarks</w:t>
      </w:r>
      <w:r w:rsidRPr="00E3458A">
        <w:rPr>
          <w:vertAlign w:val="superscript"/>
          <w:lang w:val="en-IE"/>
        </w:rPr>
        <w:footnoteReference w:id="10"/>
      </w:r>
      <w:r w:rsidRPr="00E3458A">
        <w:rPr>
          <w:lang w:val="en-IE"/>
        </w:rPr>
        <w:t>, (iii) activities and assets related to waste landfills, incinerators and mechanical biological treatment plants. Furthermore, the investment policy shall require compliance with the relevant EU and national environmental legislation of the final beneficiaries of the Facility.</w:t>
      </w:r>
    </w:p>
    <w:p w:rsidRPr="00E3458A" w:rsidR="00D87E44" w:rsidP="00FF1320" w:rsidRDefault="00D87E44" w14:paraId="1545815D" w14:textId="77777777">
      <w:pPr>
        <w:pStyle w:val="ListParagraph"/>
        <w:numPr>
          <w:ilvl w:val="1"/>
          <w:numId w:val="54"/>
        </w:numPr>
        <w:spacing w:after="160" w:line="259" w:lineRule="auto"/>
        <w:jc w:val="both"/>
        <w:rPr>
          <w:color w:val="000000" w:themeColor="text1"/>
          <w:lang w:val="en-IE"/>
        </w:rPr>
      </w:pPr>
      <w:r w:rsidRPr="00E3458A">
        <w:rPr>
          <w:color w:val="000000" w:themeColor="text1"/>
          <w:lang w:val="en-IE"/>
        </w:rPr>
        <w:t>The requirement that final beneficiaries of the Facility shall not receive support from other Union instruments to cover the same cost.</w:t>
      </w:r>
    </w:p>
    <w:p w:rsidRPr="00E3458A" w:rsidR="00D87E44" w:rsidP="00FF1320" w:rsidRDefault="00D87E44" w14:paraId="1545815E" w14:textId="77777777">
      <w:pPr>
        <w:pStyle w:val="ListParagraph"/>
        <w:numPr>
          <w:ilvl w:val="1"/>
          <w:numId w:val="54"/>
        </w:numPr>
        <w:spacing w:after="160" w:line="259" w:lineRule="auto"/>
        <w:jc w:val="both"/>
        <w:rPr>
          <w:color w:val="000000" w:themeColor="text1"/>
          <w:lang w:val="en-IE"/>
        </w:rPr>
      </w:pPr>
      <w:r w:rsidRPr="00E3458A">
        <w:rPr>
          <w:color w:val="000000" w:themeColor="text1"/>
          <w:lang w:val="en-IE"/>
        </w:rPr>
        <w:t>The requirement that all renovations supported include energy efficiency renovations.</w:t>
      </w:r>
    </w:p>
    <w:p w:rsidRPr="000542CC" w:rsidR="00D87E44" w:rsidP="00E45BE0" w:rsidRDefault="00D87E44" w14:paraId="1545815F" w14:textId="77777777">
      <w:pPr>
        <w:pStyle w:val="ListParagraph"/>
        <w:numPr>
          <w:ilvl w:val="0"/>
          <w:numId w:val="54"/>
        </w:numPr>
        <w:spacing w:after="160" w:line="259" w:lineRule="auto"/>
        <w:jc w:val="both"/>
        <w:rPr>
          <w:rFonts w:eastAsia="Times New Roman"/>
          <w:b/>
          <w:bCs/>
          <w:noProof/>
          <w:color w:val="000000" w:themeColor="text1"/>
          <w:szCs w:val="24"/>
          <w:lang w:val="en-IE"/>
        </w:rPr>
      </w:pPr>
      <w:r w:rsidRPr="00737A78">
        <w:rPr>
          <w:noProof/>
          <w:szCs w:val="24"/>
        </w:rPr>
        <w:t xml:space="preserve">The amount covered by the Implementing Agreement, the fee structure for the </w:t>
      </w:r>
      <w:r w:rsidRPr="0EBC1433">
        <w:rPr>
          <w:noProof/>
          <w:szCs w:val="24"/>
        </w:rPr>
        <w:t>implementing partner</w:t>
      </w:r>
      <w:r w:rsidRPr="00737A78">
        <w:rPr>
          <w:noProof/>
          <w:szCs w:val="24"/>
        </w:rPr>
        <w:t xml:space="preserve"> and the requirement to reinvest any reflows according to the investment policy of the Facility</w:t>
      </w:r>
      <w:r>
        <w:rPr>
          <w:noProof/>
          <w:szCs w:val="24"/>
        </w:rPr>
        <w:t>.</w:t>
      </w:r>
    </w:p>
    <w:p w:rsidRPr="00E3458A" w:rsidR="00D87E44" w:rsidP="00FF1320" w:rsidRDefault="00D87E44" w14:paraId="15458160" w14:textId="77777777">
      <w:pPr>
        <w:pStyle w:val="ListParagraph"/>
        <w:numPr>
          <w:ilvl w:val="0"/>
          <w:numId w:val="54"/>
        </w:numPr>
        <w:spacing w:after="160" w:line="259" w:lineRule="auto"/>
        <w:jc w:val="both"/>
        <w:rPr>
          <w:lang w:val="en-IE"/>
        </w:rPr>
      </w:pPr>
      <w:r w:rsidRPr="00E3458A">
        <w:rPr>
          <w:lang w:val="en-IE"/>
        </w:rPr>
        <w:t>Monitoring, audit, and control requirements, including:</w:t>
      </w:r>
    </w:p>
    <w:p w:rsidRPr="00E3458A" w:rsidR="00D87E44" w:rsidP="00FF1320" w:rsidRDefault="00D87E44" w14:paraId="15458161" w14:textId="77777777">
      <w:pPr>
        <w:pStyle w:val="ListParagraph"/>
        <w:numPr>
          <w:ilvl w:val="1"/>
          <w:numId w:val="54"/>
        </w:numPr>
        <w:spacing w:after="160" w:line="259" w:lineRule="auto"/>
        <w:jc w:val="both"/>
        <w:rPr>
          <w:lang w:val="en-IE"/>
        </w:rPr>
      </w:pPr>
      <w:r w:rsidRPr="00E3458A">
        <w:rPr>
          <w:lang w:val="en-IE"/>
        </w:rPr>
        <w:t>The description of the implementing partner’s monitoring system to report on the investment mobilized.</w:t>
      </w:r>
    </w:p>
    <w:p w:rsidRPr="00E3458A" w:rsidR="00D87E44" w:rsidP="00FF1320" w:rsidRDefault="00D87E44" w14:paraId="15458162" w14:textId="77777777">
      <w:pPr>
        <w:pStyle w:val="ListParagraph"/>
        <w:numPr>
          <w:ilvl w:val="1"/>
          <w:numId w:val="54"/>
        </w:numPr>
        <w:spacing w:after="160" w:line="259" w:lineRule="auto"/>
        <w:jc w:val="both"/>
        <w:rPr>
          <w:lang w:val="en-IE"/>
        </w:rPr>
      </w:pPr>
      <w:r w:rsidRPr="00E3458A">
        <w:t>The description of the implementing partner’s procedures that will ensure the prevention, detection and correction of fraud, corruption, and conflicts of interests.</w:t>
      </w:r>
    </w:p>
    <w:p w:rsidRPr="00E3458A" w:rsidR="00D87E44" w:rsidP="00FF1320" w:rsidRDefault="00D87E44" w14:paraId="15458163" w14:textId="77777777">
      <w:pPr>
        <w:pStyle w:val="ListParagraph"/>
        <w:numPr>
          <w:ilvl w:val="1"/>
          <w:numId w:val="54"/>
        </w:numPr>
        <w:spacing w:after="160" w:line="259" w:lineRule="auto"/>
        <w:jc w:val="both"/>
        <w:rPr>
          <w:lang w:val="en-IE"/>
        </w:rPr>
      </w:pPr>
      <w:r w:rsidRPr="00E3458A">
        <w:t>The obligation to verify the eligibility of every operation in accordance with the requirements laid out in the Implementing Agreement before committing to finance an operation.</w:t>
      </w:r>
    </w:p>
    <w:p w:rsidRPr="008C7FAF" w:rsidR="00D87E44" w:rsidP="00FF1320" w:rsidRDefault="00D87E44" w14:paraId="15458164" w14:textId="77777777">
      <w:pPr>
        <w:pStyle w:val="ListParagraph"/>
        <w:numPr>
          <w:ilvl w:val="1"/>
          <w:numId w:val="54"/>
        </w:numPr>
        <w:spacing w:after="160" w:line="259" w:lineRule="auto"/>
        <w:jc w:val="both"/>
        <w:rPr>
          <w:rFonts w:eastAsia="Times New Roman"/>
          <w:noProof/>
          <w:szCs w:val="24"/>
          <w:lang w:val="en-IE"/>
        </w:rPr>
      </w:pPr>
      <w:r w:rsidRPr="00E3458A">
        <w:t xml:space="preserve">The obligation of carrying out risk-based ex-post audits in accordance with an </w:t>
      </w:r>
      <w:r w:rsidRPr="00E3458A">
        <w:t xml:space="preserve">audit plan of the National Development Investment Company. These audits shall verify </w:t>
      </w:r>
      <w:proofErr w:type="spellStart"/>
      <w:r w:rsidRPr="00E3458A">
        <w:t>i</w:t>
      </w:r>
      <w:proofErr w:type="spellEnd"/>
      <w:r w:rsidRPr="00E3458A">
        <w:t>) that the control systems are effective, including the detection of fraud, corruption, and conflict of interests; ii) compliance with the DNSH principle and the State Aid rules; and iii) that the requirement that final beneficiaries of the Facility have not received support from other Union instruments to cover the same cost is respected. The audits shall also verify the legality of the transactions and that the condition</w:t>
      </w:r>
      <w:r w:rsidRPr="00E3458A">
        <w:t>s of the applicable Implementing Agreement are being respected.</w:t>
      </w:r>
    </w:p>
    <w:p w:rsidRPr="008C7FAF" w:rsidR="00D87E44" w:rsidP="00D226F4" w:rsidRDefault="00D87E44" w14:paraId="15458165" w14:textId="77777777">
      <w:pPr>
        <w:jc w:val="both"/>
        <w:rPr>
          <w:rFonts w:eastAsia="Times New Roman"/>
          <w:noProof/>
          <w:szCs w:val="24"/>
          <w:lang w:val="en-IE"/>
        </w:rPr>
      </w:pPr>
      <w:r w:rsidRPr="00FE48E2">
        <w:rPr>
          <w:rFonts w:eastAsia="Times New Roman"/>
          <w:noProof/>
          <w:color w:val="000000" w:themeColor="text1"/>
          <w:szCs w:val="24"/>
          <w:lang w:val="en-IE"/>
        </w:rPr>
        <w:t>The implementation of the measure shall be completed by 31 August 2026</w:t>
      </w:r>
    </w:p>
    <w:p w:rsidR="00D87E44" w:rsidP="00FF1320" w:rsidRDefault="00D87E44" w14:paraId="15458166" w14:textId="77777777">
      <w:pPr>
        <w:spacing w:after="0" w:line="240" w:lineRule="auto"/>
        <w:rPr>
          <w:rFonts w:eastAsia="Times New Roman"/>
          <w:noProof/>
          <w:color w:val="000000" w:themeColor="text1"/>
          <w:lang w:val="en-IE"/>
        </w:rPr>
        <w:sectPr w:rsidR="00C16C1F" w:rsidSect="00D226F4">
          <w:headerReference w:type="even" r:id="R9ef9efdbc5b74d22"/>
          <w:headerReference w:type="default" r:id="R1dc2e77d3b07436f"/>
          <w:footerReference w:type="even" r:id="Rf708c6e64c364aa3"/>
          <w:footerReference w:type="default" r:id="R05b9a1bc41af493d"/>
          <w:headerReference w:type="first" r:id="Rd0f24e082e484d15"/>
          <w:footerReference w:type="first" r:id="R219d59b99542479a"/>
          <w:pgSz w:w="11907" w:h="16839"/>
          <w:pgMar w:top="1134" w:right="1134" w:bottom="1134" w:left="1134" w:header="567" w:footer="567" w:gutter="0"/>
          <w:cols w:space="708"/>
          <w:docGrid w:linePitch="326"/>
        </w:sectPr>
      </w:pPr>
    </w:p>
    <w:p w:rsidRPr="00FE48E2" w:rsidR="00D87E44" w:rsidP="00D226F4" w:rsidRDefault="00D87E44" w14:paraId="15458167" w14:textId="77777777">
      <w:pPr>
        <w:rPr>
          <w:noProof/>
          <w:lang w:val="en-IE"/>
        </w:rPr>
      </w:pPr>
      <w:r w:rsidRPr="1B282876">
        <w:rPr>
          <w:b/>
          <w:bCs/>
          <w:noProof/>
          <w:u w:val="single"/>
          <w:lang w:val="en-IE"/>
        </w:rPr>
        <w:lastRenderedPageBreak/>
        <w:t>Q.2. Milestones, targets, indicators, and timetable for monitoring and implementation for non-repayable financial support</w:t>
      </w:r>
    </w:p>
    <w:tbl>
      <w:tblPr>
        <w:tblW w:w="15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634"/>
        <w:gridCol w:w="1510"/>
        <w:gridCol w:w="1062"/>
        <w:gridCol w:w="1510"/>
        <w:gridCol w:w="1680"/>
        <w:gridCol w:w="962"/>
        <w:gridCol w:w="962"/>
        <w:gridCol w:w="1008"/>
        <w:gridCol w:w="1008"/>
        <w:gridCol w:w="637"/>
        <w:gridCol w:w="4048"/>
      </w:tblGrid>
      <w:tr w:rsidRPr="00FE48E2" w:rsidR="00E3458A" w14:paraId="15458170" w14:textId="77777777">
        <w:trPr>
          <w:trHeight w:val="672"/>
          <w:tblHeader/>
          <w:jc w:val="center"/>
        </w:trPr>
        <w:tc>
          <w:tcPr>
            <w:tcW w:w="675" w:type="dxa"/>
            <w:vMerge w:val="restart"/>
            <w:shd w:val="clear" w:color="auto" w:fill="BDD7EE"/>
            <w:vAlign w:val="center"/>
            <w:hideMark/>
          </w:tcPr>
          <w:p w:rsidRPr="00FE48E2" w:rsidR="00D87E44" w:rsidRDefault="00D87E44" w14:paraId="15458168"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614" w:type="dxa"/>
            <w:vMerge w:val="restart"/>
            <w:shd w:val="clear" w:color="auto" w:fill="BDD7EE"/>
            <w:vAlign w:val="center"/>
            <w:hideMark/>
          </w:tcPr>
          <w:p w:rsidRPr="00FE48E2" w:rsidR="00D87E44" w:rsidRDefault="00D87E44" w14:paraId="15458169"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134" w:type="dxa"/>
            <w:vMerge w:val="restart"/>
            <w:shd w:val="clear" w:color="auto" w:fill="BDD7EE"/>
            <w:vAlign w:val="center"/>
            <w:hideMark/>
          </w:tcPr>
          <w:p w:rsidRPr="00FE48E2" w:rsidR="00D87E44" w:rsidRDefault="00D87E44" w14:paraId="1545816A"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614" w:type="dxa"/>
            <w:vMerge w:val="restart"/>
            <w:shd w:val="clear" w:color="auto" w:fill="BDD7EE"/>
            <w:vAlign w:val="center"/>
            <w:hideMark/>
          </w:tcPr>
          <w:p w:rsidRPr="00FE48E2" w:rsidR="00D87E44" w:rsidRDefault="00D87E44" w14:paraId="1545816B"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96" w:type="dxa"/>
            <w:vMerge w:val="restart"/>
            <w:shd w:val="clear" w:color="auto" w:fill="BDD7EE"/>
            <w:vAlign w:val="center"/>
            <w:hideMark/>
          </w:tcPr>
          <w:p w:rsidRPr="00FE48E2" w:rsidR="00D87E44" w:rsidRDefault="00D87E44" w14:paraId="1545816C"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601" w:type="dxa"/>
            <w:gridSpan w:val="3"/>
            <w:shd w:val="clear" w:color="auto" w:fill="BDD7EE"/>
            <w:vAlign w:val="center"/>
            <w:hideMark/>
          </w:tcPr>
          <w:p w:rsidRPr="00FE48E2" w:rsidR="00D87E44" w:rsidRDefault="00D87E44" w14:paraId="1545816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361" w:type="dxa"/>
            <w:gridSpan w:val="2"/>
            <w:shd w:val="clear" w:color="auto" w:fill="BDD7EE"/>
            <w:vAlign w:val="center"/>
            <w:hideMark/>
          </w:tcPr>
          <w:p w:rsidRPr="00FE48E2" w:rsidR="00D87E44" w:rsidRDefault="00D87E44" w14:paraId="1545816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4329" w:type="dxa"/>
            <w:vMerge w:val="restart"/>
            <w:shd w:val="clear" w:color="auto" w:fill="BDD7EE"/>
            <w:vAlign w:val="center"/>
            <w:hideMark/>
          </w:tcPr>
          <w:p w:rsidRPr="00FE48E2" w:rsidR="00D87E44" w:rsidRDefault="00D87E44" w14:paraId="1545816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17C" w14:textId="77777777">
        <w:trPr>
          <w:trHeight w:val="458"/>
          <w:tblHeader/>
          <w:jc w:val="center"/>
        </w:trPr>
        <w:tc>
          <w:tcPr>
            <w:tcW w:w="675" w:type="dxa"/>
            <w:vMerge/>
            <w:vAlign w:val="center"/>
            <w:hideMark/>
          </w:tcPr>
          <w:p w:rsidRPr="00FE48E2" w:rsidR="00D87E44" w:rsidRDefault="00D87E44" w14:paraId="15458171" w14:textId="77777777">
            <w:pPr>
              <w:spacing w:before="0" w:after="0" w:line="240" w:lineRule="auto"/>
              <w:rPr>
                <w:rFonts w:eastAsia="Times New Roman"/>
                <w:b/>
                <w:noProof/>
                <w:sz w:val="18"/>
                <w:szCs w:val="18"/>
                <w:lang w:val="en-IE"/>
              </w:rPr>
            </w:pPr>
          </w:p>
        </w:tc>
        <w:tc>
          <w:tcPr>
            <w:tcW w:w="1614" w:type="dxa"/>
            <w:vMerge/>
            <w:vAlign w:val="center"/>
            <w:hideMark/>
          </w:tcPr>
          <w:p w:rsidRPr="00FE48E2" w:rsidR="00D87E44" w:rsidRDefault="00D87E44" w14:paraId="15458172" w14:textId="77777777">
            <w:pPr>
              <w:spacing w:before="0" w:after="0" w:line="240" w:lineRule="auto"/>
              <w:rPr>
                <w:rFonts w:eastAsia="Times New Roman"/>
                <w:b/>
                <w:noProof/>
                <w:sz w:val="18"/>
                <w:szCs w:val="18"/>
                <w:lang w:val="en-IE"/>
              </w:rPr>
            </w:pPr>
          </w:p>
        </w:tc>
        <w:tc>
          <w:tcPr>
            <w:tcW w:w="1134" w:type="dxa"/>
            <w:vMerge/>
            <w:vAlign w:val="center"/>
            <w:hideMark/>
          </w:tcPr>
          <w:p w:rsidRPr="00FE48E2" w:rsidR="00D87E44" w:rsidRDefault="00D87E44" w14:paraId="15458173" w14:textId="77777777">
            <w:pPr>
              <w:spacing w:before="0" w:after="0" w:line="240" w:lineRule="auto"/>
              <w:rPr>
                <w:rFonts w:eastAsia="Times New Roman"/>
                <w:b/>
                <w:noProof/>
                <w:sz w:val="18"/>
                <w:szCs w:val="18"/>
                <w:lang w:val="en-IE"/>
              </w:rPr>
            </w:pPr>
          </w:p>
        </w:tc>
        <w:tc>
          <w:tcPr>
            <w:tcW w:w="1614" w:type="dxa"/>
            <w:vMerge/>
            <w:vAlign w:val="center"/>
            <w:hideMark/>
          </w:tcPr>
          <w:p w:rsidRPr="00FE48E2" w:rsidR="00D87E44" w:rsidRDefault="00D87E44" w14:paraId="15458174" w14:textId="77777777">
            <w:pPr>
              <w:spacing w:before="0" w:after="0" w:line="240" w:lineRule="auto"/>
              <w:rPr>
                <w:rFonts w:eastAsia="Times New Roman"/>
                <w:b/>
                <w:noProof/>
                <w:sz w:val="18"/>
                <w:szCs w:val="18"/>
                <w:lang w:val="en-IE"/>
              </w:rPr>
            </w:pPr>
          </w:p>
        </w:tc>
        <w:tc>
          <w:tcPr>
            <w:tcW w:w="1796" w:type="dxa"/>
            <w:vMerge/>
            <w:vAlign w:val="center"/>
            <w:hideMark/>
          </w:tcPr>
          <w:p w:rsidRPr="00FE48E2" w:rsidR="00D87E44" w:rsidRDefault="00D87E44" w14:paraId="15458175" w14:textId="77777777">
            <w:pPr>
              <w:spacing w:before="0" w:after="0" w:line="240" w:lineRule="auto"/>
              <w:rPr>
                <w:rFonts w:eastAsia="Times New Roman"/>
                <w:b/>
                <w:noProof/>
                <w:sz w:val="18"/>
                <w:szCs w:val="18"/>
                <w:lang w:val="en-IE"/>
              </w:rPr>
            </w:pPr>
          </w:p>
        </w:tc>
        <w:tc>
          <w:tcPr>
            <w:tcW w:w="1027" w:type="dxa"/>
            <w:shd w:val="clear" w:color="auto" w:fill="BDD7EE"/>
            <w:vAlign w:val="center"/>
            <w:hideMark/>
          </w:tcPr>
          <w:p w:rsidRPr="00C86F28" w:rsidR="00D87E44" w:rsidRDefault="00D87E44" w14:paraId="15458176"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Unit of measure</w:t>
            </w:r>
          </w:p>
        </w:tc>
        <w:tc>
          <w:tcPr>
            <w:tcW w:w="1027" w:type="dxa"/>
            <w:shd w:val="clear" w:color="auto" w:fill="BDD7EE"/>
            <w:vAlign w:val="center"/>
            <w:hideMark/>
          </w:tcPr>
          <w:p w:rsidRPr="00C86F28" w:rsidR="00D87E44" w:rsidRDefault="00D87E44" w14:paraId="15458177"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Baseline </w:t>
            </w:r>
          </w:p>
        </w:tc>
        <w:tc>
          <w:tcPr>
            <w:tcW w:w="1077" w:type="dxa"/>
            <w:shd w:val="clear" w:color="auto" w:fill="BDD7EE"/>
            <w:vAlign w:val="center"/>
            <w:hideMark/>
          </w:tcPr>
          <w:p w:rsidRPr="00C86F28" w:rsidR="00D87E44" w:rsidRDefault="00D87E44" w14:paraId="15458178"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Goal </w:t>
            </w:r>
          </w:p>
        </w:tc>
        <w:tc>
          <w:tcPr>
            <w:tcW w:w="1077" w:type="dxa"/>
            <w:shd w:val="clear" w:color="auto" w:fill="BDD7EE"/>
            <w:vAlign w:val="center"/>
            <w:hideMark/>
          </w:tcPr>
          <w:p w:rsidRPr="00C86F28" w:rsidR="00D87E44" w:rsidRDefault="00D87E44" w14:paraId="15458179"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Quarter</w:t>
            </w:r>
          </w:p>
        </w:tc>
        <w:tc>
          <w:tcPr>
            <w:tcW w:w="680" w:type="dxa"/>
            <w:shd w:val="clear" w:color="auto" w:fill="BDD7EE"/>
            <w:vAlign w:val="center"/>
            <w:hideMark/>
          </w:tcPr>
          <w:p w:rsidRPr="00C86F28" w:rsidR="00D87E44" w:rsidRDefault="00D87E44" w14:paraId="1545817A"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Year</w:t>
            </w:r>
          </w:p>
        </w:tc>
        <w:tc>
          <w:tcPr>
            <w:tcW w:w="4329" w:type="dxa"/>
            <w:vMerge/>
            <w:vAlign w:val="center"/>
            <w:hideMark/>
          </w:tcPr>
          <w:p w:rsidRPr="00FE48E2" w:rsidR="00D87E44" w:rsidRDefault="00D87E44" w14:paraId="1545817B" w14:textId="77777777">
            <w:pPr>
              <w:spacing w:before="0" w:after="0" w:line="240" w:lineRule="auto"/>
              <w:rPr>
                <w:rFonts w:eastAsia="Times New Roman"/>
                <w:b/>
                <w:noProof/>
                <w:sz w:val="18"/>
                <w:szCs w:val="18"/>
                <w:lang w:val="en-IE"/>
              </w:rPr>
            </w:pPr>
          </w:p>
        </w:tc>
      </w:tr>
      <w:tr w:rsidRPr="00FE48E2" w:rsidR="00D226F4" w14:paraId="1545818B" w14:textId="77777777">
        <w:trPr>
          <w:trHeight w:val="300"/>
          <w:jc w:val="center"/>
        </w:trPr>
        <w:tc>
          <w:tcPr>
            <w:tcW w:w="675"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7D"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263</w:t>
            </w:r>
          </w:p>
        </w:tc>
        <w:tc>
          <w:tcPr>
            <w:tcW w:w="1614"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7E"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Reform</w:t>
            </w:r>
            <w:r w:rsidRPr="61D65919">
              <w:rPr>
                <w:rFonts w:eastAsia="Times New Roman"/>
                <w:noProof/>
                <w:color w:val="004300"/>
                <w:sz w:val="18"/>
                <w:szCs w:val="18"/>
                <w:lang w:val="en-IE" w:eastAsia="en-GB"/>
              </w:rPr>
              <w:t xml:space="preserve"> </w:t>
            </w:r>
            <w:r w:rsidRPr="00EF5287">
              <w:rPr>
                <w:rFonts w:eastAsia="Times New Roman"/>
                <w:noProof/>
                <w:color w:val="004300"/>
                <w:sz w:val="18"/>
                <w:szCs w:val="18"/>
                <w:lang w:val="en-IE" w:eastAsia="en-GB"/>
              </w:rPr>
              <w:t>1: </w:t>
            </w:r>
            <w:r w:rsidRPr="61D65919">
              <w:rPr>
                <w:rFonts w:eastAsia="Times New Roman"/>
                <w:noProof/>
                <w:color w:val="004300"/>
                <w:sz w:val="18"/>
                <w:szCs w:val="18"/>
                <w:lang w:val="en-IE" w:eastAsia="en-GB"/>
              </w:rPr>
              <w:t xml:space="preserve"> </w:t>
            </w:r>
            <w:r>
              <w:rPr>
                <w:rFonts w:eastAsia="Times New Roman"/>
                <w:noProof/>
                <w:color w:val="004300"/>
                <w:sz w:val="18"/>
                <w:szCs w:val="18"/>
                <w:lang w:val="en-IE" w:eastAsia="en-GB"/>
              </w:rPr>
              <w:t>Legal act</w:t>
            </w:r>
            <w:r w:rsidRPr="61D65919">
              <w:rPr>
                <w:rFonts w:eastAsia="Times New Roman"/>
                <w:noProof/>
                <w:color w:val="004300"/>
                <w:sz w:val="18"/>
                <w:szCs w:val="18"/>
                <w:lang w:val="en-IE" w:eastAsia="en-GB"/>
              </w:rPr>
              <w:t xml:space="preserve"> on affordable housing</w:t>
            </w:r>
          </w:p>
        </w:tc>
        <w:tc>
          <w:tcPr>
            <w:tcW w:w="1134"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7F"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Milestone</w:t>
            </w:r>
          </w:p>
        </w:tc>
        <w:tc>
          <w:tcPr>
            <w:tcW w:w="1614"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80"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Legal act</w:t>
            </w:r>
            <w:r w:rsidRPr="5F9F3DD5">
              <w:rPr>
                <w:rFonts w:eastAsia="Times New Roman"/>
                <w:noProof/>
                <w:color w:val="004300"/>
                <w:sz w:val="18"/>
                <w:szCs w:val="18"/>
                <w:lang w:val="en-IE" w:eastAsia="en-GB"/>
              </w:rPr>
              <w:t xml:space="preserve"> on affordable housing</w:t>
            </w:r>
          </w:p>
        </w:tc>
        <w:tc>
          <w:tcPr>
            <w:tcW w:w="1796"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81" w14:textId="77777777">
            <w:pPr>
              <w:spacing w:before="0" w:after="0" w:line="240" w:lineRule="auto"/>
              <w:rPr>
                <w:rFonts w:eastAsia="Times New Roman"/>
                <w:noProof/>
                <w:color w:val="004300"/>
                <w:sz w:val="18"/>
                <w:szCs w:val="18"/>
                <w:lang w:val="en-IE" w:eastAsia="en-GB"/>
              </w:rPr>
            </w:pPr>
            <w:r w:rsidRPr="5F9F3DD5">
              <w:rPr>
                <w:rFonts w:eastAsia="Times New Roman"/>
                <w:noProof/>
                <w:color w:val="004300"/>
                <w:sz w:val="18"/>
                <w:szCs w:val="18"/>
                <w:lang w:val="en-IE" w:eastAsia="en-GB"/>
              </w:rPr>
              <w:t>Entry into fo</w:t>
            </w:r>
            <w:r>
              <w:rPr>
                <w:rFonts w:eastAsia="Times New Roman"/>
                <w:noProof/>
                <w:color w:val="004300"/>
                <w:sz w:val="18"/>
                <w:szCs w:val="18"/>
                <w:lang w:val="en-IE" w:eastAsia="en-GB"/>
              </w:rPr>
              <w:t>r</w:t>
            </w:r>
            <w:r w:rsidRPr="5F9F3DD5">
              <w:rPr>
                <w:rFonts w:eastAsia="Times New Roman"/>
                <w:noProof/>
                <w:color w:val="004300"/>
                <w:sz w:val="18"/>
                <w:szCs w:val="18"/>
                <w:lang w:val="en-IE" w:eastAsia="en-GB"/>
              </w:rPr>
              <w:t xml:space="preserve">ce </w:t>
            </w:r>
            <w:r w:rsidRPr="5F9F3DD5">
              <w:rPr>
                <w:rFonts w:eastAsia="Times New Roman"/>
                <w:noProof/>
                <w:color w:val="004300"/>
                <w:sz w:val="18"/>
                <w:szCs w:val="18"/>
                <w:lang w:val="en-IE" w:eastAsia="en-GB"/>
              </w:rPr>
              <w:t>of legislation</w:t>
            </w: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82"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w:t>
            </w: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83"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w:t>
            </w: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84"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w:t>
            </w:r>
          </w:p>
        </w:tc>
        <w:tc>
          <w:tcPr>
            <w:tcW w:w="1077" w:type="dxa"/>
            <w:tcBorders>
              <w:top w:val="single" w:color="auto" w:sz="4" w:space="0"/>
              <w:left w:val="single" w:color="auto" w:sz="4" w:space="0"/>
              <w:bottom w:val="single" w:color="auto" w:sz="4" w:space="0"/>
              <w:right w:val="single" w:color="auto" w:sz="4" w:space="0"/>
            </w:tcBorders>
            <w:shd w:val="clear" w:color="auto" w:fill="C6EFCE"/>
            <w:hideMark/>
          </w:tcPr>
          <w:p w:rsidRPr="00EF5287" w:rsidR="00D87E44" w:rsidRDefault="00D87E44" w14:paraId="15458185"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Q2</w:t>
            </w:r>
          </w:p>
        </w:tc>
        <w:tc>
          <w:tcPr>
            <w:tcW w:w="680" w:type="dxa"/>
            <w:tcBorders>
              <w:top w:val="single" w:color="auto" w:sz="4" w:space="0"/>
              <w:left w:val="single" w:color="auto" w:sz="4" w:space="0"/>
              <w:bottom w:val="single" w:color="auto" w:sz="4" w:space="0"/>
              <w:right w:val="single" w:color="auto" w:sz="4" w:space="0"/>
            </w:tcBorders>
            <w:shd w:val="clear" w:color="auto" w:fill="C6EFCE"/>
            <w:hideMark/>
          </w:tcPr>
          <w:p w:rsidRPr="00C22136" w:rsidR="00D87E44" w:rsidRDefault="00D87E44" w14:paraId="15458186"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2025</w:t>
            </w:r>
          </w:p>
        </w:tc>
        <w:tc>
          <w:tcPr>
            <w:tcW w:w="4329" w:type="dxa"/>
            <w:tcBorders>
              <w:top w:val="single" w:color="auto" w:sz="4" w:space="0"/>
              <w:left w:val="single" w:color="auto" w:sz="4" w:space="0"/>
              <w:bottom w:val="single" w:color="auto" w:sz="4" w:space="0"/>
              <w:right w:val="single" w:color="auto" w:sz="4" w:space="0"/>
            </w:tcBorders>
            <w:shd w:val="clear" w:color="auto" w:fill="C6EFCE"/>
            <w:hideMark/>
          </w:tcPr>
          <w:p w:rsidRPr="00C22136" w:rsidR="00D87E44" w:rsidRDefault="00D87E44" w14:paraId="15458187" w14:textId="77777777">
            <w:pPr>
              <w:spacing w:before="0" w:after="0" w:line="240" w:lineRule="auto"/>
              <w:rPr>
                <w:rFonts w:eastAsia="Times New Roman"/>
                <w:noProof/>
                <w:color w:val="004300"/>
                <w:sz w:val="18"/>
                <w:szCs w:val="18"/>
                <w:lang w:val="en-IE" w:eastAsia="en-GB"/>
              </w:rPr>
            </w:pPr>
            <w:bookmarkStart w:name="_Hlk213326423" w:id="12"/>
            <w:r w:rsidRPr="00C22136">
              <w:rPr>
                <w:rFonts w:eastAsia="Times New Roman"/>
                <w:noProof/>
                <w:color w:val="004300"/>
                <w:sz w:val="18"/>
                <w:szCs w:val="18"/>
                <w:lang w:val="en-IE" w:eastAsia="en-GB"/>
              </w:rPr>
              <w:t xml:space="preserve">A legal act shall enter into force and establish mechanisms helping applicants find housing and incentivising the use of empty housing by helping tenants fulfil their obligations towards landlords. </w:t>
            </w:r>
          </w:p>
          <w:p w:rsidRPr="00C22136" w:rsidR="00D87E44" w:rsidRDefault="00D87E44" w14:paraId="15458188" w14:textId="77777777">
            <w:pPr>
              <w:spacing w:before="0" w:after="0" w:line="240" w:lineRule="auto"/>
              <w:rPr>
                <w:rFonts w:eastAsia="Times New Roman"/>
                <w:noProof/>
                <w:color w:val="004300"/>
                <w:sz w:val="18"/>
                <w:szCs w:val="18"/>
                <w:lang w:val="en-IE" w:eastAsia="en-GB"/>
              </w:rPr>
            </w:pPr>
          </w:p>
          <w:p w:rsidRPr="00C22136" w:rsidR="00D87E44" w:rsidRDefault="00D87E44" w14:paraId="15458189"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A transitional period may apply, based on appropriate justifications. This transitional period shall start with the publication of the act in the Official Journal and shall be linked to technical or technological constraints.</w:t>
            </w:r>
            <w:bookmarkEnd w:id="12"/>
          </w:p>
          <w:p w:rsidRPr="00C22136" w:rsidR="00D87E44" w:rsidRDefault="00D87E44" w14:paraId="1545818A" w14:textId="77777777">
            <w:pPr>
              <w:pStyle w:val="ListParagraph"/>
              <w:spacing w:after="0" w:line="240" w:lineRule="auto"/>
              <w:rPr>
                <w:rFonts w:eastAsia="Times New Roman"/>
                <w:noProof/>
                <w:color w:val="004300"/>
                <w:sz w:val="18"/>
                <w:szCs w:val="18"/>
                <w:lang w:val="en-IE" w:eastAsia="en-GB"/>
              </w:rPr>
            </w:pPr>
          </w:p>
        </w:tc>
      </w:tr>
      <w:tr w:rsidRPr="00FE48E2" w:rsidR="00D226F4" w14:paraId="15458197" w14:textId="77777777">
        <w:trPr>
          <w:trHeight w:val="300"/>
          <w:jc w:val="center"/>
        </w:trPr>
        <w:tc>
          <w:tcPr>
            <w:tcW w:w="675"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8C"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270</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8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Investment 3: Co-investment facility</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8E"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Milestone</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8F"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Implementing Agreement</w:t>
            </w:r>
          </w:p>
        </w:tc>
        <w:tc>
          <w:tcPr>
            <w:tcW w:w="1796" w:type="dxa"/>
            <w:tcBorders>
              <w:top w:val="single" w:color="auto" w:sz="4" w:space="0"/>
              <w:left w:val="single" w:color="auto" w:sz="4" w:space="0"/>
              <w:bottom w:val="single" w:color="auto" w:sz="4" w:space="0"/>
              <w:right w:val="single" w:color="auto" w:sz="4" w:space="0"/>
            </w:tcBorders>
            <w:shd w:val="clear" w:color="auto" w:fill="C6EFCE"/>
          </w:tcPr>
          <w:p w:rsidRPr="5F9F3DD5" w:rsidR="00D87E44" w:rsidDel="00B31A82" w:rsidRDefault="00D87E44" w14:paraId="15458190"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Entry into force of the Implementing Agreement</w:t>
            </w: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91" w14:textId="77777777">
            <w:pPr>
              <w:spacing w:before="0" w:after="0" w:line="240" w:lineRule="auto"/>
              <w:rPr>
                <w:rFonts w:eastAsia="Times New Roman"/>
                <w:noProof/>
                <w:color w:val="004300"/>
                <w:sz w:val="18"/>
                <w:szCs w:val="18"/>
                <w:lang w:val="en-IE" w:eastAsia="en-GB"/>
              </w:rPr>
            </w:pP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92" w14:textId="77777777">
            <w:pPr>
              <w:spacing w:before="0" w:after="0" w:line="240" w:lineRule="auto"/>
              <w:rPr>
                <w:rFonts w:eastAsia="Times New Roman"/>
                <w:noProof/>
                <w:color w:val="004300"/>
                <w:sz w:val="18"/>
                <w:szCs w:val="18"/>
                <w:lang w:val="en-IE" w:eastAsia="en-GB"/>
              </w:rPr>
            </w:pP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93" w14:textId="77777777">
            <w:pPr>
              <w:spacing w:before="0" w:after="0" w:line="240" w:lineRule="auto"/>
              <w:rPr>
                <w:rFonts w:eastAsia="Times New Roman"/>
                <w:noProof/>
                <w:color w:val="004300"/>
                <w:sz w:val="18"/>
                <w:szCs w:val="18"/>
                <w:lang w:val="en-IE" w:eastAsia="en-GB"/>
              </w:rPr>
            </w:pP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DB0198" w:rsidR="00D87E44" w:rsidRDefault="00D87E44" w14:paraId="15458194"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Q3</w:t>
            </w:r>
          </w:p>
        </w:tc>
        <w:tc>
          <w:tcPr>
            <w:tcW w:w="680" w:type="dxa"/>
            <w:tcBorders>
              <w:top w:val="single" w:color="auto" w:sz="4" w:space="0"/>
              <w:left w:val="single" w:color="auto" w:sz="4" w:space="0"/>
              <w:bottom w:val="single" w:color="auto" w:sz="4" w:space="0"/>
              <w:right w:val="single" w:color="auto" w:sz="4" w:space="0"/>
            </w:tcBorders>
            <w:shd w:val="clear" w:color="auto" w:fill="C6EFCE"/>
          </w:tcPr>
          <w:p w:rsidRPr="00C22136" w:rsidR="00D87E44" w:rsidRDefault="00D87E44" w14:paraId="15458195"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2024</w:t>
            </w:r>
          </w:p>
        </w:tc>
        <w:tc>
          <w:tcPr>
            <w:tcW w:w="4329" w:type="dxa"/>
            <w:tcBorders>
              <w:top w:val="single" w:color="auto" w:sz="4" w:space="0"/>
              <w:left w:val="single" w:color="auto" w:sz="4" w:space="0"/>
              <w:bottom w:val="single" w:color="auto" w:sz="4" w:space="0"/>
              <w:right w:val="single" w:color="auto" w:sz="4" w:space="0"/>
            </w:tcBorders>
            <w:shd w:val="clear" w:color="auto" w:fill="C6EFCE"/>
          </w:tcPr>
          <w:p w:rsidRPr="00C22136" w:rsidR="00D87E44" w:rsidRDefault="00D87E44" w14:paraId="15458196"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Entry into force of the Implementing Agreement.</w:t>
            </w:r>
          </w:p>
        </w:tc>
      </w:tr>
      <w:tr w:rsidRPr="00FE48E2" w:rsidR="00D226F4" w14:paraId="154581A3" w14:textId="77777777">
        <w:trPr>
          <w:trHeight w:val="300"/>
          <w:jc w:val="center"/>
        </w:trPr>
        <w:tc>
          <w:tcPr>
            <w:tcW w:w="675"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8"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271</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9"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Investment 3: Co-investment facility</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A"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Target</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B"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Legal agreement signed with final beneficiary</w:t>
            </w:r>
          </w:p>
        </w:tc>
        <w:tc>
          <w:tcPr>
            <w:tcW w:w="1796" w:type="dxa"/>
            <w:tcBorders>
              <w:top w:val="single" w:color="auto" w:sz="4" w:space="0"/>
              <w:left w:val="single" w:color="auto" w:sz="4" w:space="0"/>
              <w:bottom w:val="single" w:color="auto" w:sz="4" w:space="0"/>
              <w:right w:val="single" w:color="auto" w:sz="4" w:space="0"/>
            </w:tcBorders>
            <w:shd w:val="clear" w:color="auto" w:fill="C6EFCE"/>
          </w:tcPr>
          <w:p w:rsidRPr="5F9F3DD5" w:rsidR="00D87E44" w:rsidDel="00B31A82" w:rsidRDefault="00D87E44" w14:paraId="1545819C" w14:textId="77777777">
            <w:pPr>
              <w:spacing w:before="0" w:after="0" w:line="240" w:lineRule="auto"/>
              <w:rPr>
                <w:rFonts w:eastAsia="Times New Roman"/>
                <w:noProof/>
                <w:color w:val="004300"/>
                <w:sz w:val="18"/>
                <w:szCs w:val="18"/>
                <w:lang w:val="en-IE" w:eastAsia="en-GB"/>
              </w:rPr>
            </w:pP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D"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 </w:t>
            </w:r>
            <w:r>
              <w:rPr>
                <w:rFonts w:eastAsia="Times New Roman"/>
                <w:noProof/>
                <w:color w:val="004300"/>
                <w:sz w:val="18"/>
                <w:szCs w:val="18"/>
                <w:lang w:val="en-IE" w:eastAsia="en-GB"/>
              </w:rPr>
              <w:t>(Percentage)</w:t>
            </w: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E"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0</w:t>
            </w: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9F"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100</w:t>
            </w: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0"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Q2</w:t>
            </w:r>
          </w:p>
        </w:tc>
        <w:tc>
          <w:tcPr>
            <w:tcW w:w="680" w:type="dxa"/>
            <w:tcBorders>
              <w:top w:val="single" w:color="auto" w:sz="4" w:space="0"/>
              <w:left w:val="single" w:color="auto" w:sz="4" w:space="0"/>
              <w:bottom w:val="single" w:color="auto" w:sz="4" w:space="0"/>
              <w:right w:val="single" w:color="auto" w:sz="4" w:space="0"/>
            </w:tcBorders>
            <w:shd w:val="clear" w:color="auto" w:fill="C6EFCE"/>
          </w:tcPr>
          <w:p w:rsidRPr="00C22136" w:rsidR="00D87E44" w:rsidRDefault="00D87E44" w14:paraId="154581A1"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2026</w:t>
            </w:r>
          </w:p>
        </w:tc>
        <w:tc>
          <w:tcPr>
            <w:tcW w:w="4329" w:type="dxa"/>
            <w:tcBorders>
              <w:top w:val="single" w:color="auto" w:sz="4" w:space="0"/>
              <w:left w:val="single" w:color="auto" w:sz="4" w:space="0"/>
              <w:bottom w:val="single" w:color="auto" w:sz="4" w:space="0"/>
              <w:right w:val="single" w:color="auto" w:sz="4" w:space="0"/>
            </w:tcBorders>
            <w:shd w:val="clear" w:color="auto" w:fill="C6EFCE"/>
          </w:tcPr>
          <w:p w:rsidRPr="00C22136" w:rsidR="00D87E44" w:rsidRDefault="00D87E44" w14:paraId="154581A2" w14:textId="77777777">
            <w:pPr>
              <w:spacing w:before="0" w:after="0" w:line="240" w:lineRule="auto"/>
              <w:rPr>
                <w:rFonts w:eastAsia="Times New Roman"/>
                <w:noProof/>
                <w:color w:val="004300"/>
                <w:sz w:val="18"/>
                <w:szCs w:val="18"/>
                <w:lang w:val="en-IE" w:eastAsia="en-GB"/>
              </w:rPr>
            </w:pPr>
            <w:r w:rsidRPr="00C22136">
              <w:rPr>
                <w:rFonts w:eastAsia="Times New Roman"/>
                <w:noProof/>
                <w:color w:val="004300"/>
                <w:sz w:val="18"/>
                <w:szCs w:val="18"/>
                <w:lang w:val="en-IE" w:eastAsia="en-GB"/>
              </w:rPr>
              <w:t>The National Development Investment Company shall have entered into legal financing agreement with the co-investment facility for an amount necessary to use 100% of the RRF investment into the Facility (taking into account management fees).</w:t>
            </w:r>
          </w:p>
        </w:tc>
      </w:tr>
      <w:tr w:rsidRPr="00FE48E2" w:rsidR="00D226F4" w14:paraId="154581AF" w14:textId="77777777">
        <w:trPr>
          <w:trHeight w:val="300"/>
          <w:jc w:val="center"/>
        </w:trPr>
        <w:tc>
          <w:tcPr>
            <w:tcW w:w="675" w:type="dxa"/>
            <w:tcBorders>
              <w:top w:val="single" w:color="auto" w:sz="4" w:space="0"/>
              <w:left w:val="single" w:color="auto" w:sz="4" w:space="0"/>
              <w:bottom w:val="single" w:color="auto" w:sz="4" w:space="0"/>
              <w:right w:val="single" w:color="auto" w:sz="4" w:space="0"/>
            </w:tcBorders>
            <w:shd w:val="clear" w:color="auto" w:fill="C6EFCE"/>
          </w:tcPr>
          <w:p w:rsidRPr="007162CB" w:rsidR="00D87E44" w:rsidRDefault="00D87E44" w14:paraId="154581A4" w14:textId="77777777">
            <w:pPr>
              <w:spacing w:before="0" w:after="0" w:line="240" w:lineRule="auto"/>
              <w:rPr>
                <w:rFonts w:eastAsia="Times New Roman"/>
                <w:noProof/>
                <w:color w:val="004300"/>
                <w:sz w:val="18"/>
                <w:szCs w:val="18"/>
                <w:lang w:eastAsia="en-GB"/>
              </w:rPr>
            </w:pPr>
            <w:r>
              <w:rPr>
                <w:rFonts w:eastAsia="Times New Roman"/>
                <w:noProof/>
                <w:color w:val="004300"/>
                <w:sz w:val="18"/>
                <w:szCs w:val="18"/>
                <w:lang w:eastAsia="en-GB"/>
              </w:rPr>
              <w:t>272</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5"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Investment 3: Co-investment facility</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6"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Milestone</w:t>
            </w:r>
          </w:p>
        </w:tc>
        <w:tc>
          <w:tcPr>
            <w:tcW w:w="1614"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7"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Transfer of funds</w:t>
            </w:r>
          </w:p>
        </w:tc>
        <w:tc>
          <w:tcPr>
            <w:tcW w:w="1796" w:type="dxa"/>
            <w:tcBorders>
              <w:top w:val="single" w:color="auto" w:sz="4" w:space="0"/>
              <w:left w:val="single" w:color="auto" w:sz="4" w:space="0"/>
              <w:bottom w:val="single" w:color="auto" w:sz="4" w:space="0"/>
              <w:right w:val="single" w:color="auto" w:sz="4" w:space="0"/>
            </w:tcBorders>
            <w:shd w:val="clear" w:color="auto" w:fill="C6EFCE"/>
          </w:tcPr>
          <w:p w:rsidRPr="5F9F3DD5" w:rsidR="00D87E44" w:rsidDel="00B31A82" w:rsidRDefault="00D87E44" w14:paraId="154581A8"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Certificate of transfer</w:t>
            </w: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9" w14:textId="77777777">
            <w:pPr>
              <w:spacing w:before="0" w:after="0" w:line="240" w:lineRule="auto"/>
              <w:rPr>
                <w:rFonts w:eastAsia="Times New Roman"/>
                <w:noProof/>
                <w:color w:val="004300"/>
                <w:sz w:val="18"/>
                <w:szCs w:val="18"/>
                <w:lang w:val="en-IE" w:eastAsia="en-GB"/>
              </w:rPr>
            </w:pPr>
          </w:p>
        </w:tc>
        <w:tc>
          <w:tcPr>
            <w:tcW w:w="102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A" w14:textId="77777777">
            <w:pPr>
              <w:spacing w:before="0" w:after="0" w:line="240" w:lineRule="auto"/>
              <w:rPr>
                <w:rFonts w:eastAsia="Times New Roman"/>
                <w:noProof/>
                <w:color w:val="004300"/>
                <w:sz w:val="18"/>
                <w:szCs w:val="18"/>
                <w:lang w:val="en-IE" w:eastAsia="en-GB"/>
              </w:rPr>
            </w:pP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B" w14:textId="77777777">
            <w:pPr>
              <w:spacing w:before="0" w:after="0" w:line="240" w:lineRule="auto"/>
              <w:rPr>
                <w:rFonts w:eastAsia="Times New Roman"/>
                <w:noProof/>
                <w:color w:val="004300"/>
                <w:sz w:val="18"/>
                <w:szCs w:val="18"/>
                <w:lang w:val="en-IE" w:eastAsia="en-GB"/>
              </w:rPr>
            </w:pPr>
          </w:p>
        </w:tc>
        <w:tc>
          <w:tcPr>
            <w:tcW w:w="1077" w:type="dxa"/>
            <w:tcBorders>
              <w:top w:val="single" w:color="auto" w:sz="4" w:space="0"/>
              <w:left w:val="single" w:color="auto" w:sz="4" w:space="0"/>
              <w:bottom w:val="single" w:color="auto" w:sz="4" w:space="0"/>
              <w:right w:val="single" w:color="auto" w:sz="4" w:space="0"/>
            </w:tcBorders>
            <w:shd w:val="clear" w:color="auto" w:fill="C6EFCE"/>
          </w:tcPr>
          <w:p w:rsidRPr="00EF5287" w:rsidR="00D87E44" w:rsidRDefault="00D87E44" w14:paraId="154581AC"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Q2</w:t>
            </w:r>
          </w:p>
        </w:tc>
        <w:tc>
          <w:tcPr>
            <w:tcW w:w="680" w:type="dxa"/>
            <w:tcBorders>
              <w:top w:val="single" w:color="auto" w:sz="4" w:space="0"/>
              <w:left w:val="single" w:color="auto" w:sz="4" w:space="0"/>
              <w:bottom w:val="single" w:color="auto" w:sz="4" w:space="0"/>
              <w:right w:val="single" w:color="auto" w:sz="4" w:space="0"/>
            </w:tcBorders>
            <w:shd w:val="clear" w:color="auto" w:fill="C6EFCE"/>
          </w:tcPr>
          <w:p w:rsidRPr="00B76FB4" w:rsidR="00D87E44" w:rsidRDefault="00D87E44" w14:paraId="154581AD" w14:textId="77777777">
            <w:pPr>
              <w:spacing w:before="0" w:after="0" w:line="240" w:lineRule="auto"/>
              <w:rPr>
                <w:noProof/>
                <w:color w:val="006100"/>
                <w:sz w:val="18"/>
                <w:lang w:val="en-IE"/>
              </w:rPr>
            </w:pPr>
            <w:r w:rsidRPr="00B76FB4">
              <w:rPr>
                <w:noProof/>
                <w:color w:val="006100"/>
                <w:sz w:val="18"/>
                <w:lang w:val="en-IE"/>
              </w:rPr>
              <w:t>2026</w:t>
            </w:r>
          </w:p>
        </w:tc>
        <w:tc>
          <w:tcPr>
            <w:tcW w:w="4329" w:type="dxa"/>
            <w:tcBorders>
              <w:top w:val="single" w:color="auto" w:sz="4" w:space="0"/>
              <w:left w:val="single" w:color="auto" w:sz="4" w:space="0"/>
              <w:bottom w:val="single" w:color="auto" w:sz="4" w:space="0"/>
              <w:right w:val="single" w:color="auto" w:sz="4" w:space="0"/>
            </w:tcBorders>
            <w:shd w:val="clear" w:color="auto" w:fill="C6EFCE"/>
          </w:tcPr>
          <w:p w:rsidR="00D87E44" w:rsidRDefault="00D87E44" w14:paraId="154581AE" w14:textId="77777777">
            <w:pPr>
              <w:spacing w:before="0" w:after="0" w:line="240" w:lineRule="auto"/>
              <w:rPr>
                <w:rFonts w:eastAsia="Times New Roman"/>
                <w:noProof/>
                <w:color w:val="006100"/>
                <w:sz w:val="18"/>
                <w:szCs w:val="18"/>
                <w:lang w:val="en-IE"/>
              </w:rPr>
            </w:pPr>
            <w:r w:rsidRPr="00CE01FC">
              <w:rPr>
                <w:rFonts w:eastAsia="Times New Roman"/>
                <w:noProof/>
                <w:color w:val="004300"/>
                <w:sz w:val="18"/>
                <w:szCs w:val="18"/>
                <w:lang w:val="en-IE" w:eastAsia="en-GB"/>
              </w:rPr>
              <w:t>Following the entry into force of the amended implementing agreement ensuring that any reflows are reinvested according to investment policy of the Facility and are not used to service loan repayments of the Recovery and Resilience Facility</w:t>
            </w:r>
            <w:r>
              <w:rPr>
                <w:rFonts w:eastAsia="Times New Roman"/>
                <w:noProof/>
                <w:color w:val="004300"/>
                <w:sz w:val="18"/>
                <w:szCs w:val="18"/>
                <w:lang w:val="en-IE" w:eastAsia="en-GB"/>
              </w:rPr>
              <w:t xml:space="preserve">, </w:t>
            </w:r>
            <w:r w:rsidRPr="007162CB">
              <w:rPr>
                <w:rFonts w:eastAsia="Times New Roman"/>
                <w:noProof/>
                <w:color w:val="004300"/>
                <w:sz w:val="18"/>
                <w:szCs w:val="18"/>
                <w:lang w:val="en-IE" w:eastAsia="en-GB"/>
              </w:rPr>
              <w:t>Czechia</w:t>
            </w:r>
            <w:r w:rsidRPr="007162CB">
              <w:rPr>
                <w:rFonts w:eastAsia="Times New Roman"/>
                <w:noProof/>
                <w:color w:val="004300"/>
                <w:sz w:val="18"/>
                <w:szCs w:val="18"/>
                <w:lang w:val="en-IE"/>
              </w:rPr>
              <w:t xml:space="preserve"> shall transfer EUR 39 574</w:t>
            </w:r>
            <w:r w:rsidRPr="007162CB">
              <w:rPr>
                <w:rFonts w:eastAsia="Times New Roman"/>
                <w:noProof/>
                <w:color w:val="006100"/>
                <w:sz w:val="20"/>
                <w:szCs w:val="20"/>
                <w:lang w:val="en-IE" w:eastAsia="en-GB"/>
              </w:rPr>
              <w:t> </w:t>
            </w:r>
            <w:r w:rsidRPr="007162CB">
              <w:rPr>
                <w:rFonts w:eastAsia="Times New Roman"/>
                <w:noProof/>
                <w:color w:val="004300"/>
                <w:sz w:val="18"/>
                <w:szCs w:val="18"/>
                <w:lang w:val="en-IE"/>
              </w:rPr>
              <w:t>000 to the National Development Investment Company for the Facility.</w:t>
            </w:r>
          </w:p>
        </w:tc>
      </w:tr>
    </w:tbl>
    <w:p w:rsidRPr="00D54D77" w:rsidR="00D87E44" w:rsidP="00FF1320" w:rsidRDefault="00D87E44" w14:paraId="154581B0" w14:textId="77777777">
      <w:pPr>
        <w:rPr>
          <w:rFonts w:eastAsia="Times New Roman"/>
          <w:noProof/>
          <w:lang w:val="en-IE"/>
        </w:rPr>
      </w:pPr>
    </w:p>
    <w:p w:rsidR="00D87E44" w:rsidP="00D226F4" w:rsidRDefault="00D87E44" w14:paraId="154581B1" w14:textId="77777777">
      <w:pPr>
        <w:rPr>
          <w:rFonts w:eastAsia="Times New Roman"/>
          <w:b/>
          <w:noProof/>
          <w:color w:val="000000" w:themeColor="text1"/>
          <w:u w:val="single"/>
          <w:lang w:val="en-IE"/>
        </w:rPr>
      </w:pPr>
    </w:p>
    <w:p w:rsidRPr="00D54D77" w:rsidR="00D87E44" w:rsidP="00D226F4" w:rsidRDefault="00D87E44" w14:paraId="154581B2" w14:textId="77777777">
      <w:pPr>
        <w:rPr>
          <w:rFonts w:eastAsia="Times New Roman"/>
          <w:noProof/>
          <w:lang w:val="en-IE"/>
        </w:rPr>
        <w:sectPr w:rsidRPr="00D54D77" w:rsidR="00C16C1F" w:rsidSect="00D226F4">
          <w:headerReference w:type="even" r:id="Re2da99d3e72045a9"/>
          <w:headerReference w:type="default" r:id="Rcf760435914841e9"/>
          <w:footerReference w:type="even" r:id="Ra2063254c6924ad6"/>
          <w:footerReference w:type="default" r:id="Rd2f35af6173e494c"/>
          <w:headerReference w:type="first" r:id="Rf02066d14b9d4c3e"/>
          <w:footerReference w:type="first" r:id="R75f08d49de6c4f06"/>
          <w:pgSz w:w="16839" w:h="11907" w:orient="landscape"/>
          <w:pgMar w:top="1134" w:right="1134" w:bottom="1134" w:left="1134" w:header="567" w:footer="567" w:gutter="0"/>
          <w:cols w:space="708"/>
          <w:docGrid w:linePitch="326"/>
        </w:sectPr>
      </w:pPr>
    </w:p>
    <w:p w:rsidRPr="00FE48E2" w:rsidR="00D87E44" w:rsidP="00D226F4" w:rsidRDefault="00D87E44" w14:paraId="154581B3" w14:textId="77777777">
      <w:pPr>
        <w:spacing w:line="240" w:lineRule="auto"/>
        <w:jc w:val="both"/>
        <w:rPr>
          <w:rFonts w:eastAsia="Times New Roman"/>
          <w:noProof/>
          <w:color w:val="000000" w:themeColor="text1"/>
          <w:lang w:val="en-IE"/>
        </w:rPr>
      </w:pPr>
      <w:r w:rsidRPr="5BB37758">
        <w:rPr>
          <w:rFonts w:eastAsia="Times New Roman"/>
          <w:b/>
          <w:bCs/>
          <w:noProof/>
          <w:color w:val="000000" w:themeColor="text1"/>
          <w:u w:val="single"/>
          <w:lang w:val="en-IE"/>
        </w:rPr>
        <w:lastRenderedPageBreak/>
        <w:t xml:space="preserve">Q.3. </w:t>
      </w:r>
      <w:r>
        <w:rPr>
          <w:noProof/>
        </w:rPr>
        <w:tab/>
      </w:r>
      <w:r w:rsidRPr="5BB37758">
        <w:rPr>
          <w:rFonts w:eastAsia="Times New Roman"/>
          <w:b/>
          <w:bCs/>
          <w:noProof/>
          <w:color w:val="000000" w:themeColor="text1"/>
          <w:u w:val="single"/>
          <w:lang w:val="en-IE"/>
        </w:rPr>
        <w:t xml:space="preserve">Description of the reforms and investments for the </w:t>
      </w:r>
      <w:r w:rsidRPr="5BB37758">
        <w:rPr>
          <w:rFonts w:eastAsia="Times New Roman"/>
          <w:b/>
          <w:bCs/>
          <w:noProof/>
          <w:color w:val="000000" w:themeColor="text1"/>
          <w:u w:val="single"/>
          <w:lang w:val="en-IE"/>
        </w:rPr>
        <w:t>loan</w:t>
      </w:r>
    </w:p>
    <w:p w:rsidRPr="00FE48E2" w:rsidR="00D87E44" w:rsidP="00D226F4" w:rsidRDefault="00D87E44" w14:paraId="154581B4" w14:textId="77777777">
      <w:pPr>
        <w:spacing w:line="240" w:lineRule="auto"/>
        <w:jc w:val="both"/>
        <w:rPr>
          <w:rFonts w:eastAsia="Times New Roman"/>
          <w:noProof/>
          <w:color w:val="000000" w:themeColor="text1"/>
          <w:szCs w:val="24"/>
          <w:lang w:val="en-IE"/>
        </w:rPr>
      </w:pPr>
      <w:r w:rsidRPr="00FE48E2">
        <w:rPr>
          <w:rFonts w:eastAsia="Times New Roman"/>
          <w:b/>
          <w:noProof/>
          <w:color w:val="000000" w:themeColor="text1"/>
          <w:szCs w:val="24"/>
          <w:lang w:val="en-IE"/>
        </w:rPr>
        <w:t>Investment 1: Concessional loan facility</w:t>
      </w:r>
    </w:p>
    <w:p w:rsidRPr="004F5673" w:rsidR="00D87E44" w:rsidP="00D226F4" w:rsidRDefault="00D87E44" w14:paraId="154581B5" w14:textId="77777777">
      <w:pPr>
        <w:spacing w:line="240" w:lineRule="auto"/>
        <w:jc w:val="both"/>
        <w:rPr>
          <w:rFonts w:eastAsia="Times New Roman"/>
          <w:noProof/>
          <w:color w:val="000000" w:themeColor="text1"/>
          <w:szCs w:val="24"/>
          <w:lang w:val="en-IE"/>
        </w:rPr>
      </w:pPr>
      <w:r w:rsidRPr="00737A78">
        <w:rPr>
          <w:noProof/>
          <w:szCs w:val="24"/>
        </w:rPr>
        <w:t xml:space="preserve">This measure shall consist of a </w:t>
      </w:r>
      <w:r w:rsidRPr="00737A78">
        <w:rPr>
          <w:rFonts w:eastAsia="@MS Mincho"/>
          <w:noProof/>
          <w:szCs w:val="24"/>
        </w:rPr>
        <w:t>public investment</w:t>
      </w:r>
      <w:r w:rsidRPr="00737A78">
        <w:rPr>
          <w:noProof/>
          <w:szCs w:val="24"/>
        </w:rPr>
        <w:t xml:space="preserve"> in a Facility</w:t>
      </w:r>
      <w:r>
        <w:rPr>
          <w:noProof/>
          <w:szCs w:val="24"/>
        </w:rPr>
        <w:t xml:space="preserve"> for the provision of </w:t>
      </w:r>
      <w:r w:rsidRPr="00721CE8">
        <w:rPr>
          <w:noProof/>
          <w:szCs w:val="24"/>
        </w:rPr>
        <w:t>concessional loans</w:t>
      </w:r>
      <w:r>
        <w:rPr>
          <w:noProof/>
          <w:szCs w:val="24"/>
        </w:rPr>
        <w:t xml:space="preserve"> </w:t>
      </w:r>
      <w:r w:rsidRPr="00737A78">
        <w:rPr>
          <w:rFonts w:eastAsia="@MS Mincho"/>
          <w:noProof/>
          <w:szCs w:val="24"/>
        </w:rPr>
        <w:t xml:space="preserve">in order to incentivise private investment and improve access to finance in </w:t>
      </w:r>
      <w:r>
        <w:rPr>
          <w:rFonts w:eastAsia="@MS Mincho"/>
          <w:noProof/>
          <w:szCs w:val="24"/>
        </w:rPr>
        <w:t xml:space="preserve">Czechia’s </w:t>
      </w:r>
      <w:r>
        <w:rPr>
          <w:noProof/>
          <w:szCs w:val="24"/>
        </w:rPr>
        <w:t>affordable housing sector</w:t>
      </w:r>
      <w:r w:rsidRPr="00721CE8">
        <w:rPr>
          <w:noProof/>
          <w:szCs w:val="24"/>
        </w:rPr>
        <w:t>.</w:t>
      </w:r>
      <w:r w:rsidRPr="00737A78">
        <w:rPr>
          <w:noProof/>
          <w:szCs w:val="24"/>
        </w:rPr>
        <w:t xml:space="preserve"> The Facility shall operate by providing </w:t>
      </w:r>
      <w:r>
        <w:rPr>
          <w:noProof/>
          <w:szCs w:val="24"/>
        </w:rPr>
        <w:t>concessional loans</w:t>
      </w:r>
      <w:r w:rsidRPr="00737A78">
        <w:rPr>
          <w:noProof/>
          <w:szCs w:val="24"/>
        </w:rPr>
        <w:t xml:space="preserve"> directly to the private sector</w:t>
      </w:r>
      <w:r>
        <w:rPr>
          <w:noProof/>
          <w:szCs w:val="24"/>
        </w:rPr>
        <w:t xml:space="preserve"> </w:t>
      </w:r>
      <w:r w:rsidRPr="00394EB1">
        <w:rPr>
          <w:noProof/>
          <w:szCs w:val="24"/>
        </w:rPr>
        <w:t>as well as to public sector entities engaged in similar activities</w:t>
      </w:r>
      <w:r w:rsidRPr="006E5DF7">
        <w:rPr>
          <w:noProof/>
          <w:szCs w:val="24"/>
        </w:rPr>
        <w:t>.</w:t>
      </w:r>
      <w:r w:rsidRPr="00737A78">
        <w:rPr>
          <w:noProof/>
          <w:szCs w:val="24"/>
        </w:rPr>
        <w:t xml:space="preserve"> On the basis of the RRF investment, the Facility aims at initially providing at least EUR </w:t>
      </w:r>
      <w:r>
        <w:rPr>
          <w:noProof/>
          <w:szCs w:val="24"/>
        </w:rPr>
        <w:t xml:space="preserve">170 460 000 </w:t>
      </w:r>
      <w:r w:rsidRPr="00737A78">
        <w:rPr>
          <w:noProof/>
          <w:szCs w:val="24"/>
        </w:rPr>
        <w:t>of financing.</w:t>
      </w:r>
    </w:p>
    <w:p w:rsidR="00D87E44" w:rsidP="00D226F4" w:rsidRDefault="00D87E44" w14:paraId="154581B6" w14:textId="77777777">
      <w:pPr>
        <w:spacing w:line="240" w:lineRule="auto"/>
        <w:jc w:val="both"/>
        <w:rPr>
          <w:noProof/>
        </w:rPr>
      </w:pPr>
      <w:r>
        <w:rPr>
          <w:noProof/>
        </w:rPr>
        <w:t xml:space="preserve">The Facility shall be managed by the State Investment Support Fund as the implementing partner. The Facility shall include the following product line: concessional loans. </w:t>
      </w:r>
      <w:r w:rsidRPr="76DD6E76">
        <w:rPr>
          <w:rFonts w:eastAsia="Times New Roman"/>
          <w:noProof/>
          <w:color w:val="000000" w:themeColor="text1"/>
          <w:lang w:val="en-IE"/>
        </w:rPr>
        <w:t>This product aims to provide concessional loans to projects that contribute to increasing the availability of rental housing. The supported activities aim to be renovations of existing residential housing units, renovations of buildings into residential housing units, acquisitions of housing units and constructions of new housing units.</w:t>
      </w:r>
    </w:p>
    <w:p w:rsidRPr="00394EB1" w:rsidR="00D87E44" w:rsidP="00D226F4" w:rsidRDefault="00D87E44" w14:paraId="154581B7" w14:textId="77777777">
      <w:pPr>
        <w:spacing w:line="240" w:lineRule="auto"/>
        <w:jc w:val="both"/>
        <w:rPr>
          <w:noProof/>
          <w:szCs w:val="24"/>
        </w:rPr>
      </w:pPr>
      <w:r w:rsidRPr="00737A78">
        <w:rPr>
          <w:noProof/>
          <w:szCs w:val="24"/>
          <w:lang w:val="en-IE"/>
        </w:rPr>
        <w:t xml:space="preserve">In order to implement the investment into the Facility, </w:t>
      </w:r>
      <w:r w:rsidRPr="007B0EA8">
        <w:rPr>
          <w:noProof/>
          <w:szCs w:val="24"/>
        </w:rPr>
        <w:t>Czechia</w:t>
      </w:r>
      <w:r w:rsidRPr="00737A78">
        <w:rPr>
          <w:noProof/>
          <w:szCs w:val="24"/>
        </w:rPr>
        <w:t xml:space="preserve"> and </w:t>
      </w:r>
      <w:r>
        <w:rPr>
          <w:noProof/>
          <w:szCs w:val="24"/>
        </w:rPr>
        <w:t xml:space="preserve">the </w:t>
      </w:r>
      <w:r w:rsidRPr="007B0EA8">
        <w:rPr>
          <w:noProof/>
          <w:szCs w:val="24"/>
        </w:rPr>
        <w:t>State Investment Support Fund</w:t>
      </w:r>
      <w:r w:rsidRPr="00737A78">
        <w:rPr>
          <w:noProof/>
          <w:szCs w:val="24"/>
        </w:rPr>
        <w:t xml:space="preserve"> shall sign an Implementing Agreement that shall include the following content:</w:t>
      </w:r>
    </w:p>
    <w:p w:rsidRPr="00E3458A" w:rsidR="00D87E44" w:rsidP="00FF1320" w:rsidRDefault="00D87E44" w14:paraId="154581B8" w14:textId="77777777">
      <w:pPr>
        <w:pStyle w:val="ListParagraph"/>
        <w:numPr>
          <w:ilvl w:val="0"/>
          <w:numId w:val="55"/>
        </w:numPr>
        <w:spacing w:after="160" w:line="259" w:lineRule="auto"/>
        <w:jc w:val="both"/>
        <w:rPr>
          <w:color w:val="000000" w:themeColor="text1"/>
          <w:lang w:val="en-IE"/>
        </w:rPr>
      </w:pPr>
      <w:r w:rsidRPr="00E3458A">
        <w:t xml:space="preserve">Description of the decision-making process of the Facility: </w:t>
      </w:r>
      <w:r w:rsidRPr="00E3458A">
        <w:rPr>
          <w:lang w:val="en-IE"/>
        </w:rPr>
        <w:t>The final investment decision of the Facility shall be taken by an investment committee or other relevant equivalent governing body and approved by a majority of votes from members who are independent from the government.</w:t>
      </w:r>
    </w:p>
    <w:p w:rsidRPr="00E3458A" w:rsidR="00D87E44" w:rsidP="00FF1320" w:rsidRDefault="00D87E44" w14:paraId="154581B9" w14:textId="77777777">
      <w:pPr>
        <w:pStyle w:val="ListParagraph"/>
        <w:numPr>
          <w:ilvl w:val="0"/>
          <w:numId w:val="55"/>
        </w:numPr>
        <w:spacing w:after="160" w:line="259" w:lineRule="auto"/>
        <w:jc w:val="both"/>
        <w:rPr>
          <w:color w:val="000000" w:themeColor="text1"/>
          <w:lang w:val="en-IE"/>
        </w:rPr>
      </w:pPr>
      <w:r w:rsidRPr="00E3458A">
        <w:rPr>
          <w:color w:val="000000" w:themeColor="text1"/>
          <w:lang w:val="en-IE"/>
        </w:rPr>
        <w:t>Key requirements of the associated investment policy, which shall include:</w:t>
      </w:r>
    </w:p>
    <w:p w:rsidRPr="00E3458A" w:rsidR="00D87E44" w:rsidP="00FF1320" w:rsidRDefault="00D87E44" w14:paraId="154581BA" w14:textId="77777777">
      <w:pPr>
        <w:pStyle w:val="ListParagraph"/>
        <w:numPr>
          <w:ilvl w:val="1"/>
          <w:numId w:val="55"/>
        </w:numPr>
        <w:spacing w:after="160" w:line="259" w:lineRule="auto"/>
        <w:jc w:val="both"/>
        <w:rPr>
          <w:color w:val="000000" w:themeColor="text1"/>
          <w:lang w:val="en-IE"/>
        </w:rPr>
      </w:pPr>
      <w:r w:rsidRPr="00E3458A">
        <w:rPr>
          <w:color w:val="000000" w:themeColor="text1"/>
          <w:lang w:val="en-IE"/>
        </w:rPr>
        <w:t xml:space="preserve">The description of the financial product(s) and eligible final </w:t>
      </w:r>
      <w:r w:rsidRPr="00E3458A">
        <w:rPr>
          <w:color w:val="000000" w:themeColor="text1"/>
          <w:lang w:val="en-IE"/>
        </w:rPr>
        <w:t>beneficiaries.</w:t>
      </w:r>
    </w:p>
    <w:p w:rsidRPr="00E3458A" w:rsidR="00D87E44" w:rsidP="00FF1320" w:rsidRDefault="00D87E44" w14:paraId="154581BB" w14:textId="77777777">
      <w:pPr>
        <w:pStyle w:val="ListParagraph"/>
        <w:numPr>
          <w:ilvl w:val="1"/>
          <w:numId w:val="55"/>
        </w:numPr>
        <w:spacing w:after="160" w:line="259" w:lineRule="auto"/>
        <w:jc w:val="both"/>
        <w:rPr>
          <w:color w:val="000000" w:themeColor="text1"/>
          <w:lang w:val="en-IE"/>
        </w:rPr>
      </w:pPr>
      <w:r w:rsidRPr="00E3458A">
        <w:rPr>
          <w:color w:val="000000" w:themeColor="text1"/>
          <w:lang w:val="en-IE"/>
        </w:rPr>
        <w:t>The requirement that all investments supported are economically viable.</w:t>
      </w:r>
    </w:p>
    <w:p w:rsidRPr="00E3458A" w:rsidR="00D87E44" w:rsidP="00FF1320" w:rsidRDefault="00D87E44" w14:paraId="154581BC" w14:textId="77777777">
      <w:pPr>
        <w:pStyle w:val="ListParagraph"/>
        <w:numPr>
          <w:ilvl w:val="1"/>
          <w:numId w:val="55"/>
        </w:numPr>
        <w:spacing w:after="160" w:line="259" w:lineRule="auto"/>
        <w:jc w:val="both"/>
        <w:rPr>
          <w:color w:val="000000" w:themeColor="text1"/>
          <w:lang w:val="en-IE"/>
        </w:rPr>
      </w:pPr>
      <w:r w:rsidRPr="00E3458A">
        <w:t>The requirement to comply with the ‘Do no significant harm’ (DNSH) principle as set out in the DNSH Technical Guidance</w:t>
      </w:r>
      <w:r w:rsidRPr="00E3458A">
        <w:rPr>
          <w:lang w:val="en-IE"/>
        </w:rPr>
        <w:t xml:space="preserve"> (2021/C58/01). In particular, the investment policy shall exclude the following list of activities and assets from eligibility: (</w:t>
      </w:r>
      <w:proofErr w:type="spellStart"/>
      <w:r w:rsidRPr="00E3458A">
        <w:rPr>
          <w:lang w:val="en-IE"/>
        </w:rPr>
        <w:t>i</w:t>
      </w:r>
      <w:proofErr w:type="spellEnd"/>
      <w:r w:rsidRPr="00E3458A">
        <w:rPr>
          <w:lang w:val="en-IE"/>
        </w:rPr>
        <w:t>) activities and assets related to fossil fuels, including downstream use</w:t>
      </w:r>
      <w:r w:rsidRPr="00E3458A">
        <w:rPr>
          <w:vertAlign w:val="superscript"/>
          <w:lang w:val="en-IE"/>
        </w:rPr>
        <w:footnoteReference w:id="11"/>
      </w:r>
      <w:r w:rsidRPr="00E3458A">
        <w:rPr>
          <w:lang w:val="en-IE"/>
        </w:rPr>
        <w:t>, (ii) activities and assets under the EU Emission Trading System (ETS) achieving projected greenhouse gas emissions that are not lower than the relevant benchmarks</w:t>
      </w:r>
      <w:r w:rsidRPr="00E3458A">
        <w:rPr>
          <w:vertAlign w:val="superscript"/>
          <w:lang w:val="en-IE"/>
        </w:rPr>
        <w:footnoteReference w:id="12"/>
      </w:r>
      <w:r w:rsidRPr="00E3458A">
        <w:rPr>
          <w:lang w:val="en-IE"/>
        </w:rPr>
        <w:t>, (iii) activities and assets related to waste landfills, incinerators and mechanical biological treatment plants. Furthermore, the investment policy shall require compliance with the relevant EU and national environmental legislation of the final beneficiaries of the Facility.</w:t>
      </w:r>
    </w:p>
    <w:p w:rsidRPr="00E3458A" w:rsidR="00D87E44" w:rsidDel="00AE60AA" w:rsidP="00FF1320" w:rsidRDefault="00D87E44" w14:paraId="154581BD" w14:textId="77777777">
      <w:pPr>
        <w:pStyle w:val="ListParagraph"/>
        <w:numPr>
          <w:ilvl w:val="1"/>
          <w:numId w:val="55"/>
        </w:numPr>
        <w:spacing w:after="160" w:line="259" w:lineRule="auto"/>
        <w:jc w:val="both"/>
        <w:rPr>
          <w:color w:val="000000" w:themeColor="text1"/>
          <w:lang w:val="en-IE"/>
        </w:rPr>
      </w:pPr>
      <w:r w:rsidRPr="00E3458A">
        <w:rPr>
          <w:color w:val="000000" w:themeColor="text1"/>
          <w:lang w:val="en-IE"/>
        </w:rPr>
        <w:t>The requirement that final beneficiaries of the Facility shall not receive support from other Union instruments to cover the same cost.</w:t>
      </w:r>
    </w:p>
    <w:p w:rsidRPr="00E3458A" w:rsidR="00D87E44" w:rsidP="00FF1320" w:rsidRDefault="00D87E44" w14:paraId="154581BE" w14:textId="77777777">
      <w:pPr>
        <w:pStyle w:val="ListParagraph"/>
        <w:numPr>
          <w:ilvl w:val="1"/>
          <w:numId w:val="55"/>
        </w:numPr>
        <w:spacing w:after="160" w:line="259" w:lineRule="auto"/>
        <w:jc w:val="both"/>
        <w:rPr>
          <w:color w:val="000000" w:themeColor="text1"/>
          <w:lang w:val="en-IE"/>
        </w:rPr>
      </w:pPr>
      <w:r w:rsidRPr="00E3458A">
        <w:rPr>
          <w:color w:val="000000" w:themeColor="text1"/>
          <w:lang w:val="en-IE"/>
        </w:rPr>
        <w:t>The requirement that all renovations supported include energy efficiency renovations.</w:t>
      </w:r>
    </w:p>
    <w:p w:rsidRPr="00E3458A" w:rsidR="00D87E44" w:rsidP="00FF1320" w:rsidRDefault="00D87E44" w14:paraId="154581BF" w14:textId="77777777">
      <w:pPr>
        <w:pStyle w:val="ListParagraph"/>
        <w:numPr>
          <w:ilvl w:val="0"/>
          <w:numId w:val="55"/>
        </w:numPr>
        <w:spacing w:after="160" w:line="259" w:lineRule="auto"/>
        <w:jc w:val="both"/>
        <w:rPr>
          <w:b/>
          <w:color w:val="000000" w:themeColor="text1"/>
          <w:lang w:val="en-IE"/>
        </w:rPr>
      </w:pPr>
      <w:r w:rsidRPr="00E3458A">
        <w:t xml:space="preserve">The amount covered by the Implementing Agreement, the fee structure for the implementing partner and the requirement to reinvest any reflows according to the investment policy of the Facility </w:t>
      </w:r>
      <w:r w:rsidRPr="00E3458A">
        <w:rPr>
          <w:color w:val="000000"/>
          <w:shd w:val="clear" w:color="auto" w:fill="FFFFFF"/>
        </w:rPr>
        <w:t>unless they are used to service loan repayments of the Recovery and Resilience Facility</w:t>
      </w:r>
      <w:r w:rsidRPr="00E3458A">
        <w:t xml:space="preserve">. </w:t>
      </w:r>
    </w:p>
    <w:p w:rsidRPr="00E3458A" w:rsidR="00D87E44" w:rsidP="00FF1320" w:rsidRDefault="00D87E44" w14:paraId="154581C0" w14:textId="77777777">
      <w:pPr>
        <w:pStyle w:val="ListParagraph"/>
        <w:numPr>
          <w:ilvl w:val="0"/>
          <w:numId w:val="55"/>
        </w:numPr>
        <w:spacing w:after="160" w:line="259" w:lineRule="auto"/>
        <w:jc w:val="both"/>
        <w:rPr>
          <w:lang w:val="en-IE"/>
        </w:rPr>
      </w:pPr>
      <w:r w:rsidRPr="00E3458A">
        <w:rPr>
          <w:lang w:val="en-IE"/>
        </w:rPr>
        <w:lastRenderedPageBreak/>
        <w:t>Monitoring, audit, and control requirements, including:</w:t>
      </w:r>
    </w:p>
    <w:p w:rsidRPr="00E3458A" w:rsidR="00D87E44" w:rsidP="00FF1320" w:rsidRDefault="00D87E44" w14:paraId="154581C1" w14:textId="77777777">
      <w:pPr>
        <w:pStyle w:val="ListParagraph"/>
        <w:numPr>
          <w:ilvl w:val="1"/>
          <w:numId w:val="55"/>
        </w:numPr>
        <w:spacing w:after="160" w:line="259" w:lineRule="auto"/>
        <w:jc w:val="both"/>
        <w:rPr>
          <w:lang w:val="en-IE"/>
        </w:rPr>
      </w:pPr>
      <w:r w:rsidRPr="00E3458A">
        <w:rPr>
          <w:lang w:val="en-IE"/>
        </w:rPr>
        <w:t>The description of the implementing partner’s monitoring system to report on the investment mobilized.</w:t>
      </w:r>
    </w:p>
    <w:p w:rsidRPr="00E3458A" w:rsidR="00D87E44" w:rsidP="00FF1320" w:rsidRDefault="00D87E44" w14:paraId="154581C2" w14:textId="77777777">
      <w:pPr>
        <w:pStyle w:val="ListParagraph"/>
        <w:numPr>
          <w:ilvl w:val="1"/>
          <w:numId w:val="55"/>
        </w:numPr>
        <w:spacing w:after="160" w:line="259" w:lineRule="auto"/>
        <w:jc w:val="both"/>
        <w:rPr>
          <w:lang w:val="en-IE"/>
        </w:rPr>
      </w:pPr>
      <w:r w:rsidRPr="00E3458A">
        <w:t>The description of the implementing partner’s procedures that will ensure the prevention, detection and correction of fraud, corruption, and conflicts of interests.</w:t>
      </w:r>
    </w:p>
    <w:p w:rsidRPr="00E3458A" w:rsidR="00D87E44" w:rsidP="00FF1320" w:rsidRDefault="00D87E44" w14:paraId="154581C3" w14:textId="77777777">
      <w:pPr>
        <w:pStyle w:val="ListParagraph"/>
        <w:numPr>
          <w:ilvl w:val="1"/>
          <w:numId w:val="55"/>
        </w:numPr>
        <w:spacing w:after="160" w:line="259" w:lineRule="auto"/>
        <w:jc w:val="both"/>
        <w:rPr>
          <w:lang w:val="en-IE"/>
        </w:rPr>
      </w:pPr>
      <w:r w:rsidRPr="00E3458A">
        <w:t>The obligation to verify the eligibility of every operation in accordance with the requirements laid out in the Implementing Agreement before committing to finance an operation.</w:t>
      </w:r>
    </w:p>
    <w:p w:rsidRPr="00E3458A" w:rsidR="00D87E44" w:rsidP="00FF1320" w:rsidRDefault="00D87E44" w14:paraId="154581C4" w14:textId="77777777">
      <w:pPr>
        <w:pStyle w:val="ListParagraph"/>
        <w:numPr>
          <w:ilvl w:val="1"/>
          <w:numId w:val="55"/>
        </w:numPr>
        <w:spacing w:after="160" w:line="259" w:lineRule="auto"/>
        <w:jc w:val="both"/>
        <w:rPr>
          <w:lang w:val="en-IE"/>
        </w:rPr>
      </w:pPr>
      <w:r w:rsidRPr="00E3458A">
        <w:t xml:space="preserve">The obligation of carrying out risk-based ex-post audits in accordance with an audit plan of the State Investment Support Fund. These audits shall verify </w:t>
      </w:r>
      <w:proofErr w:type="spellStart"/>
      <w:r w:rsidRPr="00E3458A">
        <w:t>i</w:t>
      </w:r>
      <w:proofErr w:type="spellEnd"/>
      <w:r w:rsidRPr="00E3458A">
        <w:t>) that the control systems are effective, including the detection of fraud, corruption, and conflict of interests; ii) compliance with the DNSH principle and the State Aid rules; and iii) that the requirement that final beneficiaries of the Facility have not received support from other Union instruments to cover the same cost is respected. The audits shall also verify the legality of the transactions and that the conditions of the applicable Implementing Agreement are being respected.</w:t>
      </w:r>
    </w:p>
    <w:p w:rsidRPr="00FE48E2" w:rsidR="00D87E44" w:rsidP="00D226F4" w:rsidRDefault="00D87E44" w14:paraId="154581C5" w14:textId="77777777">
      <w:pPr>
        <w:spacing w:before="0" w:after="160" w:line="240"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The implementation of the measure shall be completed by 31 August 2026.</w:t>
      </w:r>
    </w:p>
    <w:p w:rsidR="00D87E44" w:rsidP="00D226F4" w:rsidRDefault="00D87E44" w14:paraId="154581C6" w14:textId="77777777">
      <w:pPr>
        <w:spacing w:after="160" w:line="259" w:lineRule="auto"/>
        <w:rPr>
          <w:rFonts w:eastAsia="Times New Roman"/>
          <w:b/>
          <w:noProof/>
          <w:color w:val="000000" w:themeColor="text1"/>
          <w:szCs w:val="24"/>
          <w:lang w:val="en-IE"/>
        </w:rPr>
      </w:pPr>
      <w:r w:rsidRPr="00FE48E2">
        <w:rPr>
          <w:rFonts w:eastAsia="Times New Roman"/>
          <w:b/>
          <w:noProof/>
          <w:color w:val="000000" w:themeColor="text1"/>
          <w:szCs w:val="24"/>
          <w:lang w:val="en-IE"/>
        </w:rPr>
        <w:t>Investment 2: Subordinated loan</w:t>
      </w:r>
      <w:r>
        <w:rPr>
          <w:rFonts w:eastAsia="Times New Roman"/>
          <w:b/>
          <w:noProof/>
          <w:color w:val="000000" w:themeColor="text1"/>
          <w:szCs w:val="24"/>
          <w:lang w:val="en-IE"/>
        </w:rPr>
        <w:t>s</w:t>
      </w:r>
      <w:r w:rsidRPr="00FE48E2">
        <w:rPr>
          <w:rFonts w:eastAsia="Times New Roman"/>
          <w:b/>
          <w:noProof/>
          <w:color w:val="000000" w:themeColor="text1"/>
          <w:szCs w:val="24"/>
          <w:lang w:val="en-IE"/>
        </w:rPr>
        <w:t xml:space="preserve"> facility</w:t>
      </w:r>
    </w:p>
    <w:p w:rsidRPr="00737A78" w:rsidR="00D87E44" w:rsidP="00D226F4" w:rsidRDefault="00D87E44" w14:paraId="154581C7" w14:textId="77777777">
      <w:pPr>
        <w:spacing w:line="240" w:lineRule="auto"/>
        <w:jc w:val="both"/>
        <w:rPr>
          <w:noProof/>
          <w:szCs w:val="24"/>
        </w:rPr>
      </w:pPr>
      <w:r w:rsidRPr="00737A78">
        <w:rPr>
          <w:noProof/>
          <w:szCs w:val="24"/>
        </w:rPr>
        <w:t xml:space="preserve">This measure shall consist of a </w:t>
      </w:r>
      <w:r w:rsidRPr="00737A78">
        <w:rPr>
          <w:rFonts w:eastAsia="@MS Mincho"/>
          <w:noProof/>
          <w:szCs w:val="24"/>
        </w:rPr>
        <w:t>public investment</w:t>
      </w:r>
      <w:r w:rsidRPr="00737A78">
        <w:rPr>
          <w:noProof/>
          <w:szCs w:val="24"/>
        </w:rPr>
        <w:t xml:space="preserve"> in a Facility</w:t>
      </w:r>
      <w:r>
        <w:rPr>
          <w:noProof/>
          <w:szCs w:val="24"/>
        </w:rPr>
        <w:t xml:space="preserve"> for the provision of </w:t>
      </w:r>
      <w:r w:rsidRPr="00721CE8">
        <w:rPr>
          <w:noProof/>
          <w:szCs w:val="24"/>
        </w:rPr>
        <w:t>subordinated loans</w:t>
      </w:r>
      <w:r>
        <w:rPr>
          <w:noProof/>
          <w:szCs w:val="24"/>
        </w:rPr>
        <w:t xml:space="preserve"> </w:t>
      </w:r>
      <w:r w:rsidRPr="00737A78">
        <w:rPr>
          <w:rFonts w:eastAsia="@MS Mincho"/>
          <w:noProof/>
          <w:szCs w:val="24"/>
        </w:rPr>
        <w:t xml:space="preserve">in order to incentivise private investment and improve access to finance in </w:t>
      </w:r>
      <w:r>
        <w:rPr>
          <w:rFonts w:eastAsia="@MS Mincho"/>
          <w:noProof/>
          <w:szCs w:val="24"/>
        </w:rPr>
        <w:t xml:space="preserve">Czechia’s </w:t>
      </w:r>
      <w:r>
        <w:rPr>
          <w:noProof/>
          <w:szCs w:val="24"/>
        </w:rPr>
        <w:t>affordable housing sector</w:t>
      </w:r>
      <w:r w:rsidRPr="00737A78">
        <w:rPr>
          <w:noProof/>
          <w:szCs w:val="24"/>
        </w:rPr>
        <w:t xml:space="preserve">. The Facility shall operate by providing </w:t>
      </w:r>
      <w:r>
        <w:rPr>
          <w:noProof/>
          <w:szCs w:val="24"/>
        </w:rPr>
        <w:t>subordinated loans</w:t>
      </w:r>
      <w:r w:rsidRPr="00737A78">
        <w:rPr>
          <w:noProof/>
          <w:szCs w:val="24"/>
        </w:rPr>
        <w:t xml:space="preserve"> directly to the private sector</w:t>
      </w:r>
      <w:r>
        <w:rPr>
          <w:noProof/>
          <w:szCs w:val="24"/>
        </w:rPr>
        <w:t xml:space="preserve"> </w:t>
      </w:r>
      <w:r w:rsidRPr="00363AD5">
        <w:rPr>
          <w:noProof/>
          <w:szCs w:val="24"/>
        </w:rPr>
        <w:t>as well as to public sector entities engaged in similar activities</w:t>
      </w:r>
      <w:r w:rsidRPr="006E5DF7">
        <w:rPr>
          <w:noProof/>
          <w:szCs w:val="24"/>
        </w:rPr>
        <w:t>.</w:t>
      </w:r>
      <w:r w:rsidRPr="00737A78">
        <w:rPr>
          <w:noProof/>
          <w:szCs w:val="24"/>
        </w:rPr>
        <w:t xml:space="preserve"> On the basis of the RRF investment, the Facility aims at initially providing at least EUR </w:t>
      </w:r>
      <w:r>
        <w:rPr>
          <w:noProof/>
          <w:szCs w:val="24"/>
        </w:rPr>
        <w:t xml:space="preserve">94 770 000 </w:t>
      </w:r>
      <w:r w:rsidRPr="00737A78">
        <w:rPr>
          <w:noProof/>
          <w:szCs w:val="24"/>
        </w:rPr>
        <w:t>of financing.</w:t>
      </w:r>
    </w:p>
    <w:p w:rsidRPr="00FE48E2" w:rsidR="00D87E44" w:rsidP="00D226F4" w:rsidRDefault="00D87E44" w14:paraId="154581C8" w14:textId="77777777">
      <w:pPr>
        <w:spacing w:line="240" w:lineRule="auto"/>
        <w:jc w:val="both"/>
        <w:rPr>
          <w:rFonts w:eastAsia="Times New Roman"/>
          <w:noProof/>
          <w:color w:val="000000" w:themeColor="text1"/>
          <w:lang w:val="en-IE"/>
        </w:rPr>
      </w:pPr>
      <w:r w:rsidRPr="7A3406BA">
        <w:rPr>
          <w:noProof/>
        </w:rPr>
        <w:t xml:space="preserve">The Facility shall be managed by the National Development Bank as the implementing partner. The Facility shall include the following product line: subordinated loans. </w:t>
      </w:r>
      <w:r w:rsidRPr="7A3406BA">
        <w:rPr>
          <w:rFonts w:eastAsia="Times New Roman"/>
          <w:noProof/>
          <w:color w:val="000000" w:themeColor="text1"/>
          <w:lang w:val="en-IE"/>
        </w:rPr>
        <w:t>This product aims to provide subordinated loans to projects that contribute to increasing the availability of rental housing. The supported activities aim to be acquisitions, renovations of existing residential housing units, renovations of buildings into residential housing units and constructions of new housing units.</w:t>
      </w:r>
    </w:p>
    <w:p w:rsidRPr="00363AD5" w:rsidR="00D87E44" w:rsidP="00D226F4" w:rsidRDefault="00D87E44" w14:paraId="154581C9" w14:textId="77777777">
      <w:pPr>
        <w:spacing w:line="240" w:lineRule="auto"/>
        <w:jc w:val="both"/>
        <w:rPr>
          <w:noProof/>
          <w:szCs w:val="24"/>
        </w:rPr>
      </w:pPr>
      <w:r w:rsidRPr="00737A78">
        <w:rPr>
          <w:noProof/>
          <w:szCs w:val="24"/>
          <w:lang w:val="en-IE"/>
        </w:rPr>
        <w:t xml:space="preserve">In order to implement </w:t>
      </w:r>
      <w:r w:rsidRPr="00721CE8">
        <w:rPr>
          <w:noProof/>
          <w:szCs w:val="24"/>
          <w:lang w:val="en-IE"/>
        </w:rPr>
        <w:t xml:space="preserve">the investment into the Facility, </w:t>
      </w:r>
      <w:r w:rsidRPr="00721CE8">
        <w:rPr>
          <w:noProof/>
          <w:szCs w:val="24"/>
        </w:rPr>
        <w:t>Czechia and National Development Bank shall sign an Implementing Agreement that shall include the following content:</w:t>
      </w:r>
    </w:p>
    <w:p w:rsidRPr="00E3458A" w:rsidR="00D87E44" w:rsidP="00FF1320" w:rsidRDefault="00D87E44" w14:paraId="154581CA" w14:textId="77777777">
      <w:pPr>
        <w:pStyle w:val="ListParagraph"/>
        <w:numPr>
          <w:ilvl w:val="0"/>
          <w:numId w:val="56"/>
        </w:numPr>
        <w:spacing w:after="160" w:line="259" w:lineRule="auto"/>
        <w:jc w:val="both"/>
        <w:rPr>
          <w:color w:val="000000" w:themeColor="text1"/>
          <w:lang w:val="en-IE"/>
        </w:rPr>
      </w:pPr>
      <w:r w:rsidRPr="00E3458A">
        <w:t xml:space="preserve">Description of the decision-making process of the Facility: </w:t>
      </w:r>
      <w:r w:rsidRPr="00E3458A">
        <w:rPr>
          <w:lang w:val="en-IE"/>
        </w:rPr>
        <w:t>The final investment decision of the Facility shall be taken by an investment committee or other relevant equivalent governing body and approved by a majority of votes from members who are independent from the government.</w:t>
      </w:r>
    </w:p>
    <w:p w:rsidRPr="00E3458A" w:rsidR="00D87E44" w:rsidP="00FF1320" w:rsidRDefault="00D87E44" w14:paraId="154581CB" w14:textId="77777777">
      <w:pPr>
        <w:pStyle w:val="ListParagraph"/>
        <w:numPr>
          <w:ilvl w:val="0"/>
          <w:numId w:val="56"/>
        </w:numPr>
        <w:spacing w:after="160" w:line="259" w:lineRule="auto"/>
        <w:jc w:val="both"/>
        <w:rPr>
          <w:color w:val="000000" w:themeColor="text1"/>
          <w:lang w:val="en-IE"/>
        </w:rPr>
      </w:pPr>
      <w:r w:rsidRPr="00E3458A">
        <w:rPr>
          <w:color w:val="000000" w:themeColor="text1"/>
          <w:lang w:val="en-IE"/>
        </w:rPr>
        <w:t xml:space="preserve">Key requirements of the associated investment policy, which shall </w:t>
      </w:r>
      <w:r w:rsidRPr="00E3458A">
        <w:rPr>
          <w:color w:val="000000" w:themeColor="text1"/>
          <w:lang w:val="en-IE"/>
        </w:rPr>
        <w:t>include:</w:t>
      </w:r>
    </w:p>
    <w:p w:rsidRPr="00E3458A" w:rsidR="00D87E44" w:rsidP="00FF1320" w:rsidRDefault="00D87E44" w14:paraId="154581CC" w14:textId="77777777">
      <w:pPr>
        <w:pStyle w:val="ListParagraph"/>
        <w:numPr>
          <w:ilvl w:val="1"/>
          <w:numId w:val="56"/>
        </w:numPr>
        <w:spacing w:after="160" w:line="259" w:lineRule="auto"/>
        <w:jc w:val="both"/>
        <w:rPr>
          <w:color w:val="000000" w:themeColor="text1"/>
          <w:lang w:val="en-IE"/>
        </w:rPr>
      </w:pPr>
      <w:r w:rsidRPr="00E3458A">
        <w:rPr>
          <w:color w:val="000000" w:themeColor="text1"/>
          <w:lang w:val="en-IE"/>
        </w:rPr>
        <w:t>The description of the financial product(s) and eligible final beneficiaries.</w:t>
      </w:r>
    </w:p>
    <w:p w:rsidRPr="00E3458A" w:rsidR="00D87E44" w:rsidP="00FF1320" w:rsidRDefault="00D87E44" w14:paraId="154581CD" w14:textId="77777777">
      <w:pPr>
        <w:pStyle w:val="ListParagraph"/>
        <w:numPr>
          <w:ilvl w:val="1"/>
          <w:numId w:val="56"/>
        </w:numPr>
        <w:spacing w:after="160" w:line="259" w:lineRule="auto"/>
        <w:jc w:val="both"/>
        <w:rPr>
          <w:color w:val="000000" w:themeColor="text1"/>
          <w:lang w:val="en-IE"/>
        </w:rPr>
      </w:pPr>
      <w:r w:rsidRPr="00E3458A">
        <w:rPr>
          <w:color w:val="000000" w:themeColor="text1"/>
          <w:lang w:val="en-IE"/>
        </w:rPr>
        <w:t>The requirement that all investments supported are economically viable.</w:t>
      </w:r>
    </w:p>
    <w:p w:rsidRPr="00E3458A" w:rsidR="00D87E44" w:rsidP="00FF1320" w:rsidRDefault="00D87E44" w14:paraId="154581CE" w14:textId="77777777">
      <w:pPr>
        <w:pStyle w:val="ListParagraph"/>
        <w:numPr>
          <w:ilvl w:val="1"/>
          <w:numId w:val="56"/>
        </w:numPr>
        <w:spacing w:after="160" w:line="259" w:lineRule="auto"/>
        <w:jc w:val="both"/>
        <w:rPr>
          <w:color w:val="000000" w:themeColor="text1"/>
          <w:lang w:val="en-IE"/>
        </w:rPr>
      </w:pPr>
      <w:r w:rsidRPr="00E3458A">
        <w:t>The requirement to comply with the ‘Do no significant harm’ (DNSH) principle as set out in the DNSH Technical Guidance</w:t>
      </w:r>
      <w:r w:rsidRPr="00E3458A">
        <w:rPr>
          <w:lang w:val="en-IE"/>
        </w:rPr>
        <w:t xml:space="preserve"> (2021/C58/01). In particular, the investment policy shall exclude the following list of activities and assets from eligibility: (</w:t>
      </w:r>
      <w:proofErr w:type="spellStart"/>
      <w:r w:rsidRPr="00E3458A">
        <w:rPr>
          <w:lang w:val="en-IE"/>
        </w:rPr>
        <w:t>i</w:t>
      </w:r>
      <w:proofErr w:type="spellEnd"/>
      <w:r w:rsidRPr="00E3458A">
        <w:rPr>
          <w:lang w:val="en-IE"/>
        </w:rPr>
        <w:t>) activities and assets related to fossil fuels, including downstream use</w:t>
      </w:r>
      <w:r w:rsidRPr="00E3458A">
        <w:rPr>
          <w:vertAlign w:val="superscript"/>
          <w:lang w:val="en-IE"/>
        </w:rPr>
        <w:footnoteReference w:id="13"/>
      </w:r>
      <w:r w:rsidRPr="00E3458A">
        <w:rPr>
          <w:lang w:val="en-IE"/>
        </w:rPr>
        <w:t xml:space="preserve">, (ii) activities and assets under the EU Emission Trading System (ETS) achieving projected greenhouse gas emissions that are not </w:t>
      </w:r>
      <w:r w:rsidRPr="00E3458A">
        <w:rPr>
          <w:lang w:val="en-IE"/>
        </w:rPr>
        <w:lastRenderedPageBreak/>
        <w:t>lower than the relevant benchmarks</w:t>
      </w:r>
      <w:r w:rsidRPr="00E3458A">
        <w:rPr>
          <w:vertAlign w:val="superscript"/>
          <w:lang w:val="en-IE"/>
        </w:rPr>
        <w:footnoteReference w:id="14"/>
      </w:r>
      <w:r w:rsidRPr="00E3458A">
        <w:rPr>
          <w:lang w:val="en-IE"/>
        </w:rPr>
        <w:t xml:space="preserve">, (iii) activities and assets related to waste landfills, incinerators and mechanical biological treatment </w:t>
      </w:r>
      <w:r w:rsidRPr="00E3458A">
        <w:rPr>
          <w:lang w:val="en-IE"/>
        </w:rPr>
        <w:t>plants. Furthermore, the investment policy shall require compliance with the relevant EU and national environmental legislation of the final beneficiaries of the Facility.</w:t>
      </w:r>
    </w:p>
    <w:p w:rsidRPr="00E3458A" w:rsidR="00D87E44" w:rsidP="00FF1320" w:rsidRDefault="00D87E44" w14:paraId="154581CF" w14:textId="77777777">
      <w:pPr>
        <w:pStyle w:val="ListParagraph"/>
        <w:numPr>
          <w:ilvl w:val="1"/>
          <w:numId w:val="56"/>
        </w:numPr>
        <w:spacing w:after="160" w:line="259" w:lineRule="auto"/>
        <w:jc w:val="both"/>
        <w:rPr>
          <w:color w:val="000000" w:themeColor="text1"/>
          <w:lang w:val="en-IE"/>
        </w:rPr>
      </w:pPr>
      <w:r w:rsidRPr="00E3458A">
        <w:rPr>
          <w:color w:val="000000" w:themeColor="text1"/>
          <w:lang w:val="en-IE"/>
        </w:rPr>
        <w:t>The requirement that final beneficiaries of the Facility shall not receive support from other Union instruments to cover the same cost.</w:t>
      </w:r>
    </w:p>
    <w:p w:rsidRPr="00E3458A" w:rsidR="00D87E44" w:rsidP="00FF1320" w:rsidRDefault="00D87E44" w14:paraId="154581D0" w14:textId="77777777">
      <w:pPr>
        <w:pStyle w:val="ListParagraph"/>
        <w:numPr>
          <w:ilvl w:val="1"/>
          <w:numId w:val="56"/>
        </w:numPr>
        <w:spacing w:after="160" w:line="259" w:lineRule="auto"/>
        <w:jc w:val="both"/>
        <w:rPr>
          <w:color w:val="000000" w:themeColor="text1"/>
          <w:lang w:val="en-IE"/>
        </w:rPr>
      </w:pPr>
      <w:r w:rsidRPr="00E3458A">
        <w:rPr>
          <w:color w:val="000000" w:themeColor="text1"/>
          <w:lang w:val="en-IE"/>
        </w:rPr>
        <w:t>The requirement that all renovations supported include energy efficiency renovations.</w:t>
      </w:r>
    </w:p>
    <w:p w:rsidRPr="00105E40" w:rsidR="00D87E44" w:rsidP="00D226F4" w:rsidRDefault="00D87E44" w14:paraId="154581D1" w14:textId="77777777">
      <w:pPr>
        <w:pStyle w:val="ListParagraph"/>
        <w:spacing w:line="240" w:lineRule="auto"/>
        <w:jc w:val="both"/>
        <w:rPr>
          <w:noProof/>
          <w:szCs w:val="24"/>
        </w:rPr>
      </w:pPr>
    </w:p>
    <w:p w:rsidRPr="00E3458A" w:rsidR="00D87E44" w:rsidP="00FF1320" w:rsidRDefault="00D87E44" w14:paraId="154581D2" w14:textId="77777777">
      <w:pPr>
        <w:pStyle w:val="ListParagraph"/>
        <w:numPr>
          <w:ilvl w:val="0"/>
          <w:numId w:val="56"/>
        </w:numPr>
        <w:spacing w:after="160" w:line="259" w:lineRule="auto"/>
        <w:jc w:val="both"/>
        <w:rPr>
          <w:b/>
          <w:color w:val="000000" w:themeColor="text1"/>
          <w:lang w:val="en-IE"/>
        </w:rPr>
      </w:pPr>
      <w:r w:rsidRPr="00E3458A">
        <w:t xml:space="preserve">The amount covered by the Implementing Agreement, the fee structure for the implementing partner and the requirement to reinvest any reflows according to the investment policy of the Facility </w:t>
      </w:r>
      <w:r w:rsidRPr="00E3458A">
        <w:rPr>
          <w:color w:val="000000"/>
          <w:shd w:val="clear" w:color="auto" w:fill="FFFFFF"/>
        </w:rPr>
        <w:t>unless they are used to service loan repayments of the Recovery and Resilience Facility</w:t>
      </w:r>
      <w:r w:rsidRPr="00E3458A">
        <w:t>.</w:t>
      </w:r>
    </w:p>
    <w:p w:rsidRPr="00E3458A" w:rsidR="00D87E44" w:rsidP="00D226F4" w:rsidRDefault="00D87E44" w14:paraId="154581D3" w14:textId="77777777">
      <w:pPr>
        <w:pStyle w:val="ListParagraph"/>
        <w:ind w:left="360"/>
        <w:jc w:val="both"/>
        <w:rPr>
          <w:b/>
          <w:color w:val="000000" w:themeColor="text1"/>
          <w:lang w:val="en-IE"/>
        </w:rPr>
      </w:pPr>
    </w:p>
    <w:p w:rsidRPr="00E3458A" w:rsidR="00D87E44" w:rsidP="00FF1320" w:rsidRDefault="00D87E44" w14:paraId="154581D4" w14:textId="77777777">
      <w:pPr>
        <w:pStyle w:val="ListParagraph"/>
        <w:numPr>
          <w:ilvl w:val="0"/>
          <w:numId w:val="56"/>
        </w:numPr>
        <w:spacing w:after="160" w:line="259" w:lineRule="auto"/>
        <w:jc w:val="both"/>
        <w:rPr>
          <w:lang w:val="en-IE"/>
        </w:rPr>
      </w:pPr>
      <w:r w:rsidRPr="00E3458A">
        <w:rPr>
          <w:lang w:val="en-IE"/>
        </w:rPr>
        <w:t>Monitoring, audit, and control requirements, including:</w:t>
      </w:r>
    </w:p>
    <w:p w:rsidRPr="00E3458A" w:rsidR="00D87E44" w:rsidP="00FF1320" w:rsidRDefault="00D87E44" w14:paraId="154581D5" w14:textId="77777777">
      <w:pPr>
        <w:pStyle w:val="ListParagraph"/>
        <w:numPr>
          <w:ilvl w:val="1"/>
          <w:numId w:val="56"/>
        </w:numPr>
        <w:spacing w:after="160" w:line="259" w:lineRule="auto"/>
        <w:jc w:val="both"/>
        <w:rPr>
          <w:lang w:val="en-IE"/>
        </w:rPr>
      </w:pPr>
      <w:r w:rsidRPr="00E3458A">
        <w:rPr>
          <w:lang w:val="en-IE"/>
        </w:rPr>
        <w:t>The description of the implementing partner’s monitoring system to report on the investment mobilized.</w:t>
      </w:r>
    </w:p>
    <w:p w:rsidRPr="00E3458A" w:rsidR="00D87E44" w:rsidP="00FF1320" w:rsidRDefault="00D87E44" w14:paraId="154581D6" w14:textId="77777777">
      <w:pPr>
        <w:pStyle w:val="ListParagraph"/>
        <w:numPr>
          <w:ilvl w:val="1"/>
          <w:numId w:val="56"/>
        </w:numPr>
        <w:spacing w:after="160" w:line="259" w:lineRule="auto"/>
        <w:jc w:val="both"/>
        <w:rPr>
          <w:lang w:val="en-IE"/>
        </w:rPr>
      </w:pPr>
      <w:r w:rsidRPr="00E3458A">
        <w:t>The description of the implementing partner’s procedures that will ensure the prevention, detection and correction of fraud, corruption, and conflicts of interests.</w:t>
      </w:r>
    </w:p>
    <w:p w:rsidRPr="00E3458A" w:rsidR="00D87E44" w:rsidP="00FF1320" w:rsidRDefault="00D87E44" w14:paraId="154581D7" w14:textId="77777777">
      <w:pPr>
        <w:pStyle w:val="ListParagraph"/>
        <w:numPr>
          <w:ilvl w:val="1"/>
          <w:numId w:val="56"/>
        </w:numPr>
        <w:spacing w:after="160" w:line="259" w:lineRule="auto"/>
        <w:jc w:val="both"/>
        <w:rPr>
          <w:lang w:val="en-IE"/>
        </w:rPr>
      </w:pPr>
      <w:r w:rsidRPr="00E3458A">
        <w:t>The obligation to verify the eligibility of every operation in accordance with the requirements laid out in the Implementing Agreement before committing to finance an operation.</w:t>
      </w:r>
    </w:p>
    <w:p w:rsidRPr="00CE01FC" w:rsidR="00D87E44" w:rsidP="00FF1320" w:rsidRDefault="00D87E44" w14:paraId="154581D8" w14:textId="77777777">
      <w:pPr>
        <w:pStyle w:val="ListParagraph"/>
        <w:numPr>
          <w:ilvl w:val="1"/>
          <w:numId w:val="56"/>
        </w:numPr>
        <w:spacing w:after="160" w:line="259" w:lineRule="auto"/>
        <w:jc w:val="both"/>
        <w:rPr>
          <w:noProof/>
          <w:szCs w:val="24"/>
        </w:rPr>
      </w:pPr>
      <w:r w:rsidRPr="00E3458A">
        <w:t xml:space="preserve">The obligation of carrying out risk-based ex-post audits in accordance with an audit plan of the National Development Bank. These audits shall verify </w:t>
      </w:r>
      <w:proofErr w:type="spellStart"/>
      <w:r w:rsidRPr="00E3458A">
        <w:t>i</w:t>
      </w:r>
      <w:proofErr w:type="spellEnd"/>
      <w:r w:rsidRPr="00E3458A">
        <w:t>) that the control systems are effective, including the detection of fraud, corruption, and conflict of interests; ii) compliance with the DNSH principle and the State Aid rules; and iii) that the requirement that final beneficiaries of the Facility have not received support from other Union instruments to cover the same cost is respected. The audits shall also verify the legality of the transactions and that the conditions of the applicable Implementing Agreement are being respected.</w:t>
      </w:r>
    </w:p>
    <w:p w:rsidRPr="00FF1320" w:rsidR="00D87E44" w:rsidP="00FF1320" w:rsidRDefault="00D87E44" w14:paraId="154581D9" w14:textId="77777777">
      <w:pPr>
        <w:jc w:val="both"/>
      </w:pPr>
      <w:r w:rsidRPr="00FE48E2">
        <w:rPr>
          <w:rFonts w:eastAsia="Times New Roman"/>
          <w:noProof/>
          <w:color w:val="000000" w:themeColor="text1"/>
          <w:szCs w:val="24"/>
          <w:lang w:val="en-IE"/>
        </w:rPr>
        <w:t>The implementation of the measure shall be completed by 31 August 2026</w:t>
      </w:r>
    </w:p>
    <w:p w:rsidRPr="008C7FAF" w:rsidR="00D87E44" w:rsidP="00D226F4" w:rsidRDefault="00D87E44" w14:paraId="154581DA" w14:textId="77777777">
      <w:pPr>
        <w:ind w:left="360"/>
        <w:jc w:val="both"/>
        <w:rPr>
          <w:noProof/>
          <w:szCs w:val="24"/>
        </w:rPr>
      </w:pPr>
    </w:p>
    <w:p w:rsidRPr="00FF1320" w:rsidR="00D87E44" w:rsidP="00FF1320" w:rsidRDefault="00D87E44" w14:paraId="154581DB" w14:textId="77777777">
      <w:pPr>
        <w:ind w:left="360"/>
        <w:jc w:val="both"/>
        <w:sectPr w:rsidRPr="00FF1320" w:rsidR="00C16C1F" w:rsidSect="00D226F4">
          <w:headerReference w:type="even" r:id="R9135e6011f944277"/>
          <w:headerReference w:type="default" r:id="R41414a32f81b4798"/>
          <w:footerReference w:type="even" r:id="R374d7580c5ab4e65"/>
          <w:footerReference w:type="default" r:id="R2db348abc97f4601"/>
          <w:headerReference w:type="first" r:id="R9e35add023984ff9"/>
          <w:footerReference w:type="first" r:id="R4f58c191552d4424"/>
          <w:pgSz w:w="11907" w:h="16839"/>
          <w:pgMar w:top="1134" w:right="1134" w:bottom="1134" w:left="1134" w:header="567" w:footer="567" w:gutter="0"/>
          <w:cols w:space="708"/>
          <w:docGrid w:linePitch="326"/>
        </w:sectPr>
      </w:pPr>
    </w:p>
    <w:p w:rsidRPr="00FE48E2" w:rsidR="00D87E44" w:rsidP="00D226F4" w:rsidRDefault="00D87E44" w14:paraId="154581DC" w14:textId="77777777">
      <w:pPr>
        <w:tabs>
          <w:tab w:val="left" w:pos="993"/>
        </w:tabs>
        <w:spacing w:line="259" w:lineRule="auto"/>
        <w:jc w:val="both"/>
        <w:rPr>
          <w:rFonts w:eastAsia="Times New Roman"/>
          <w:b/>
          <w:bCs/>
          <w:noProof/>
          <w:color w:val="000000" w:themeColor="text1"/>
          <w:u w:val="single"/>
          <w:lang w:val="en-IE"/>
        </w:rPr>
      </w:pPr>
      <w:r w:rsidRPr="1B282876">
        <w:rPr>
          <w:rFonts w:eastAsia="Times New Roman"/>
          <w:b/>
          <w:bCs/>
          <w:noProof/>
          <w:color w:val="000000" w:themeColor="text1"/>
          <w:u w:val="single"/>
          <w:lang w:val="en-IE"/>
        </w:rPr>
        <w:lastRenderedPageBreak/>
        <w:t xml:space="preserve">Q.4. Milestones, targets, indicators, and </w:t>
      </w:r>
      <w:r w:rsidRPr="1B282876">
        <w:rPr>
          <w:rFonts w:eastAsia="Times New Roman"/>
          <w:b/>
          <w:bCs/>
          <w:noProof/>
          <w:color w:val="000000" w:themeColor="text1"/>
          <w:u w:val="single"/>
          <w:lang w:val="en-IE"/>
        </w:rPr>
        <w:t>timetable for monitoring and implementation for the loan</w:t>
      </w:r>
    </w:p>
    <w:tbl>
      <w:tblPr>
        <w:tblW w:w="15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701"/>
        <w:gridCol w:w="992"/>
        <w:gridCol w:w="1560"/>
        <w:gridCol w:w="1701"/>
        <w:gridCol w:w="1383"/>
        <w:gridCol w:w="917"/>
        <w:gridCol w:w="1015"/>
        <w:gridCol w:w="963"/>
        <w:gridCol w:w="646"/>
        <w:gridCol w:w="4011"/>
      </w:tblGrid>
      <w:tr w:rsidRPr="00FE48E2" w:rsidR="00E3458A" w14:paraId="154581E5" w14:textId="77777777">
        <w:trPr>
          <w:trHeight w:val="672"/>
          <w:tblHeader/>
          <w:jc w:val="center"/>
        </w:trPr>
        <w:tc>
          <w:tcPr>
            <w:tcW w:w="704" w:type="dxa"/>
            <w:vMerge w:val="restart"/>
            <w:shd w:val="clear" w:color="auto" w:fill="BDD7EE"/>
            <w:vAlign w:val="center"/>
            <w:hideMark/>
          </w:tcPr>
          <w:p w:rsidRPr="00FE48E2" w:rsidR="00D87E44" w:rsidRDefault="00D87E44" w14:paraId="154581D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701" w:type="dxa"/>
            <w:vMerge w:val="restart"/>
            <w:shd w:val="clear" w:color="auto" w:fill="BDD7EE"/>
            <w:vAlign w:val="center"/>
            <w:hideMark/>
          </w:tcPr>
          <w:p w:rsidRPr="00FE48E2" w:rsidR="00D87E44" w:rsidRDefault="00D87E44" w14:paraId="154581D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992" w:type="dxa"/>
            <w:vMerge w:val="restart"/>
            <w:shd w:val="clear" w:color="auto" w:fill="BDD7EE"/>
            <w:vAlign w:val="center"/>
            <w:hideMark/>
          </w:tcPr>
          <w:p w:rsidRPr="00FE48E2" w:rsidR="00D87E44" w:rsidRDefault="00D87E44" w14:paraId="154581D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560" w:type="dxa"/>
            <w:vMerge w:val="restart"/>
            <w:shd w:val="clear" w:color="auto" w:fill="BDD7EE"/>
            <w:vAlign w:val="center"/>
            <w:hideMark/>
          </w:tcPr>
          <w:p w:rsidRPr="00FE48E2" w:rsidR="00D87E44" w:rsidRDefault="00D87E44" w14:paraId="154581E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01" w:type="dxa"/>
            <w:vMerge w:val="restart"/>
            <w:shd w:val="clear" w:color="auto" w:fill="BDD7EE"/>
            <w:vAlign w:val="center"/>
            <w:hideMark/>
          </w:tcPr>
          <w:p w:rsidRPr="00FE48E2" w:rsidR="00D87E44" w:rsidRDefault="00D87E44" w14:paraId="154581E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3315" w:type="dxa"/>
            <w:gridSpan w:val="3"/>
            <w:shd w:val="clear" w:color="auto" w:fill="BDD7EE"/>
            <w:vAlign w:val="center"/>
            <w:hideMark/>
          </w:tcPr>
          <w:p w:rsidRPr="00FE48E2" w:rsidR="00D87E44" w:rsidRDefault="00D87E44" w14:paraId="154581E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609" w:type="dxa"/>
            <w:gridSpan w:val="2"/>
            <w:shd w:val="clear" w:color="auto" w:fill="BDD7EE"/>
            <w:vAlign w:val="center"/>
            <w:hideMark/>
          </w:tcPr>
          <w:p w:rsidRPr="00FE48E2" w:rsidR="00D87E44" w:rsidRDefault="00D87E44" w14:paraId="154581E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4011" w:type="dxa"/>
            <w:vMerge w:val="restart"/>
            <w:shd w:val="clear" w:color="auto" w:fill="BDD7EE"/>
            <w:vAlign w:val="center"/>
            <w:hideMark/>
          </w:tcPr>
          <w:p w:rsidRPr="00FE48E2" w:rsidR="00D87E44" w:rsidRDefault="00D87E44" w14:paraId="154581E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1F1" w14:textId="77777777">
        <w:trPr>
          <w:trHeight w:val="458"/>
          <w:tblHeader/>
          <w:jc w:val="center"/>
        </w:trPr>
        <w:tc>
          <w:tcPr>
            <w:tcW w:w="704" w:type="dxa"/>
            <w:vMerge/>
            <w:vAlign w:val="center"/>
            <w:hideMark/>
          </w:tcPr>
          <w:p w:rsidRPr="00FE48E2" w:rsidR="00D87E44" w:rsidRDefault="00D87E44" w14:paraId="154581E6" w14:textId="77777777">
            <w:pPr>
              <w:spacing w:before="0" w:after="0" w:line="240" w:lineRule="auto"/>
              <w:rPr>
                <w:rFonts w:eastAsia="Times New Roman"/>
                <w:b/>
                <w:noProof/>
                <w:sz w:val="18"/>
                <w:szCs w:val="18"/>
                <w:lang w:val="en-IE"/>
              </w:rPr>
            </w:pPr>
          </w:p>
        </w:tc>
        <w:tc>
          <w:tcPr>
            <w:tcW w:w="1701" w:type="dxa"/>
            <w:vMerge/>
            <w:vAlign w:val="center"/>
            <w:hideMark/>
          </w:tcPr>
          <w:p w:rsidRPr="00FE48E2" w:rsidR="00D87E44" w:rsidRDefault="00D87E44" w14:paraId="154581E7" w14:textId="77777777">
            <w:pPr>
              <w:spacing w:before="0" w:after="0" w:line="240" w:lineRule="auto"/>
              <w:rPr>
                <w:rFonts w:eastAsia="Times New Roman"/>
                <w:b/>
                <w:noProof/>
                <w:sz w:val="18"/>
                <w:szCs w:val="18"/>
                <w:lang w:val="en-IE"/>
              </w:rPr>
            </w:pPr>
          </w:p>
        </w:tc>
        <w:tc>
          <w:tcPr>
            <w:tcW w:w="992" w:type="dxa"/>
            <w:vMerge/>
            <w:vAlign w:val="center"/>
            <w:hideMark/>
          </w:tcPr>
          <w:p w:rsidRPr="00FE48E2" w:rsidR="00D87E44" w:rsidRDefault="00D87E44" w14:paraId="154581E8" w14:textId="77777777">
            <w:pPr>
              <w:spacing w:before="0" w:after="0" w:line="240" w:lineRule="auto"/>
              <w:rPr>
                <w:rFonts w:eastAsia="Times New Roman"/>
                <w:b/>
                <w:noProof/>
                <w:sz w:val="18"/>
                <w:szCs w:val="18"/>
                <w:lang w:val="en-IE"/>
              </w:rPr>
            </w:pPr>
          </w:p>
        </w:tc>
        <w:tc>
          <w:tcPr>
            <w:tcW w:w="1560" w:type="dxa"/>
            <w:vMerge/>
            <w:vAlign w:val="center"/>
            <w:hideMark/>
          </w:tcPr>
          <w:p w:rsidRPr="00FE48E2" w:rsidR="00D87E44" w:rsidRDefault="00D87E44" w14:paraId="154581E9" w14:textId="77777777">
            <w:pPr>
              <w:spacing w:before="0" w:after="0" w:line="240" w:lineRule="auto"/>
              <w:rPr>
                <w:rFonts w:eastAsia="Times New Roman"/>
                <w:b/>
                <w:noProof/>
                <w:sz w:val="18"/>
                <w:szCs w:val="18"/>
                <w:lang w:val="en-IE"/>
              </w:rPr>
            </w:pPr>
          </w:p>
        </w:tc>
        <w:tc>
          <w:tcPr>
            <w:tcW w:w="1701" w:type="dxa"/>
            <w:vMerge/>
            <w:vAlign w:val="center"/>
            <w:hideMark/>
          </w:tcPr>
          <w:p w:rsidRPr="00FE48E2" w:rsidR="00D87E44" w:rsidRDefault="00D87E44" w14:paraId="154581EA" w14:textId="77777777">
            <w:pPr>
              <w:spacing w:before="0" w:after="0" w:line="240" w:lineRule="auto"/>
              <w:rPr>
                <w:rFonts w:eastAsia="Times New Roman"/>
                <w:b/>
                <w:noProof/>
                <w:sz w:val="18"/>
                <w:szCs w:val="18"/>
                <w:lang w:val="en-IE"/>
              </w:rPr>
            </w:pPr>
          </w:p>
        </w:tc>
        <w:tc>
          <w:tcPr>
            <w:tcW w:w="1383" w:type="dxa"/>
            <w:shd w:val="clear" w:color="auto" w:fill="BDD7EE"/>
            <w:vAlign w:val="center"/>
            <w:hideMark/>
          </w:tcPr>
          <w:p w:rsidRPr="00C86F28" w:rsidR="00D87E44" w:rsidRDefault="00D87E44" w14:paraId="154581EB"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Unit of measure</w:t>
            </w:r>
          </w:p>
        </w:tc>
        <w:tc>
          <w:tcPr>
            <w:tcW w:w="917" w:type="dxa"/>
            <w:shd w:val="clear" w:color="auto" w:fill="BDD7EE"/>
            <w:vAlign w:val="center"/>
            <w:hideMark/>
          </w:tcPr>
          <w:p w:rsidRPr="00C86F28" w:rsidR="00D87E44" w:rsidRDefault="00D87E44" w14:paraId="154581EC"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Baseline </w:t>
            </w:r>
          </w:p>
        </w:tc>
        <w:tc>
          <w:tcPr>
            <w:tcW w:w="1015" w:type="dxa"/>
            <w:shd w:val="clear" w:color="auto" w:fill="BDD7EE"/>
            <w:vAlign w:val="center"/>
            <w:hideMark/>
          </w:tcPr>
          <w:p w:rsidRPr="00C86F28" w:rsidR="00D87E44" w:rsidRDefault="00D87E44" w14:paraId="154581ED"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Goal </w:t>
            </w:r>
          </w:p>
        </w:tc>
        <w:tc>
          <w:tcPr>
            <w:tcW w:w="963" w:type="dxa"/>
            <w:shd w:val="clear" w:color="auto" w:fill="BDD7EE"/>
            <w:vAlign w:val="center"/>
            <w:hideMark/>
          </w:tcPr>
          <w:p w:rsidRPr="00C86F28" w:rsidR="00D87E44" w:rsidRDefault="00D87E44" w14:paraId="154581EE"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Quarter</w:t>
            </w:r>
          </w:p>
        </w:tc>
        <w:tc>
          <w:tcPr>
            <w:tcW w:w="646" w:type="dxa"/>
            <w:shd w:val="clear" w:color="auto" w:fill="BDD7EE"/>
            <w:vAlign w:val="center"/>
            <w:hideMark/>
          </w:tcPr>
          <w:p w:rsidRPr="00C86F28" w:rsidR="00D87E44" w:rsidRDefault="00D87E44" w14:paraId="154581EF"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Year</w:t>
            </w:r>
          </w:p>
        </w:tc>
        <w:tc>
          <w:tcPr>
            <w:tcW w:w="4011" w:type="dxa"/>
            <w:vMerge/>
            <w:vAlign w:val="center"/>
            <w:hideMark/>
          </w:tcPr>
          <w:p w:rsidRPr="00FE48E2" w:rsidR="00D87E44" w:rsidRDefault="00D87E44" w14:paraId="154581F0" w14:textId="77777777">
            <w:pPr>
              <w:spacing w:before="0" w:after="0" w:line="240" w:lineRule="auto"/>
              <w:rPr>
                <w:rFonts w:eastAsia="Times New Roman"/>
                <w:b/>
                <w:noProof/>
                <w:sz w:val="18"/>
                <w:szCs w:val="18"/>
                <w:lang w:val="en-IE"/>
              </w:rPr>
            </w:pPr>
          </w:p>
        </w:tc>
      </w:tr>
      <w:tr w:rsidRPr="00FE48E2" w:rsidR="00E3458A" w14:paraId="154581FE" w14:textId="77777777">
        <w:trPr>
          <w:trHeight w:val="309"/>
          <w:jc w:val="center"/>
        </w:trPr>
        <w:tc>
          <w:tcPr>
            <w:tcW w:w="704" w:type="dxa"/>
            <w:shd w:val="clear" w:color="auto" w:fill="C6EFCE"/>
            <w:hideMark/>
          </w:tcPr>
          <w:p w:rsidRPr="00CE01FC" w:rsidR="00D87E44" w:rsidRDefault="00D87E44" w14:paraId="154581F2"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264</w:t>
            </w:r>
          </w:p>
        </w:tc>
        <w:tc>
          <w:tcPr>
            <w:tcW w:w="1701" w:type="dxa"/>
            <w:shd w:val="clear" w:color="auto" w:fill="C6EFCE"/>
            <w:hideMark/>
          </w:tcPr>
          <w:p w:rsidRPr="00CE01FC" w:rsidR="00D87E44" w:rsidRDefault="00D87E44" w14:paraId="154581F3"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Investment 1:</w:t>
            </w:r>
          </w:p>
          <w:p w:rsidRPr="00CE01FC" w:rsidR="00D87E44" w:rsidRDefault="00D87E44" w14:paraId="154581F4"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Concessional loan facility</w:t>
            </w:r>
          </w:p>
        </w:tc>
        <w:tc>
          <w:tcPr>
            <w:tcW w:w="992" w:type="dxa"/>
            <w:shd w:val="clear" w:color="auto" w:fill="C6EFCE"/>
            <w:hideMark/>
          </w:tcPr>
          <w:p w:rsidRPr="00CE01FC" w:rsidR="00D87E44" w:rsidRDefault="00D87E44" w14:paraId="154581F5"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Milestone</w:t>
            </w:r>
          </w:p>
        </w:tc>
        <w:tc>
          <w:tcPr>
            <w:tcW w:w="1560" w:type="dxa"/>
            <w:shd w:val="clear" w:color="auto" w:fill="C6EFCE"/>
            <w:hideMark/>
          </w:tcPr>
          <w:p w:rsidRPr="00CE01FC" w:rsidR="00D87E44" w:rsidRDefault="00D87E44" w14:paraId="154581F6"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Implementing Agreement</w:t>
            </w:r>
          </w:p>
        </w:tc>
        <w:tc>
          <w:tcPr>
            <w:tcW w:w="1701" w:type="dxa"/>
            <w:shd w:val="clear" w:color="auto" w:fill="C6EFCE"/>
            <w:hideMark/>
          </w:tcPr>
          <w:p w:rsidRPr="00CE01FC" w:rsidR="00D87E44" w:rsidRDefault="00D87E44" w14:paraId="154581F7"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 xml:space="preserve">Entry into force of the Implementing </w:t>
            </w:r>
            <w:r w:rsidRPr="00CE01FC">
              <w:rPr>
                <w:rFonts w:eastAsia="Times New Roman"/>
                <w:noProof/>
                <w:color w:val="004300"/>
                <w:sz w:val="18"/>
                <w:szCs w:val="18"/>
                <w:lang w:val="en-IE"/>
              </w:rPr>
              <w:t>Agreement</w:t>
            </w:r>
          </w:p>
        </w:tc>
        <w:tc>
          <w:tcPr>
            <w:tcW w:w="1383" w:type="dxa"/>
            <w:shd w:val="clear" w:color="auto" w:fill="C6EFCE"/>
          </w:tcPr>
          <w:p w:rsidRPr="00CE01FC" w:rsidR="00D87E44" w:rsidRDefault="00D87E44" w14:paraId="154581F8" w14:textId="77777777">
            <w:pPr>
              <w:spacing w:before="0" w:after="0" w:line="240" w:lineRule="auto"/>
              <w:rPr>
                <w:rFonts w:eastAsia="Times New Roman"/>
                <w:noProof/>
                <w:color w:val="004300"/>
                <w:sz w:val="18"/>
                <w:szCs w:val="18"/>
                <w:lang w:val="en-IE"/>
              </w:rPr>
            </w:pPr>
          </w:p>
        </w:tc>
        <w:tc>
          <w:tcPr>
            <w:tcW w:w="917" w:type="dxa"/>
            <w:shd w:val="clear" w:color="auto" w:fill="C6EFCE"/>
          </w:tcPr>
          <w:p w:rsidRPr="00CE01FC" w:rsidR="00D87E44" w:rsidRDefault="00D87E44" w14:paraId="154581F9" w14:textId="77777777">
            <w:pPr>
              <w:spacing w:before="0" w:after="0" w:line="240" w:lineRule="auto"/>
              <w:rPr>
                <w:rFonts w:eastAsia="Times New Roman"/>
                <w:noProof/>
                <w:color w:val="004300"/>
                <w:sz w:val="18"/>
                <w:szCs w:val="18"/>
                <w:lang w:val="en-IE"/>
              </w:rPr>
            </w:pPr>
          </w:p>
        </w:tc>
        <w:tc>
          <w:tcPr>
            <w:tcW w:w="1015" w:type="dxa"/>
            <w:shd w:val="clear" w:color="auto" w:fill="C6EFCE"/>
          </w:tcPr>
          <w:p w:rsidRPr="00CE01FC" w:rsidR="00D87E44" w:rsidRDefault="00D87E44" w14:paraId="154581FA" w14:textId="77777777">
            <w:pPr>
              <w:spacing w:before="0" w:after="0" w:line="240" w:lineRule="auto"/>
              <w:rPr>
                <w:rFonts w:eastAsia="Times New Roman"/>
                <w:noProof/>
                <w:color w:val="004300"/>
                <w:sz w:val="18"/>
                <w:szCs w:val="18"/>
                <w:lang w:val="en-IE"/>
              </w:rPr>
            </w:pPr>
          </w:p>
        </w:tc>
        <w:tc>
          <w:tcPr>
            <w:tcW w:w="963" w:type="dxa"/>
            <w:shd w:val="clear" w:color="auto" w:fill="C6EFCE"/>
            <w:hideMark/>
          </w:tcPr>
          <w:p w:rsidRPr="00CE01FC" w:rsidR="00D87E44" w:rsidRDefault="00D87E44" w14:paraId="154581FB"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Q3</w:t>
            </w:r>
          </w:p>
        </w:tc>
        <w:tc>
          <w:tcPr>
            <w:tcW w:w="646" w:type="dxa"/>
            <w:shd w:val="clear" w:color="auto" w:fill="C6EFCE"/>
            <w:hideMark/>
          </w:tcPr>
          <w:p w:rsidRPr="00CE01FC" w:rsidR="00D87E44" w:rsidRDefault="00D87E44" w14:paraId="154581FC"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2024</w:t>
            </w:r>
          </w:p>
        </w:tc>
        <w:tc>
          <w:tcPr>
            <w:tcW w:w="4011" w:type="dxa"/>
            <w:shd w:val="clear" w:color="auto" w:fill="C6EFCE"/>
            <w:hideMark/>
          </w:tcPr>
          <w:p w:rsidRPr="00CE01FC" w:rsidR="00D87E44" w:rsidRDefault="00D87E44" w14:paraId="154581FD"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Entry into force of the Implementing Agreement.</w:t>
            </w:r>
          </w:p>
        </w:tc>
      </w:tr>
      <w:tr w:rsidRPr="00FE48E2" w:rsidR="00E3458A" w14:paraId="1545820B" w14:textId="77777777">
        <w:trPr>
          <w:trHeight w:val="309"/>
          <w:jc w:val="center"/>
        </w:trPr>
        <w:tc>
          <w:tcPr>
            <w:tcW w:w="704" w:type="dxa"/>
            <w:shd w:val="clear" w:color="auto" w:fill="C6EFCE"/>
          </w:tcPr>
          <w:p w:rsidRPr="00A12BF7" w:rsidR="00D87E44" w:rsidRDefault="00D87E44" w14:paraId="154581FF" w14:textId="77777777">
            <w:pPr>
              <w:spacing w:before="0" w:after="0" w:line="240" w:lineRule="auto"/>
              <w:rPr>
                <w:noProof/>
              </w:rPr>
            </w:pPr>
            <w:r w:rsidRPr="00A12BF7">
              <w:rPr>
                <w:rFonts w:eastAsia="Times New Roman"/>
                <w:noProof/>
                <w:color w:val="004300"/>
                <w:sz w:val="18"/>
                <w:szCs w:val="18"/>
                <w:lang w:val="en-IE"/>
              </w:rPr>
              <w:t>265</w:t>
            </w:r>
          </w:p>
        </w:tc>
        <w:tc>
          <w:tcPr>
            <w:tcW w:w="1701" w:type="dxa"/>
            <w:shd w:val="clear" w:color="auto" w:fill="C6EFCE"/>
          </w:tcPr>
          <w:p w:rsidRPr="00A12BF7" w:rsidR="00D87E44" w:rsidRDefault="00D87E44" w14:paraId="15458200"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Investment 1:</w:t>
            </w:r>
          </w:p>
          <w:p w:rsidRPr="00A12BF7" w:rsidR="00D87E44" w:rsidRDefault="00D87E44" w14:paraId="15458201"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Concessional loan facility</w:t>
            </w:r>
          </w:p>
        </w:tc>
        <w:tc>
          <w:tcPr>
            <w:tcW w:w="992" w:type="dxa"/>
            <w:shd w:val="clear" w:color="auto" w:fill="C6EFCE"/>
          </w:tcPr>
          <w:p w:rsidRPr="00A12BF7" w:rsidR="00D87E44" w:rsidRDefault="00D87E44" w14:paraId="15458202"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Target</w:t>
            </w:r>
          </w:p>
        </w:tc>
        <w:tc>
          <w:tcPr>
            <w:tcW w:w="1560" w:type="dxa"/>
            <w:shd w:val="clear" w:color="auto" w:fill="C6EFCE"/>
          </w:tcPr>
          <w:p w:rsidRPr="00A12BF7" w:rsidR="00D87E44" w:rsidRDefault="00D87E44" w14:paraId="15458203"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Legal agreements signed with final beneficiaries</w:t>
            </w:r>
          </w:p>
        </w:tc>
        <w:tc>
          <w:tcPr>
            <w:tcW w:w="1701" w:type="dxa"/>
            <w:shd w:val="clear" w:color="auto" w:fill="C6EFCE"/>
          </w:tcPr>
          <w:p w:rsidRPr="00A12BF7" w:rsidR="00D87E44" w:rsidRDefault="00D87E44" w14:paraId="15458204" w14:textId="77777777">
            <w:pPr>
              <w:spacing w:before="0" w:after="0" w:line="240" w:lineRule="auto"/>
              <w:rPr>
                <w:rFonts w:eastAsia="Times New Roman"/>
                <w:noProof/>
                <w:color w:val="004300"/>
                <w:sz w:val="18"/>
                <w:szCs w:val="18"/>
                <w:lang w:val="en-IE"/>
              </w:rPr>
            </w:pPr>
          </w:p>
        </w:tc>
        <w:tc>
          <w:tcPr>
            <w:tcW w:w="1383" w:type="dxa"/>
            <w:shd w:val="clear" w:color="auto" w:fill="C6EFCE"/>
          </w:tcPr>
          <w:p w:rsidRPr="00A12BF7" w:rsidR="00D87E44" w:rsidRDefault="00D87E44" w14:paraId="15458205"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(Percentage)</w:t>
            </w:r>
          </w:p>
        </w:tc>
        <w:tc>
          <w:tcPr>
            <w:tcW w:w="917" w:type="dxa"/>
            <w:shd w:val="clear" w:color="auto" w:fill="C6EFCE"/>
          </w:tcPr>
          <w:p w:rsidRPr="00A12BF7" w:rsidR="00D87E44" w:rsidRDefault="00D87E44" w14:paraId="15458206"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0</w:t>
            </w:r>
          </w:p>
        </w:tc>
        <w:tc>
          <w:tcPr>
            <w:tcW w:w="1015" w:type="dxa"/>
            <w:shd w:val="clear" w:color="auto" w:fill="C6EFCE"/>
          </w:tcPr>
          <w:p w:rsidRPr="00A12BF7" w:rsidR="00D87E44" w:rsidRDefault="00D87E44" w14:paraId="15458207"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100</w:t>
            </w:r>
          </w:p>
        </w:tc>
        <w:tc>
          <w:tcPr>
            <w:tcW w:w="963" w:type="dxa"/>
            <w:shd w:val="clear" w:color="auto" w:fill="C6EFCE"/>
          </w:tcPr>
          <w:p w:rsidRPr="00A12BF7" w:rsidR="00D87E44" w:rsidRDefault="00D87E44" w14:paraId="15458208"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Q2</w:t>
            </w:r>
          </w:p>
        </w:tc>
        <w:tc>
          <w:tcPr>
            <w:tcW w:w="646" w:type="dxa"/>
            <w:shd w:val="clear" w:color="auto" w:fill="C6EFCE"/>
          </w:tcPr>
          <w:p w:rsidRPr="00A12BF7" w:rsidR="00D87E44" w:rsidRDefault="00D87E44" w14:paraId="15458209"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2026</w:t>
            </w:r>
          </w:p>
        </w:tc>
        <w:tc>
          <w:tcPr>
            <w:tcW w:w="4011" w:type="dxa"/>
            <w:shd w:val="clear" w:color="auto" w:fill="C6EFCE"/>
          </w:tcPr>
          <w:p w:rsidRPr="00A12BF7" w:rsidR="00D87E44" w:rsidRDefault="00D87E44" w14:paraId="1545820A"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xml:space="preserve">The State Investment Support Fund shall have </w:t>
            </w:r>
            <w:r w:rsidRPr="00A12BF7">
              <w:rPr>
                <w:rFonts w:eastAsia="Times New Roman"/>
                <w:noProof/>
                <w:color w:val="004300"/>
                <w:sz w:val="18"/>
                <w:szCs w:val="18"/>
                <w:lang w:val="en-IE"/>
              </w:rPr>
              <w:t>entered into legal financing agreements with final beneficiaries for an amount necessary to use 100% of the RRF investment into the Facility (taking into account management fees).</w:t>
            </w:r>
          </w:p>
        </w:tc>
      </w:tr>
      <w:tr w:rsidRPr="00FE48E2" w:rsidR="00E3458A" w14:paraId="15458218" w14:textId="77777777">
        <w:trPr>
          <w:trHeight w:val="309"/>
          <w:jc w:val="center"/>
        </w:trPr>
        <w:tc>
          <w:tcPr>
            <w:tcW w:w="704" w:type="dxa"/>
            <w:shd w:val="clear" w:color="auto" w:fill="C6EFCE"/>
          </w:tcPr>
          <w:p w:rsidRPr="00A12BF7" w:rsidR="00D87E44" w:rsidRDefault="00D87E44" w14:paraId="1545820C" w14:textId="77777777">
            <w:pPr>
              <w:spacing w:before="0" w:after="0" w:line="240" w:lineRule="auto"/>
              <w:rPr>
                <w:noProof/>
              </w:rPr>
            </w:pPr>
            <w:r w:rsidRPr="00A12BF7">
              <w:rPr>
                <w:rFonts w:eastAsia="Times New Roman"/>
                <w:noProof/>
                <w:color w:val="004300"/>
                <w:sz w:val="18"/>
                <w:szCs w:val="18"/>
                <w:lang w:val="en-IE"/>
              </w:rPr>
              <w:t>266</w:t>
            </w:r>
          </w:p>
        </w:tc>
        <w:tc>
          <w:tcPr>
            <w:tcW w:w="1701" w:type="dxa"/>
            <w:shd w:val="clear" w:color="auto" w:fill="C6EFCE"/>
          </w:tcPr>
          <w:p w:rsidRPr="00A12BF7" w:rsidR="00D87E44" w:rsidRDefault="00D87E44" w14:paraId="1545820D" w14:textId="77777777">
            <w:pPr>
              <w:spacing w:before="0" w:after="0" w:line="240" w:lineRule="auto"/>
              <w:rPr>
                <w:rFonts w:eastAsia="Times New Roman"/>
                <w:noProof/>
                <w:color w:val="004300"/>
                <w:sz w:val="18"/>
                <w:szCs w:val="18"/>
                <w:lang w:val="en-IE" w:eastAsia="en-GB"/>
              </w:rPr>
            </w:pPr>
            <w:r w:rsidRPr="00A12BF7">
              <w:rPr>
                <w:rFonts w:eastAsia="Times New Roman"/>
                <w:noProof/>
                <w:color w:val="004300"/>
                <w:sz w:val="18"/>
                <w:szCs w:val="18"/>
                <w:lang w:val="en-IE" w:eastAsia="en-GB"/>
              </w:rPr>
              <w:t>Investment 1:</w:t>
            </w:r>
          </w:p>
          <w:p w:rsidRPr="00A12BF7" w:rsidR="00D87E44" w:rsidRDefault="00D87E44" w14:paraId="1545820E" w14:textId="77777777">
            <w:pPr>
              <w:spacing w:before="0" w:after="0" w:line="240" w:lineRule="auto"/>
              <w:rPr>
                <w:rFonts w:eastAsia="Times New Roman"/>
                <w:noProof/>
                <w:color w:val="004300"/>
                <w:sz w:val="18"/>
                <w:szCs w:val="18"/>
                <w:lang w:val="en-IE" w:eastAsia="en-GB"/>
              </w:rPr>
            </w:pPr>
            <w:r w:rsidRPr="00A12BF7">
              <w:rPr>
                <w:rFonts w:eastAsia="Times New Roman"/>
                <w:noProof/>
                <w:color w:val="004300"/>
                <w:sz w:val="18"/>
                <w:szCs w:val="18"/>
                <w:lang w:val="en-IE" w:eastAsia="en-GB"/>
              </w:rPr>
              <w:t>Concessional loan facility</w:t>
            </w:r>
          </w:p>
        </w:tc>
        <w:tc>
          <w:tcPr>
            <w:tcW w:w="992" w:type="dxa"/>
            <w:shd w:val="clear" w:color="auto" w:fill="C6EFCE"/>
          </w:tcPr>
          <w:p w:rsidRPr="00A12BF7" w:rsidR="00D87E44" w:rsidRDefault="00D87E44" w14:paraId="1545820F"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Milestone</w:t>
            </w:r>
          </w:p>
        </w:tc>
        <w:tc>
          <w:tcPr>
            <w:tcW w:w="1560" w:type="dxa"/>
            <w:shd w:val="clear" w:color="auto" w:fill="C6EFCE"/>
          </w:tcPr>
          <w:p w:rsidRPr="00A12BF7" w:rsidR="00D87E44" w:rsidRDefault="00D87E44" w14:paraId="15458210"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xml:space="preserve">Transfer of </w:t>
            </w:r>
            <w:r w:rsidRPr="00A12BF7">
              <w:rPr>
                <w:rFonts w:eastAsia="Times New Roman"/>
                <w:noProof/>
                <w:color w:val="004300"/>
                <w:sz w:val="18"/>
                <w:szCs w:val="18"/>
                <w:lang w:val="en-IE"/>
              </w:rPr>
              <w:t>funds</w:t>
            </w:r>
          </w:p>
        </w:tc>
        <w:tc>
          <w:tcPr>
            <w:tcW w:w="1701" w:type="dxa"/>
            <w:shd w:val="clear" w:color="auto" w:fill="C6EFCE"/>
          </w:tcPr>
          <w:p w:rsidRPr="00A12BF7" w:rsidR="00D87E44" w:rsidRDefault="00D87E44" w14:paraId="15458211"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Certificate of transfer</w:t>
            </w:r>
          </w:p>
        </w:tc>
        <w:tc>
          <w:tcPr>
            <w:tcW w:w="1383" w:type="dxa"/>
            <w:shd w:val="clear" w:color="auto" w:fill="C6EFCE"/>
          </w:tcPr>
          <w:p w:rsidRPr="00A12BF7" w:rsidR="00D87E44" w:rsidRDefault="00D87E44" w14:paraId="15458212" w14:textId="77777777">
            <w:pPr>
              <w:spacing w:before="0" w:after="0" w:line="240" w:lineRule="auto"/>
              <w:rPr>
                <w:rFonts w:eastAsia="Times New Roman"/>
                <w:noProof/>
                <w:color w:val="004300"/>
                <w:sz w:val="18"/>
                <w:szCs w:val="18"/>
                <w:lang w:val="en-IE"/>
              </w:rPr>
            </w:pPr>
          </w:p>
        </w:tc>
        <w:tc>
          <w:tcPr>
            <w:tcW w:w="917" w:type="dxa"/>
            <w:shd w:val="clear" w:color="auto" w:fill="C6EFCE"/>
          </w:tcPr>
          <w:p w:rsidRPr="00A12BF7" w:rsidR="00D87E44" w:rsidRDefault="00D87E44" w14:paraId="15458213" w14:textId="77777777">
            <w:pPr>
              <w:spacing w:before="0" w:after="0" w:line="240" w:lineRule="auto"/>
              <w:rPr>
                <w:rFonts w:eastAsia="Times New Roman"/>
                <w:noProof/>
                <w:color w:val="004300"/>
                <w:sz w:val="18"/>
                <w:szCs w:val="18"/>
                <w:lang w:val="en-IE"/>
              </w:rPr>
            </w:pPr>
          </w:p>
        </w:tc>
        <w:tc>
          <w:tcPr>
            <w:tcW w:w="1015" w:type="dxa"/>
            <w:shd w:val="clear" w:color="auto" w:fill="C6EFCE"/>
          </w:tcPr>
          <w:p w:rsidRPr="00A12BF7" w:rsidR="00D87E44" w:rsidRDefault="00D87E44" w14:paraId="15458214" w14:textId="77777777">
            <w:pPr>
              <w:spacing w:before="0" w:after="0" w:line="240" w:lineRule="auto"/>
              <w:rPr>
                <w:rFonts w:eastAsia="Times New Roman"/>
                <w:noProof/>
                <w:color w:val="004300"/>
                <w:sz w:val="18"/>
                <w:szCs w:val="18"/>
                <w:lang w:val="en-IE"/>
              </w:rPr>
            </w:pPr>
          </w:p>
        </w:tc>
        <w:tc>
          <w:tcPr>
            <w:tcW w:w="963" w:type="dxa"/>
            <w:shd w:val="clear" w:color="auto" w:fill="C6EFCE"/>
          </w:tcPr>
          <w:p w:rsidRPr="00A12BF7" w:rsidR="00D87E44" w:rsidRDefault="00D87E44" w14:paraId="15458215"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Q2</w:t>
            </w:r>
          </w:p>
        </w:tc>
        <w:tc>
          <w:tcPr>
            <w:tcW w:w="646" w:type="dxa"/>
            <w:shd w:val="clear" w:color="auto" w:fill="C6EFCE"/>
          </w:tcPr>
          <w:p w:rsidRPr="00A12BF7" w:rsidR="00D87E44" w:rsidRDefault="00D87E44" w14:paraId="15458216"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2026</w:t>
            </w:r>
          </w:p>
        </w:tc>
        <w:tc>
          <w:tcPr>
            <w:tcW w:w="4011" w:type="dxa"/>
            <w:shd w:val="clear" w:color="auto" w:fill="C6EFCE"/>
          </w:tcPr>
          <w:p w:rsidRPr="00A12BF7" w:rsidR="00D87E44" w:rsidRDefault="00D87E44" w14:paraId="15458217"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Czechia shall transfer EUR 170 460</w:t>
            </w:r>
            <w:r w:rsidRPr="00A12BF7">
              <w:rPr>
                <w:rFonts w:eastAsia="Times New Roman"/>
                <w:noProof/>
                <w:color w:val="006100"/>
                <w:sz w:val="20"/>
                <w:szCs w:val="20"/>
                <w:lang w:val="en-IE" w:eastAsia="en-GB"/>
              </w:rPr>
              <w:t> </w:t>
            </w:r>
            <w:r w:rsidRPr="00A12BF7">
              <w:rPr>
                <w:rFonts w:eastAsia="Times New Roman"/>
                <w:noProof/>
                <w:color w:val="004300"/>
                <w:sz w:val="18"/>
                <w:szCs w:val="18"/>
                <w:lang w:val="en-IE"/>
              </w:rPr>
              <w:t>000 to the State Investment Support Fund for the Facility.</w:t>
            </w:r>
          </w:p>
        </w:tc>
      </w:tr>
      <w:tr w:rsidRPr="00FE48E2" w:rsidR="00E3458A" w14:paraId="15458225" w14:textId="77777777">
        <w:trPr>
          <w:trHeight w:val="309"/>
          <w:jc w:val="center"/>
        </w:trPr>
        <w:tc>
          <w:tcPr>
            <w:tcW w:w="704" w:type="dxa"/>
            <w:shd w:val="clear" w:color="auto" w:fill="C6EFCE"/>
          </w:tcPr>
          <w:p w:rsidRPr="00CE01FC" w:rsidR="00D87E44" w:rsidRDefault="00D87E44" w14:paraId="15458219" w14:textId="77777777">
            <w:pPr>
              <w:spacing w:before="0" w:after="0" w:line="240" w:lineRule="auto"/>
              <w:rPr>
                <w:noProof/>
              </w:rPr>
            </w:pPr>
            <w:r w:rsidRPr="00CE01FC">
              <w:rPr>
                <w:rFonts w:eastAsia="Times New Roman"/>
                <w:noProof/>
                <w:color w:val="004300"/>
                <w:sz w:val="18"/>
                <w:szCs w:val="18"/>
                <w:lang w:val="en-IE"/>
              </w:rPr>
              <w:t>267</w:t>
            </w:r>
          </w:p>
        </w:tc>
        <w:tc>
          <w:tcPr>
            <w:tcW w:w="1701" w:type="dxa"/>
            <w:shd w:val="clear" w:color="auto" w:fill="C6EFCE"/>
          </w:tcPr>
          <w:p w:rsidRPr="00CE01FC" w:rsidR="00D87E44" w:rsidRDefault="00D87E44" w14:paraId="1545821A"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Investment 2:</w:t>
            </w:r>
            <w:r w:rsidRPr="00A12BF7">
              <w:rPr>
                <w:rFonts w:eastAsia="Times New Roman"/>
                <w:noProof/>
                <w:color w:val="004300"/>
                <w:sz w:val="18"/>
                <w:szCs w:val="18"/>
                <w:lang w:val="en-IE"/>
              </w:rPr>
              <w:t xml:space="preserve"> </w:t>
            </w:r>
          </w:p>
          <w:p w:rsidRPr="00CE01FC" w:rsidR="00D87E44" w:rsidRDefault="00D87E44" w14:paraId="1545821B"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Subordinated loan facility</w:t>
            </w:r>
          </w:p>
        </w:tc>
        <w:tc>
          <w:tcPr>
            <w:tcW w:w="992" w:type="dxa"/>
            <w:shd w:val="clear" w:color="auto" w:fill="C6EFCE"/>
          </w:tcPr>
          <w:p w:rsidRPr="00CE01FC" w:rsidR="00D87E44" w:rsidRDefault="00D87E44" w14:paraId="1545821C"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Milestone</w:t>
            </w:r>
          </w:p>
        </w:tc>
        <w:tc>
          <w:tcPr>
            <w:tcW w:w="1560" w:type="dxa"/>
            <w:shd w:val="clear" w:color="auto" w:fill="C6EFCE"/>
          </w:tcPr>
          <w:p w:rsidRPr="00CE01FC" w:rsidR="00D87E44" w:rsidRDefault="00D87E44" w14:paraId="1545821D"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Implementing Agreement</w:t>
            </w:r>
          </w:p>
        </w:tc>
        <w:tc>
          <w:tcPr>
            <w:tcW w:w="1701" w:type="dxa"/>
            <w:shd w:val="clear" w:color="auto" w:fill="C6EFCE"/>
          </w:tcPr>
          <w:p w:rsidRPr="00CE01FC" w:rsidR="00D87E44" w:rsidRDefault="00D87E44" w14:paraId="1545821E"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 xml:space="preserve">Entry into force of the </w:t>
            </w:r>
            <w:r w:rsidRPr="00CE01FC">
              <w:rPr>
                <w:rFonts w:eastAsia="Times New Roman"/>
                <w:noProof/>
                <w:color w:val="004300"/>
                <w:sz w:val="18"/>
                <w:szCs w:val="18"/>
                <w:lang w:val="en-IE"/>
              </w:rPr>
              <w:t>Implementing Agreement</w:t>
            </w:r>
          </w:p>
        </w:tc>
        <w:tc>
          <w:tcPr>
            <w:tcW w:w="1383" w:type="dxa"/>
            <w:shd w:val="clear" w:color="auto" w:fill="C6EFCE"/>
          </w:tcPr>
          <w:p w:rsidRPr="00CE01FC" w:rsidR="00D87E44" w:rsidRDefault="00D87E44" w14:paraId="1545821F" w14:textId="77777777">
            <w:pPr>
              <w:spacing w:before="0" w:after="0" w:line="240" w:lineRule="auto"/>
              <w:rPr>
                <w:rFonts w:eastAsia="Times New Roman"/>
                <w:noProof/>
                <w:color w:val="004300"/>
                <w:sz w:val="18"/>
                <w:szCs w:val="18"/>
                <w:lang w:val="en-IE"/>
              </w:rPr>
            </w:pPr>
          </w:p>
        </w:tc>
        <w:tc>
          <w:tcPr>
            <w:tcW w:w="917" w:type="dxa"/>
            <w:shd w:val="clear" w:color="auto" w:fill="C6EFCE"/>
          </w:tcPr>
          <w:p w:rsidRPr="00CE01FC" w:rsidR="00D87E44" w:rsidRDefault="00D87E44" w14:paraId="15458220" w14:textId="77777777">
            <w:pPr>
              <w:spacing w:before="0" w:after="0" w:line="240" w:lineRule="auto"/>
              <w:rPr>
                <w:rFonts w:eastAsia="Times New Roman"/>
                <w:noProof/>
                <w:color w:val="004300"/>
                <w:sz w:val="18"/>
                <w:szCs w:val="18"/>
                <w:lang w:val="en-IE"/>
              </w:rPr>
            </w:pPr>
          </w:p>
        </w:tc>
        <w:tc>
          <w:tcPr>
            <w:tcW w:w="1015" w:type="dxa"/>
            <w:shd w:val="clear" w:color="auto" w:fill="C6EFCE"/>
          </w:tcPr>
          <w:p w:rsidRPr="00CE01FC" w:rsidR="00D87E44" w:rsidRDefault="00D87E44" w14:paraId="15458221" w14:textId="77777777">
            <w:pPr>
              <w:spacing w:before="0" w:after="0" w:line="240" w:lineRule="auto"/>
              <w:rPr>
                <w:rFonts w:eastAsia="Times New Roman"/>
                <w:noProof/>
                <w:color w:val="004300"/>
                <w:sz w:val="18"/>
                <w:szCs w:val="18"/>
                <w:lang w:val="en-IE"/>
              </w:rPr>
            </w:pPr>
          </w:p>
        </w:tc>
        <w:tc>
          <w:tcPr>
            <w:tcW w:w="963" w:type="dxa"/>
            <w:shd w:val="clear" w:color="auto" w:fill="C6EFCE"/>
          </w:tcPr>
          <w:p w:rsidRPr="00CE01FC" w:rsidR="00D87E44" w:rsidRDefault="00D87E44" w14:paraId="15458222"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Q3</w:t>
            </w:r>
          </w:p>
        </w:tc>
        <w:tc>
          <w:tcPr>
            <w:tcW w:w="646" w:type="dxa"/>
            <w:shd w:val="clear" w:color="auto" w:fill="C6EFCE"/>
          </w:tcPr>
          <w:p w:rsidRPr="00CE01FC" w:rsidR="00D87E44" w:rsidRDefault="00D87E44" w14:paraId="15458223"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2024</w:t>
            </w:r>
          </w:p>
        </w:tc>
        <w:tc>
          <w:tcPr>
            <w:tcW w:w="4011" w:type="dxa"/>
            <w:shd w:val="clear" w:color="auto" w:fill="C6EFCE"/>
          </w:tcPr>
          <w:p w:rsidRPr="00CE01FC" w:rsidR="00D87E44" w:rsidRDefault="00D87E44" w14:paraId="15458224" w14:textId="77777777">
            <w:pPr>
              <w:spacing w:before="0" w:after="0" w:line="240" w:lineRule="auto"/>
              <w:rPr>
                <w:rFonts w:eastAsia="Times New Roman"/>
                <w:noProof/>
                <w:color w:val="004300"/>
                <w:sz w:val="18"/>
                <w:szCs w:val="18"/>
                <w:lang w:val="en-IE"/>
              </w:rPr>
            </w:pPr>
            <w:r w:rsidRPr="00CE01FC">
              <w:rPr>
                <w:rFonts w:eastAsia="Times New Roman"/>
                <w:noProof/>
                <w:color w:val="004300"/>
                <w:sz w:val="18"/>
                <w:szCs w:val="18"/>
                <w:lang w:val="en-IE"/>
              </w:rPr>
              <w:t>Entry into force of the Implementing Agreement.</w:t>
            </w:r>
          </w:p>
        </w:tc>
      </w:tr>
      <w:tr w:rsidRPr="00FE48E2" w:rsidR="00E3458A" w14:paraId="15458232" w14:textId="77777777">
        <w:trPr>
          <w:trHeight w:val="309"/>
          <w:jc w:val="center"/>
        </w:trPr>
        <w:tc>
          <w:tcPr>
            <w:tcW w:w="704" w:type="dxa"/>
            <w:shd w:val="clear" w:color="auto" w:fill="C6EFCE"/>
          </w:tcPr>
          <w:p w:rsidRPr="00A12BF7" w:rsidR="00D87E44" w:rsidRDefault="00D87E44" w14:paraId="15458226"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268</w:t>
            </w:r>
          </w:p>
        </w:tc>
        <w:tc>
          <w:tcPr>
            <w:tcW w:w="1701" w:type="dxa"/>
            <w:shd w:val="clear" w:color="auto" w:fill="C6EFCE"/>
          </w:tcPr>
          <w:p w:rsidRPr="00A12BF7" w:rsidR="00D87E44" w:rsidRDefault="00D87E44" w14:paraId="15458227"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xml:space="preserve">Investment 2: </w:t>
            </w:r>
          </w:p>
          <w:p w:rsidRPr="00A12BF7" w:rsidR="00D87E44" w:rsidRDefault="00D87E44" w14:paraId="15458228"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Subordinated loan facility</w:t>
            </w:r>
          </w:p>
        </w:tc>
        <w:tc>
          <w:tcPr>
            <w:tcW w:w="992" w:type="dxa"/>
            <w:shd w:val="clear" w:color="auto" w:fill="C6EFCE"/>
          </w:tcPr>
          <w:p w:rsidRPr="00A12BF7" w:rsidR="00D87E44" w:rsidRDefault="00D87E44" w14:paraId="15458229"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Target</w:t>
            </w:r>
          </w:p>
        </w:tc>
        <w:tc>
          <w:tcPr>
            <w:tcW w:w="1560" w:type="dxa"/>
            <w:shd w:val="clear" w:color="auto" w:fill="C6EFCE"/>
          </w:tcPr>
          <w:p w:rsidRPr="00A12BF7" w:rsidR="00D87E44" w:rsidRDefault="00D87E44" w14:paraId="1545822A"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Legal agreements signed with final beneficiaries</w:t>
            </w:r>
          </w:p>
        </w:tc>
        <w:tc>
          <w:tcPr>
            <w:tcW w:w="1701" w:type="dxa"/>
            <w:shd w:val="clear" w:color="auto" w:fill="C6EFCE"/>
          </w:tcPr>
          <w:p w:rsidRPr="00A12BF7" w:rsidR="00D87E44" w:rsidRDefault="00D87E44" w14:paraId="1545822B" w14:textId="77777777">
            <w:pPr>
              <w:spacing w:before="0" w:after="0" w:line="240" w:lineRule="auto"/>
              <w:rPr>
                <w:rFonts w:eastAsia="Times New Roman"/>
                <w:noProof/>
                <w:color w:val="004300"/>
                <w:sz w:val="18"/>
                <w:szCs w:val="18"/>
                <w:lang w:val="en-IE"/>
              </w:rPr>
            </w:pPr>
          </w:p>
        </w:tc>
        <w:tc>
          <w:tcPr>
            <w:tcW w:w="1383" w:type="dxa"/>
            <w:shd w:val="clear" w:color="auto" w:fill="C6EFCE"/>
          </w:tcPr>
          <w:p w:rsidRPr="00A12BF7" w:rsidR="00D87E44" w:rsidRDefault="00D87E44" w14:paraId="1545822C"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(Percentage)</w:t>
            </w:r>
          </w:p>
        </w:tc>
        <w:tc>
          <w:tcPr>
            <w:tcW w:w="917" w:type="dxa"/>
            <w:shd w:val="clear" w:color="auto" w:fill="C6EFCE"/>
          </w:tcPr>
          <w:p w:rsidRPr="00A12BF7" w:rsidR="00D87E44" w:rsidRDefault="00D87E44" w14:paraId="1545822D"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0</w:t>
            </w:r>
          </w:p>
        </w:tc>
        <w:tc>
          <w:tcPr>
            <w:tcW w:w="1015" w:type="dxa"/>
            <w:shd w:val="clear" w:color="auto" w:fill="C6EFCE"/>
          </w:tcPr>
          <w:p w:rsidRPr="00A12BF7" w:rsidR="00D87E44" w:rsidRDefault="00D87E44" w14:paraId="1545822E"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100</w:t>
            </w:r>
          </w:p>
        </w:tc>
        <w:tc>
          <w:tcPr>
            <w:tcW w:w="963" w:type="dxa"/>
            <w:shd w:val="clear" w:color="auto" w:fill="C6EFCE"/>
          </w:tcPr>
          <w:p w:rsidRPr="00A12BF7" w:rsidR="00D87E44" w:rsidRDefault="00D87E44" w14:paraId="1545822F"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Q2</w:t>
            </w:r>
          </w:p>
        </w:tc>
        <w:tc>
          <w:tcPr>
            <w:tcW w:w="646" w:type="dxa"/>
            <w:shd w:val="clear" w:color="auto" w:fill="C6EFCE"/>
          </w:tcPr>
          <w:p w:rsidRPr="00A12BF7" w:rsidR="00D87E44" w:rsidRDefault="00D87E44" w14:paraId="15458230" w14:textId="77777777">
            <w:pPr>
              <w:spacing w:after="0" w:line="240" w:lineRule="auto"/>
              <w:rPr>
                <w:rFonts w:eastAsia="Times New Roman"/>
                <w:noProof/>
                <w:color w:val="004300"/>
                <w:sz w:val="18"/>
                <w:szCs w:val="18"/>
                <w:lang w:val="en-IE"/>
              </w:rPr>
            </w:pPr>
            <w:r w:rsidRPr="00A12BF7">
              <w:rPr>
                <w:rFonts w:eastAsia="Times New Roman"/>
                <w:noProof/>
                <w:color w:val="004300"/>
                <w:sz w:val="18"/>
                <w:szCs w:val="18"/>
                <w:lang w:val="en-IE"/>
              </w:rPr>
              <w:t>2026</w:t>
            </w:r>
          </w:p>
        </w:tc>
        <w:tc>
          <w:tcPr>
            <w:tcW w:w="4011" w:type="dxa"/>
            <w:shd w:val="clear" w:color="auto" w:fill="C6EFCE"/>
          </w:tcPr>
          <w:p w:rsidRPr="00A12BF7" w:rsidR="00D87E44" w:rsidRDefault="00D87E44" w14:paraId="15458231"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xml:space="preserve">The National Development Bank shall </w:t>
            </w:r>
            <w:r w:rsidRPr="00A12BF7">
              <w:rPr>
                <w:rFonts w:eastAsia="Times New Roman"/>
                <w:noProof/>
                <w:color w:val="004300"/>
                <w:sz w:val="18"/>
                <w:szCs w:val="18"/>
                <w:lang w:val="en-IE"/>
              </w:rPr>
              <w:t>have entered into legal financing agreements with final beneficiaries for an amount necessary to use 100% of the RRF investment into the Facility (taking into account management fees).</w:t>
            </w:r>
          </w:p>
        </w:tc>
      </w:tr>
      <w:tr w:rsidRPr="00FE48E2" w:rsidR="00E3458A" w14:paraId="1545823F" w14:textId="77777777">
        <w:trPr>
          <w:trHeight w:val="309"/>
          <w:jc w:val="center"/>
        </w:trPr>
        <w:tc>
          <w:tcPr>
            <w:tcW w:w="704" w:type="dxa"/>
            <w:shd w:val="clear" w:color="auto" w:fill="C6EFCE"/>
          </w:tcPr>
          <w:p w:rsidRPr="00A12BF7" w:rsidR="00D87E44" w:rsidRDefault="00D87E44" w14:paraId="15458233" w14:textId="77777777">
            <w:pPr>
              <w:spacing w:before="0" w:after="0" w:line="240" w:lineRule="auto"/>
              <w:rPr>
                <w:noProof/>
              </w:rPr>
            </w:pPr>
            <w:r w:rsidRPr="00A12BF7">
              <w:rPr>
                <w:rFonts w:eastAsia="Times New Roman"/>
                <w:noProof/>
                <w:color w:val="004300"/>
                <w:sz w:val="18"/>
                <w:szCs w:val="18"/>
                <w:lang w:val="en-IE"/>
              </w:rPr>
              <w:t>269</w:t>
            </w:r>
          </w:p>
        </w:tc>
        <w:tc>
          <w:tcPr>
            <w:tcW w:w="1701" w:type="dxa"/>
            <w:shd w:val="clear" w:color="auto" w:fill="C6EFCE"/>
          </w:tcPr>
          <w:p w:rsidRPr="00A12BF7" w:rsidR="00D87E44" w:rsidRDefault="00D87E44" w14:paraId="15458234"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 xml:space="preserve">Investment 2: </w:t>
            </w:r>
          </w:p>
          <w:p w:rsidRPr="00A12BF7" w:rsidR="00D87E44" w:rsidRDefault="00D87E44" w14:paraId="15458235"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Subordinated loan facility</w:t>
            </w:r>
          </w:p>
        </w:tc>
        <w:tc>
          <w:tcPr>
            <w:tcW w:w="992" w:type="dxa"/>
            <w:shd w:val="clear" w:color="auto" w:fill="C6EFCE"/>
          </w:tcPr>
          <w:p w:rsidRPr="00A12BF7" w:rsidR="00D87E44" w:rsidRDefault="00D87E44" w14:paraId="15458236"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Milestone</w:t>
            </w:r>
          </w:p>
        </w:tc>
        <w:tc>
          <w:tcPr>
            <w:tcW w:w="1560" w:type="dxa"/>
            <w:shd w:val="clear" w:color="auto" w:fill="C6EFCE"/>
          </w:tcPr>
          <w:p w:rsidRPr="00A12BF7" w:rsidR="00D87E44" w:rsidRDefault="00D87E44" w14:paraId="15458237"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Transfer of funds</w:t>
            </w:r>
          </w:p>
        </w:tc>
        <w:tc>
          <w:tcPr>
            <w:tcW w:w="1701" w:type="dxa"/>
            <w:shd w:val="clear" w:color="auto" w:fill="C6EFCE"/>
          </w:tcPr>
          <w:p w:rsidRPr="00A12BF7" w:rsidR="00D87E44" w:rsidRDefault="00D87E44" w14:paraId="15458238"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Certificate of transfer</w:t>
            </w:r>
          </w:p>
        </w:tc>
        <w:tc>
          <w:tcPr>
            <w:tcW w:w="1383" w:type="dxa"/>
            <w:shd w:val="clear" w:color="auto" w:fill="C6EFCE"/>
          </w:tcPr>
          <w:p w:rsidRPr="00A12BF7" w:rsidR="00D87E44" w:rsidRDefault="00D87E44" w14:paraId="15458239" w14:textId="77777777">
            <w:pPr>
              <w:spacing w:before="0" w:after="0" w:line="240" w:lineRule="auto"/>
              <w:rPr>
                <w:rFonts w:eastAsia="Times New Roman"/>
                <w:noProof/>
                <w:color w:val="004300"/>
                <w:sz w:val="18"/>
                <w:szCs w:val="18"/>
                <w:lang w:val="en-IE"/>
              </w:rPr>
            </w:pPr>
          </w:p>
        </w:tc>
        <w:tc>
          <w:tcPr>
            <w:tcW w:w="917" w:type="dxa"/>
            <w:shd w:val="clear" w:color="auto" w:fill="C6EFCE"/>
          </w:tcPr>
          <w:p w:rsidRPr="00A12BF7" w:rsidR="00D87E44" w:rsidRDefault="00D87E44" w14:paraId="1545823A" w14:textId="77777777">
            <w:pPr>
              <w:spacing w:before="0" w:after="0" w:line="240" w:lineRule="auto"/>
              <w:rPr>
                <w:rFonts w:eastAsia="Times New Roman"/>
                <w:noProof/>
                <w:color w:val="004300"/>
                <w:sz w:val="18"/>
                <w:szCs w:val="18"/>
                <w:lang w:val="en-IE"/>
              </w:rPr>
            </w:pPr>
          </w:p>
        </w:tc>
        <w:tc>
          <w:tcPr>
            <w:tcW w:w="1015" w:type="dxa"/>
            <w:shd w:val="clear" w:color="auto" w:fill="C6EFCE"/>
          </w:tcPr>
          <w:p w:rsidRPr="00A12BF7" w:rsidR="00D87E44" w:rsidRDefault="00D87E44" w14:paraId="1545823B" w14:textId="77777777">
            <w:pPr>
              <w:spacing w:before="0" w:after="0" w:line="240" w:lineRule="auto"/>
              <w:rPr>
                <w:rFonts w:eastAsia="Times New Roman"/>
                <w:noProof/>
                <w:color w:val="004300"/>
                <w:sz w:val="18"/>
                <w:szCs w:val="18"/>
                <w:lang w:val="en-IE"/>
              </w:rPr>
            </w:pPr>
          </w:p>
        </w:tc>
        <w:tc>
          <w:tcPr>
            <w:tcW w:w="963" w:type="dxa"/>
            <w:shd w:val="clear" w:color="auto" w:fill="C6EFCE"/>
          </w:tcPr>
          <w:p w:rsidRPr="00A12BF7" w:rsidR="00D87E44" w:rsidRDefault="00D87E44" w14:paraId="1545823C"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Q2</w:t>
            </w:r>
          </w:p>
        </w:tc>
        <w:tc>
          <w:tcPr>
            <w:tcW w:w="646" w:type="dxa"/>
            <w:shd w:val="clear" w:color="auto" w:fill="C6EFCE"/>
          </w:tcPr>
          <w:p w:rsidRPr="00A12BF7" w:rsidR="00D87E44" w:rsidRDefault="00D87E44" w14:paraId="1545823D" w14:textId="77777777">
            <w:pPr>
              <w:spacing w:before="0" w:after="0" w:line="240" w:lineRule="auto"/>
              <w:rPr>
                <w:rFonts w:eastAsia="Times New Roman"/>
                <w:noProof/>
                <w:color w:val="004300"/>
                <w:sz w:val="18"/>
                <w:szCs w:val="18"/>
                <w:lang w:val="en-IE" w:eastAsia="en-GB"/>
              </w:rPr>
            </w:pPr>
            <w:r w:rsidRPr="00A12BF7">
              <w:rPr>
                <w:rFonts w:eastAsia="Times New Roman"/>
                <w:noProof/>
                <w:color w:val="004300"/>
                <w:sz w:val="18"/>
                <w:szCs w:val="18"/>
                <w:lang w:val="en-IE" w:eastAsia="en-GB"/>
              </w:rPr>
              <w:t>2026</w:t>
            </w:r>
          </w:p>
        </w:tc>
        <w:tc>
          <w:tcPr>
            <w:tcW w:w="4011" w:type="dxa"/>
            <w:shd w:val="clear" w:color="auto" w:fill="C6EFCE"/>
          </w:tcPr>
          <w:p w:rsidRPr="00A12BF7" w:rsidR="00D87E44" w:rsidRDefault="00D87E44" w14:paraId="1545823E" w14:textId="77777777">
            <w:pPr>
              <w:spacing w:before="0" w:after="0" w:line="240" w:lineRule="auto"/>
              <w:rPr>
                <w:rFonts w:eastAsia="Times New Roman"/>
                <w:noProof/>
                <w:color w:val="004300"/>
                <w:sz w:val="18"/>
                <w:szCs w:val="18"/>
                <w:lang w:val="en-IE"/>
              </w:rPr>
            </w:pPr>
            <w:r w:rsidRPr="00A12BF7">
              <w:rPr>
                <w:rFonts w:eastAsia="Times New Roman"/>
                <w:noProof/>
                <w:color w:val="004300"/>
                <w:sz w:val="18"/>
                <w:szCs w:val="18"/>
                <w:lang w:val="en-IE"/>
              </w:rPr>
              <w:t>Czechia shall transfer EUR 94 770</w:t>
            </w:r>
            <w:r w:rsidRPr="00A12BF7">
              <w:rPr>
                <w:rFonts w:eastAsia="Times New Roman"/>
                <w:noProof/>
                <w:color w:val="006100"/>
                <w:sz w:val="20"/>
                <w:szCs w:val="20"/>
                <w:lang w:val="en-IE" w:eastAsia="en-GB"/>
              </w:rPr>
              <w:t> </w:t>
            </w:r>
            <w:r w:rsidRPr="00A12BF7">
              <w:rPr>
                <w:rFonts w:eastAsia="Times New Roman"/>
                <w:noProof/>
                <w:color w:val="004300"/>
                <w:sz w:val="18"/>
                <w:szCs w:val="18"/>
                <w:lang w:val="en-IE"/>
              </w:rPr>
              <w:t>000 to the National Development Bank for the Facility.</w:t>
            </w:r>
          </w:p>
        </w:tc>
      </w:tr>
    </w:tbl>
    <w:p w:rsidRPr="00FE48E2" w:rsidR="00D87E44" w:rsidP="00D226F4" w:rsidRDefault="00D87E44" w14:paraId="15458240" w14:textId="77777777">
      <w:pPr>
        <w:keepNext/>
        <w:tabs>
          <w:tab w:val="left" w:pos="850"/>
        </w:tabs>
        <w:spacing w:before="360" w:line="240" w:lineRule="auto"/>
        <w:jc w:val="both"/>
        <w:outlineLvl w:val="0"/>
        <w:rPr>
          <w:b/>
          <w:smallCaps/>
          <w:noProof/>
          <w:lang w:val="en-IE"/>
        </w:rPr>
        <w:sectPr w:rsidRPr="00FE48E2" w:rsidR="00C16C1F" w:rsidSect="00D226F4">
          <w:headerReference w:type="even" r:id="R189840b2036748b5"/>
          <w:headerReference w:type="default" r:id="Reaf3ca31b51048eb"/>
          <w:footerReference w:type="even" r:id="Rfdd824df65f840f4"/>
          <w:footerReference w:type="default" r:id="R669dc07a08ab441b"/>
          <w:headerReference w:type="first" r:id="R7926df0985c44554"/>
          <w:footerReference w:type="first" r:id="Rd81fcaee788e457c"/>
          <w:pgSz w:w="16839" w:h="11907" w:orient="landscape"/>
          <w:pgMar w:top="1134" w:right="1134" w:bottom="1134" w:left="1134" w:header="567" w:footer="567" w:gutter="0"/>
          <w:cols w:space="708"/>
          <w:docGrid w:linePitch="326"/>
        </w:sectPr>
      </w:pPr>
    </w:p>
    <w:p w:rsidRPr="00FE48E2" w:rsidR="00D87E44" w:rsidP="00D226F4" w:rsidRDefault="00D87E44" w14:paraId="15458241"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 xml:space="preserve">R. </w:t>
      </w:r>
      <w:r w:rsidRPr="1B282876">
        <w:rPr>
          <w:b/>
          <w:bCs/>
          <w:smallCaps/>
          <w:noProof/>
          <w:lang w:val="en-IE"/>
        </w:rPr>
        <w:t>COMPONENT 3.1: Innovation in Education in the Context of Digitalisation</w:t>
      </w:r>
    </w:p>
    <w:p w:rsidRPr="00FE48E2" w:rsidR="00D87E44" w:rsidP="00D226F4" w:rsidRDefault="00D87E44" w14:paraId="15458242" w14:textId="77777777">
      <w:pPr>
        <w:spacing w:line="240" w:lineRule="auto"/>
        <w:jc w:val="both"/>
        <w:rPr>
          <w:rFonts w:eastAsia="Times New Roman"/>
          <w:noProof/>
          <w:szCs w:val="24"/>
          <w:lang w:val="en-IE" w:eastAsia="cs-CZ"/>
        </w:rPr>
      </w:pPr>
      <w:r w:rsidRPr="00FE48E2">
        <w:rPr>
          <w:rFonts w:eastAsia="Times New Roman"/>
          <w:noProof/>
          <w:color w:val="000000"/>
          <w:szCs w:val="24"/>
          <w:lang w:val="en-IE"/>
        </w:rPr>
        <w:t>This component of the Czech recovery and resilience plan contributes to</w:t>
      </w:r>
      <w:r w:rsidRPr="00FE48E2">
        <w:rPr>
          <w:rFonts w:eastAsia="Times New Roman"/>
          <w:noProof/>
          <w:szCs w:val="24"/>
          <w:lang w:val="en-IE"/>
        </w:rPr>
        <w:t xml:space="preserve"> addressing the challenges related to the digital transition of the education system, in particular strengthening digital literacy and computational thinking of pupils and fostering the use of digital technologies by teachers</w:t>
      </w:r>
      <w:r w:rsidRPr="00FE48E2">
        <w:rPr>
          <w:rFonts w:eastAsia="Times New Roman"/>
          <w:noProof/>
          <w:szCs w:val="24"/>
          <w:lang w:val="en-IE" w:eastAsia="cs-CZ"/>
        </w:rPr>
        <w:t>. This shall be achieved by revising the curricula for primary and secondary education in order to reinforce IT education, extend its scope to advanced digital technologies and foster digital skills across the educational areas. It shall also promote digital skills of teachers and impro</w:t>
      </w:r>
      <w:r w:rsidRPr="00FE48E2">
        <w:rPr>
          <w:rFonts w:eastAsia="Times New Roman"/>
          <w:noProof/>
          <w:szCs w:val="24"/>
          <w:lang w:val="en-IE" w:eastAsia="cs-CZ"/>
        </w:rPr>
        <w:t>ve the level of digital equipment in schools. The component also aims at addressing the digital divide, exacerbated by the prolonged school lockdown, by setting up a fund for mobile digital devices at the disposal of disadvantaged pupils and students. The ultimate objective of the component is to adapt education to the changing needs of the labour market, address the lack of IT specialists and advanced digital skills across the labour force, and ensure long-term employability.</w:t>
      </w:r>
    </w:p>
    <w:p w:rsidRPr="00FE48E2" w:rsidR="00D87E44" w:rsidP="00D226F4" w:rsidRDefault="00D87E44" w14:paraId="15458243"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reforms under the component support addressing country-specific recommendation 2, 2019, according to which Czechia shall increase the quality and inclusiveness of the education and training systems, including by fostering technical and digital skills and promoting the teaching profession, and country-specific recommendation 2, 2020, according to which Czechia shall support employment through active labour market policies, the provision of skills, including digital skills, and access to digital learning.</w:t>
      </w:r>
    </w:p>
    <w:p w:rsidRPr="00FE48E2" w:rsidR="00D87E44" w:rsidP="00D226F4" w:rsidRDefault="00D87E44" w14:paraId="15458244"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 xml:space="preserve">It is expected that no measure in this component does significant harm to environmental objectives within the meaning of Article 17 of </w:t>
      </w:r>
      <w:r w:rsidRPr="00FE48E2">
        <w:rPr>
          <w:rFonts w:eastAsia="Times New Roman"/>
          <w:noProof/>
          <w:szCs w:val="24"/>
          <w:lang w:val="en-IE" w:eastAsia="en-GB"/>
        </w:rPr>
        <w:t>Regulation (EU) 2020/852, taking into account the description of the measures and the mitigating steps set out in the plan in accordance with the DNSH Technical Guidance (2021/C58/01).</w:t>
      </w:r>
    </w:p>
    <w:p w:rsidRPr="00FE48E2" w:rsidR="00D87E44" w:rsidP="00D226F4" w:rsidRDefault="00D87E44" w14:paraId="15458245" w14:textId="77777777">
      <w:pPr>
        <w:spacing w:line="240" w:lineRule="auto"/>
        <w:jc w:val="both"/>
        <w:rPr>
          <w:rFonts w:eastAsia="Times New Roman"/>
          <w:i/>
          <w:noProof/>
          <w:szCs w:val="24"/>
          <w:lang w:val="en-IE" w:eastAsia="en-GB"/>
        </w:rPr>
      </w:pPr>
    </w:p>
    <w:p w:rsidRPr="00FE48E2" w:rsidR="00D87E44" w:rsidP="00D226F4" w:rsidRDefault="00D87E44" w14:paraId="15458246" w14:textId="77777777">
      <w:pPr>
        <w:spacing w:line="240" w:lineRule="auto"/>
        <w:jc w:val="both"/>
        <w:rPr>
          <w:rFonts w:eastAsia="Times New Roman"/>
          <w:noProof/>
          <w:lang w:val="en-IE" w:eastAsia="cs-CZ"/>
        </w:rPr>
      </w:pPr>
      <w:r w:rsidRPr="1B282876">
        <w:rPr>
          <w:rFonts w:eastAsia="Times New Roman"/>
          <w:b/>
          <w:bCs/>
          <w:noProof/>
          <w:u w:val="single"/>
          <w:lang w:val="en-IE" w:eastAsia="cs-CZ"/>
        </w:rPr>
        <w:t>R.1. Description of the reforms and investments for non-repayable financial support</w:t>
      </w:r>
    </w:p>
    <w:p w:rsidRPr="00FE48E2" w:rsidR="00D87E44" w:rsidP="00D226F4" w:rsidRDefault="00D87E44" w14:paraId="15458247" w14:textId="77777777">
      <w:pPr>
        <w:spacing w:line="240" w:lineRule="auto"/>
        <w:jc w:val="both"/>
        <w:rPr>
          <w:rFonts w:eastAsia="Times New Roman"/>
          <w:b/>
          <w:noProof/>
          <w:szCs w:val="24"/>
          <w:lang w:val="en-IE" w:eastAsia="cs-CZ"/>
        </w:rPr>
      </w:pPr>
      <w:r w:rsidRPr="00FE48E2">
        <w:rPr>
          <w:rFonts w:eastAsia="Times New Roman"/>
          <w:b/>
          <w:noProof/>
          <w:szCs w:val="24"/>
          <w:lang w:val="en-IE" w:eastAsia="cs-CZ"/>
        </w:rPr>
        <w:t>Reform 1: Curricula reform and strengthening of IT education</w:t>
      </w:r>
    </w:p>
    <w:p w:rsidRPr="00FE48E2" w:rsidR="00D87E44" w:rsidP="00D226F4" w:rsidRDefault="00D87E44" w14:paraId="15458248" w14:textId="77777777">
      <w:pPr>
        <w:spacing w:line="240" w:lineRule="auto"/>
        <w:jc w:val="both"/>
        <w:rPr>
          <w:rFonts w:eastAsia="Times New Roman"/>
          <w:noProof/>
          <w:lang w:val="en-IE" w:eastAsia="cs-CZ"/>
        </w:rPr>
      </w:pPr>
      <w:r>
        <w:rPr>
          <w:rFonts w:eastAsia="Times New Roman"/>
          <w:noProof/>
          <w:lang w:val="en-IE" w:eastAsia="cs-CZ"/>
        </w:rPr>
        <w:t xml:space="preserve">The objective of the measure is to support digital literacy and IT skills through the revision of curricula in primary, lower-secondary and upper-secondary </w:t>
      </w:r>
      <w:r w:rsidRPr="00FE48E2">
        <w:rPr>
          <w:rFonts w:eastAsia="Times New Roman"/>
          <w:noProof/>
          <w:lang w:val="en-IE" w:eastAsia="cs-CZ"/>
        </w:rPr>
        <w:t>(</w:t>
      </w:r>
      <w:r w:rsidRPr="00FE48E2">
        <w:rPr>
          <w:rFonts w:eastAsia="Times New Roman"/>
          <w:i/>
          <w:noProof/>
          <w:lang w:val="en-IE" w:eastAsia="cs-CZ"/>
        </w:rPr>
        <w:t>gymnázium</w:t>
      </w:r>
      <w:r w:rsidRPr="00FE48E2">
        <w:rPr>
          <w:rFonts w:eastAsia="Times New Roman"/>
          <w:noProof/>
          <w:lang w:val="en-IE" w:eastAsia="cs-CZ"/>
        </w:rPr>
        <w:t>)</w:t>
      </w:r>
      <w:r>
        <w:rPr>
          <w:rFonts w:eastAsia="Times New Roman"/>
          <w:noProof/>
          <w:lang w:val="en-IE" w:eastAsia="cs-CZ"/>
        </w:rPr>
        <w:t xml:space="preserve"> schools. This measure consists of the approval of the new curricula supporting digital literacy and computational thinking. </w:t>
      </w:r>
    </w:p>
    <w:p w:rsidRPr="00FE48E2" w:rsidR="00D87E44" w:rsidP="00D226F4" w:rsidRDefault="00D87E44" w14:paraId="15458249" w14:textId="77777777">
      <w:pPr>
        <w:spacing w:line="240" w:lineRule="auto"/>
        <w:jc w:val="both"/>
        <w:rPr>
          <w:rFonts w:eastAsia="Times New Roman"/>
          <w:b/>
          <w:noProof/>
          <w:szCs w:val="24"/>
          <w:lang w:val="en-IE" w:eastAsia="cs-CZ"/>
        </w:rPr>
      </w:pPr>
      <w:r w:rsidRPr="00FE48E2">
        <w:rPr>
          <w:rFonts w:eastAsia="Times New Roman"/>
          <w:b/>
          <w:noProof/>
          <w:szCs w:val="24"/>
          <w:lang w:val="en-IE" w:eastAsia="cs-CZ"/>
        </w:rPr>
        <w:t xml:space="preserve">Investment 1: </w:t>
      </w:r>
      <w:r>
        <w:rPr>
          <w:rFonts w:eastAsia="Times New Roman"/>
          <w:b/>
          <w:noProof/>
          <w:szCs w:val="24"/>
          <w:lang w:val="en-IE" w:eastAsia="cs-CZ"/>
        </w:rPr>
        <w:t xml:space="preserve">Support for </w:t>
      </w:r>
      <w:r w:rsidRPr="00FE48E2">
        <w:rPr>
          <w:rFonts w:eastAsia="Times New Roman"/>
          <w:b/>
          <w:noProof/>
          <w:szCs w:val="24"/>
          <w:lang w:val="en-IE" w:eastAsia="cs-CZ"/>
        </w:rPr>
        <w:t>the revised curriculum and digital skills of teachers</w:t>
      </w:r>
    </w:p>
    <w:p w:rsidRPr="00210124" w:rsidR="00D87E44" w:rsidP="00D226F4" w:rsidRDefault="00D87E44" w14:paraId="1545824A"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w:t>
      </w:r>
      <w:r>
        <w:rPr>
          <w:rFonts w:eastAsia="Times New Roman"/>
          <w:noProof/>
          <w:szCs w:val="24"/>
          <w:lang w:val="en-IE" w:eastAsia="cs-CZ"/>
        </w:rPr>
        <w:t xml:space="preserve">objective of the </w:t>
      </w:r>
      <w:r w:rsidRPr="00FE48E2">
        <w:rPr>
          <w:rFonts w:eastAsia="Times New Roman"/>
          <w:noProof/>
          <w:szCs w:val="24"/>
          <w:lang w:val="en-IE" w:eastAsia="cs-CZ"/>
        </w:rPr>
        <w:t xml:space="preserve">measure </w:t>
      </w:r>
      <w:r>
        <w:rPr>
          <w:rFonts w:eastAsia="Times New Roman"/>
          <w:noProof/>
          <w:szCs w:val="24"/>
          <w:lang w:val="en-IE" w:eastAsia="cs-CZ"/>
        </w:rPr>
        <w:t xml:space="preserve">is to </w:t>
      </w:r>
      <w:r w:rsidRPr="00FE48E2">
        <w:rPr>
          <w:rFonts w:eastAsia="Times New Roman"/>
          <w:noProof/>
          <w:szCs w:val="24"/>
          <w:lang w:val="en-IE" w:eastAsia="cs-CZ"/>
        </w:rPr>
        <w:t xml:space="preserve">support the </w:t>
      </w:r>
      <w:r>
        <w:rPr>
          <w:rFonts w:eastAsia="Times New Roman"/>
          <w:noProof/>
          <w:szCs w:val="24"/>
          <w:lang w:val="en-IE" w:eastAsia="cs-CZ"/>
        </w:rPr>
        <w:t>roll-out</w:t>
      </w:r>
      <w:r w:rsidRPr="00FE48E2">
        <w:rPr>
          <w:rFonts w:eastAsia="Times New Roman"/>
          <w:noProof/>
          <w:szCs w:val="24"/>
          <w:lang w:val="en-IE" w:eastAsia="cs-CZ"/>
        </w:rPr>
        <w:t xml:space="preserve"> of the revised curricula and the Framework of Teacher’s Digital Skills (DigCompEdu) in schools. </w:t>
      </w:r>
      <w:r>
        <w:rPr>
          <w:rFonts w:eastAsia="Times New Roman"/>
          <w:noProof/>
          <w:szCs w:val="24"/>
          <w:lang w:val="en-IE" w:eastAsia="cs-CZ"/>
        </w:rPr>
        <w:t xml:space="preserve">The measure </w:t>
      </w:r>
      <w:r w:rsidRPr="00FE48E2">
        <w:rPr>
          <w:rFonts w:eastAsia="Times New Roman"/>
          <w:noProof/>
          <w:szCs w:val="24"/>
          <w:lang w:val="en-IE" w:eastAsia="cs-CZ"/>
        </w:rPr>
        <w:t>consist</w:t>
      </w:r>
      <w:r>
        <w:rPr>
          <w:rFonts w:eastAsia="Times New Roman"/>
          <w:noProof/>
          <w:szCs w:val="24"/>
          <w:lang w:val="en-IE" w:eastAsia="cs-CZ"/>
        </w:rPr>
        <w:t>s</w:t>
      </w:r>
      <w:r w:rsidRPr="00FE48E2">
        <w:rPr>
          <w:rFonts w:eastAsia="Times New Roman"/>
          <w:noProof/>
          <w:szCs w:val="24"/>
          <w:lang w:val="en-IE" w:eastAsia="cs-CZ"/>
        </w:rPr>
        <w:t xml:space="preserve"> of</w:t>
      </w:r>
      <w:r>
        <w:rPr>
          <w:rFonts w:eastAsia="Times New Roman"/>
          <w:noProof/>
          <w:szCs w:val="24"/>
          <w:lang w:val="en-IE" w:eastAsia="cs-CZ"/>
        </w:rPr>
        <w:t xml:space="preserve"> support for training of pedagogical staff in digital skills.</w:t>
      </w:r>
    </w:p>
    <w:p w:rsidRPr="00FE48E2" w:rsidR="00D87E44" w:rsidP="00D226F4" w:rsidRDefault="00D87E44" w14:paraId="1545824B" w14:textId="77777777">
      <w:pPr>
        <w:spacing w:line="240" w:lineRule="auto"/>
        <w:jc w:val="both"/>
        <w:rPr>
          <w:rFonts w:eastAsia="Times New Roman"/>
          <w:noProof/>
          <w:szCs w:val="24"/>
          <w:lang w:val="en-IE" w:eastAsia="cs-CZ"/>
        </w:rPr>
      </w:pPr>
      <w:r w:rsidRPr="00FE48E2">
        <w:rPr>
          <w:rFonts w:eastAsia="Times New Roman"/>
          <w:b/>
          <w:noProof/>
          <w:szCs w:val="24"/>
          <w:lang w:val="en-IE" w:eastAsia="cs-CZ"/>
        </w:rPr>
        <w:t>Investment 2:</w:t>
      </w:r>
      <w:r w:rsidRPr="00FE48E2">
        <w:rPr>
          <w:rFonts w:eastAsia="Times New Roman"/>
          <w:noProof/>
          <w:szCs w:val="24"/>
          <w:lang w:val="en-IE" w:eastAsia="cs-CZ"/>
        </w:rPr>
        <w:t xml:space="preserve"> </w:t>
      </w:r>
      <w:r w:rsidRPr="00FE48E2">
        <w:rPr>
          <w:rFonts w:eastAsia="Times New Roman"/>
          <w:b/>
          <w:noProof/>
          <w:szCs w:val="24"/>
          <w:lang w:val="en-IE" w:eastAsia="cs-CZ"/>
        </w:rPr>
        <w:t>Digital equipment for schools</w:t>
      </w:r>
    </w:p>
    <w:p w:rsidRPr="00FE48E2" w:rsidR="00D87E44" w:rsidP="00D226F4" w:rsidRDefault="00D87E44" w14:paraId="1545824C" w14:textId="77777777">
      <w:pPr>
        <w:spacing w:line="240" w:lineRule="auto"/>
        <w:jc w:val="both"/>
        <w:rPr>
          <w:rFonts w:eastAsia="Times New Roman"/>
          <w:noProof/>
          <w:szCs w:val="24"/>
          <w:lang w:val="en-IE" w:eastAsia="cs-CZ"/>
        </w:rPr>
      </w:pPr>
      <w:r>
        <w:rPr>
          <w:rFonts w:eastAsia="Times New Roman"/>
          <w:noProof/>
          <w:szCs w:val="24"/>
          <w:lang w:val="en-IE" w:eastAsia="cs-CZ"/>
        </w:rPr>
        <w:t>The objective of the measure is to prevent digital exclusion by ensuring that digital equipment and technology is accessible to all pupils. This measure consists of providing funding to schools to purchase IT equipment.</w:t>
      </w:r>
    </w:p>
    <w:p w:rsidRPr="00FE48E2" w:rsidR="00D87E44" w:rsidP="00D226F4" w:rsidRDefault="00D87E44" w14:paraId="1545824D" w14:textId="77777777">
      <w:pPr>
        <w:spacing w:line="240" w:lineRule="auto"/>
        <w:jc w:val="both"/>
        <w:rPr>
          <w:rFonts w:eastAsia="Times New Roman"/>
          <w:noProof/>
          <w:szCs w:val="24"/>
          <w:lang w:val="en-IE" w:eastAsia="cs-CZ"/>
        </w:rPr>
        <w:sectPr w:rsidRPr="00FE48E2" w:rsidR="00C16C1F" w:rsidSect="00D226F4">
          <w:headerReference w:type="even" r:id="R4a9b44e2a6164640"/>
          <w:headerReference w:type="default" r:id="Rc753a0fb934d40b5"/>
          <w:footerReference w:type="even" r:id="R22354a135ac841b4"/>
          <w:footerReference w:type="default" r:id="R59065ef631e64d5b"/>
          <w:headerReference w:type="first" r:id="R2356a95579544359"/>
          <w:footerReference w:type="first" r:id="Re3cc3371bf34413c"/>
          <w:pgSz w:w="11907" w:h="16839"/>
          <w:pgMar w:top="1134" w:right="1134" w:bottom="1134" w:left="1134" w:header="567" w:footer="567" w:gutter="0"/>
          <w:cols w:space="708"/>
          <w:docGrid w:linePitch="326"/>
        </w:sectPr>
      </w:pPr>
    </w:p>
    <w:p w:rsidRPr="00FE48E2" w:rsidR="00D87E44" w:rsidP="00D226F4" w:rsidRDefault="00D87E44" w14:paraId="1545824E" w14:textId="77777777">
      <w:pPr>
        <w:pBdr>
          <w:top w:val="nil"/>
          <w:left w:val="nil"/>
          <w:bottom w:val="nil"/>
          <w:right w:val="nil"/>
          <w:between w:val="nil"/>
        </w:pBdr>
        <w:tabs>
          <w:tab w:val="left" w:pos="993"/>
        </w:tabs>
        <w:spacing w:line="240" w:lineRule="auto"/>
        <w:jc w:val="both"/>
        <w:rPr>
          <w:rFonts w:eastAsia="Times New Roman"/>
          <w:b/>
          <w:bCs/>
          <w:noProof/>
          <w:color w:val="000000"/>
          <w:u w:val="single"/>
          <w:lang w:val="en-IE" w:eastAsia="cs-CZ"/>
        </w:rPr>
      </w:pPr>
      <w:r w:rsidRPr="1B282876">
        <w:rPr>
          <w:rFonts w:eastAsia="Times New Roman"/>
          <w:b/>
          <w:bCs/>
          <w:noProof/>
          <w:color w:val="000000" w:themeColor="text1"/>
          <w:u w:val="single"/>
          <w:lang w:val="en-IE" w:eastAsia="cs-CZ"/>
        </w:rPr>
        <w:lastRenderedPageBreak/>
        <w:t xml:space="preserve">R.2. Milestones, targets, indicators, and timetable for monitoring and implementation for non-repayable financial support </w:t>
      </w:r>
    </w:p>
    <w:tbl>
      <w:tblPr>
        <w:tblW w:w="15957"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09"/>
        <w:gridCol w:w="1814"/>
        <w:gridCol w:w="1077"/>
        <w:gridCol w:w="1560"/>
        <w:gridCol w:w="1417"/>
        <w:gridCol w:w="1077"/>
        <w:gridCol w:w="1077"/>
        <w:gridCol w:w="1050"/>
        <w:gridCol w:w="1134"/>
        <w:gridCol w:w="992"/>
        <w:gridCol w:w="4050"/>
      </w:tblGrid>
      <w:tr w:rsidRPr="00FE48E2" w:rsidR="00E3458A" w:rsidTr="006B399D" w14:paraId="15458257" w14:textId="77777777">
        <w:trPr>
          <w:trHeight w:val="107"/>
          <w:tblHeader/>
        </w:trPr>
        <w:tc>
          <w:tcPr>
            <w:tcW w:w="709" w:type="dxa"/>
            <w:vMerge w:val="restart"/>
            <w:shd w:val="clear" w:color="auto" w:fill="BDD7EE"/>
            <w:vAlign w:val="center"/>
          </w:tcPr>
          <w:p w:rsidRPr="00D850DD" w:rsidR="00D87E44" w:rsidRDefault="00D87E44" w14:paraId="1545824F" w14:textId="77777777">
            <w:pPr>
              <w:spacing w:line="240" w:lineRule="auto"/>
              <w:jc w:val="center"/>
              <w:rPr>
                <w:noProof/>
                <w:sz w:val="18"/>
                <w:szCs w:val="18"/>
                <w:lang w:val="en-IE"/>
              </w:rPr>
            </w:pPr>
            <w:r w:rsidRPr="00D850DD">
              <w:rPr>
                <w:b/>
                <w:noProof/>
                <w:sz w:val="18"/>
                <w:szCs w:val="18"/>
                <w:lang w:val="en-IE"/>
              </w:rPr>
              <w:t>Seq. Num.</w:t>
            </w:r>
          </w:p>
        </w:tc>
        <w:tc>
          <w:tcPr>
            <w:tcW w:w="1814" w:type="dxa"/>
            <w:vMerge w:val="restart"/>
            <w:shd w:val="clear" w:color="auto" w:fill="BDD7EE"/>
            <w:vAlign w:val="center"/>
          </w:tcPr>
          <w:p w:rsidRPr="00D850DD" w:rsidR="00D87E44" w:rsidRDefault="00D87E44" w14:paraId="15458250" w14:textId="77777777">
            <w:pPr>
              <w:spacing w:line="240" w:lineRule="auto"/>
              <w:jc w:val="center"/>
              <w:rPr>
                <w:noProof/>
                <w:sz w:val="18"/>
                <w:szCs w:val="18"/>
                <w:lang w:val="en-IE"/>
              </w:rPr>
            </w:pPr>
            <w:r w:rsidRPr="00D850DD">
              <w:rPr>
                <w:rFonts w:eastAsia="Times New Roman"/>
                <w:b/>
                <w:noProof/>
                <w:sz w:val="18"/>
                <w:szCs w:val="18"/>
                <w:lang w:val="en-IE"/>
              </w:rPr>
              <w:t xml:space="preserve">Related measure (Reform or Investment) </w:t>
            </w:r>
          </w:p>
        </w:tc>
        <w:tc>
          <w:tcPr>
            <w:tcW w:w="1077" w:type="dxa"/>
            <w:vMerge w:val="restart"/>
            <w:shd w:val="clear" w:color="auto" w:fill="BDD7EE"/>
            <w:vAlign w:val="center"/>
          </w:tcPr>
          <w:p w:rsidRPr="00D850DD" w:rsidR="00D87E44" w:rsidRDefault="00D87E44" w14:paraId="15458251" w14:textId="77777777">
            <w:pPr>
              <w:spacing w:line="240" w:lineRule="auto"/>
              <w:jc w:val="center"/>
              <w:rPr>
                <w:noProof/>
                <w:sz w:val="18"/>
                <w:szCs w:val="18"/>
                <w:lang w:val="en-IE"/>
              </w:rPr>
            </w:pPr>
            <w:r w:rsidRPr="00D850DD">
              <w:rPr>
                <w:rFonts w:eastAsia="Times New Roman"/>
                <w:b/>
                <w:noProof/>
                <w:sz w:val="18"/>
                <w:szCs w:val="18"/>
                <w:lang w:val="en-IE"/>
              </w:rPr>
              <w:t xml:space="preserve">Milestone / Target </w:t>
            </w:r>
          </w:p>
        </w:tc>
        <w:tc>
          <w:tcPr>
            <w:tcW w:w="1560" w:type="dxa"/>
            <w:vMerge w:val="restart"/>
            <w:shd w:val="clear" w:color="auto" w:fill="BDD7EE"/>
            <w:vAlign w:val="center"/>
          </w:tcPr>
          <w:p w:rsidRPr="00D850DD" w:rsidR="00D87E44" w:rsidRDefault="00D87E44" w14:paraId="15458252" w14:textId="77777777">
            <w:pPr>
              <w:spacing w:line="240" w:lineRule="auto"/>
              <w:jc w:val="center"/>
              <w:rPr>
                <w:noProof/>
                <w:sz w:val="18"/>
                <w:szCs w:val="18"/>
                <w:lang w:val="en-IE"/>
              </w:rPr>
            </w:pPr>
            <w:r w:rsidRPr="00D850DD">
              <w:rPr>
                <w:rFonts w:eastAsia="Times New Roman"/>
                <w:b/>
                <w:noProof/>
                <w:sz w:val="18"/>
                <w:szCs w:val="18"/>
                <w:lang w:val="en-IE"/>
              </w:rPr>
              <w:t xml:space="preserve">Name </w:t>
            </w:r>
          </w:p>
        </w:tc>
        <w:tc>
          <w:tcPr>
            <w:tcW w:w="1417" w:type="dxa"/>
            <w:vMerge w:val="restart"/>
            <w:shd w:val="clear" w:color="auto" w:fill="BDD7EE"/>
            <w:vAlign w:val="center"/>
          </w:tcPr>
          <w:p w:rsidRPr="00D850DD" w:rsidR="00D87E44" w:rsidRDefault="00D87E44" w14:paraId="15458253" w14:textId="77777777">
            <w:pPr>
              <w:spacing w:line="240" w:lineRule="auto"/>
              <w:jc w:val="center"/>
              <w:rPr>
                <w:noProof/>
                <w:sz w:val="18"/>
                <w:szCs w:val="18"/>
                <w:lang w:val="en-IE"/>
              </w:rPr>
            </w:pPr>
            <w:r w:rsidRPr="00D850DD">
              <w:rPr>
                <w:rFonts w:eastAsia="Times New Roman"/>
                <w:b/>
                <w:noProof/>
                <w:sz w:val="18"/>
                <w:szCs w:val="18"/>
                <w:lang w:val="en-IE"/>
              </w:rPr>
              <w:t>Qualitative indicators</w:t>
            </w:r>
            <w:r w:rsidRPr="00D850DD">
              <w:rPr>
                <w:noProof/>
                <w:sz w:val="18"/>
                <w:szCs w:val="18"/>
                <w:lang w:val="en-IE"/>
              </w:rPr>
              <w:br/>
            </w:r>
            <w:r w:rsidRPr="00D850DD">
              <w:rPr>
                <w:rFonts w:eastAsia="Times New Roman"/>
                <w:b/>
                <w:noProof/>
                <w:sz w:val="18"/>
                <w:szCs w:val="18"/>
                <w:lang w:val="en-IE"/>
              </w:rPr>
              <w:t xml:space="preserve"> (for milestones) </w:t>
            </w:r>
          </w:p>
        </w:tc>
        <w:tc>
          <w:tcPr>
            <w:tcW w:w="3204" w:type="dxa"/>
            <w:gridSpan w:val="3"/>
            <w:shd w:val="clear" w:color="auto" w:fill="BDD7EE"/>
            <w:vAlign w:val="center"/>
          </w:tcPr>
          <w:p w:rsidRPr="00D850DD" w:rsidR="00D87E44" w:rsidRDefault="00D87E44" w14:paraId="15458254" w14:textId="77777777">
            <w:pPr>
              <w:spacing w:line="240" w:lineRule="auto"/>
              <w:jc w:val="center"/>
              <w:rPr>
                <w:noProof/>
                <w:sz w:val="18"/>
                <w:szCs w:val="18"/>
                <w:lang w:val="en-IE"/>
              </w:rPr>
            </w:pPr>
            <w:r w:rsidRPr="00D850DD">
              <w:rPr>
                <w:rFonts w:eastAsia="Times New Roman"/>
                <w:b/>
                <w:noProof/>
                <w:sz w:val="18"/>
                <w:szCs w:val="18"/>
                <w:lang w:val="en-IE"/>
              </w:rPr>
              <w:t>Quantitative indicators</w:t>
            </w:r>
            <w:r w:rsidRPr="00D850DD">
              <w:rPr>
                <w:noProof/>
                <w:sz w:val="18"/>
                <w:szCs w:val="18"/>
                <w:lang w:val="en-IE"/>
              </w:rPr>
              <w:br/>
            </w:r>
            <w:r w:rsidRPr="00D850DD">
              <w:rPr>
                <w:rFonts w:eastAsia="Times New Roman"/>
                <w:b/>
                <w:noProof/>
                <w:sz w:val="18"/>
                <w:szCs w:val="18"/>
                <w:lang w:val="en-IE"/>
              </w:rPr>
              <w:t xml:space="preserve"> (for targets)</w:t>
            </w:r>
          </w:p>
        </w:tc>
        <w:tc>
          <w:tcPr>
            <w:tcW w:w="2126" w:type="dxa"/>
            <w:gridSpan w:val="2"/>
            <w:shd w:val="clear" w:color="auto" w:fill="BDD7EE"/>
            <w:vAlign w:val="center"/>
          </w:tcPr>
          <w:p w:rsidRPr="00D850DD" w:rsidR="00D87E44" w:rsidRDefault="00D87E44" w14:paraId="15458255" w14:textId="77777777">
            <w:pPr>
              <w:spacing w:line="240" w:lineRule="auto"/>
              <w:jc w:val="center"/>
              <w:rPr>
                <w:noProof/>
                <w:sz w:val="18"/>
                <w:szCs w:val="18"/>
                <w:lang w:val="en-IE"/>
              </w:rPr>
            </w:pPr>
            <w:r w:rsidRPr="00D850DD">
              <w:rPr>
                <w:rFonts w:eastAsia="Times New Roman"/>
                <w:b/>
                <w:noProof/>
                <w:sz w:val="18"/>
                <w:szCs w:val="18"/>
                <w:lang w:val="en-IE"/>
              </w:rPr>
              <w:t xml:space="preserve">Indicative timeline for completion </w:t>
            </w:r>
          </w:p>
        </w:tc>
        <w:tc>
          <w:tcPr>
            <w:tcW w:w="4050" w:type="dxa"/>
            <w:vMerge w:val="restart"/>
            <w:shd w:val="clear" w:color="auto" w:fill="BDD7EE"/>
            <w:vAlign w:val="center"/>
          </w:tcPr>
          <w:p w:rsidRPr="00D850DD" w:rsidR="00D87E44" w:rsidRDefault="00D87E44" w14:paraId="15458256" w14:textId="77777777">
            <w:pPr>
              <w:spacing w:line="240" w:lineRule="auto"/>
              <w:jc w:val="center"/>
              <w:rPr>
                <w:noProof/>
                <w:sz w:val="18"/>
                <w:szCs w:val="18"/>
                <w:lang w:val="en-IE"/>
              </w:rPr>
            </w:pPr>
            <w:r w:rsidRPr="00D850DD">
              <w:rPr>
                <w:rFonts w:eastAsia="Times New Roman"/>
                <w:b/>
                <w:noProof/>
                <w:sz w:val="18"/>
                <w:szCs w:val="18"/>
                <w:lang w:val="en-IE"/>
              </w:rPr>
              <w:t>Description and clear definition of each milestone and target</w:t>
            </w:r>
          </w:p>
        </w:tc>
      </w:tr>
      <w:tr w:rsidRPr="00FE48E2" w:rsidR="00E3458A" w:rsidTr="006B399D" w14:paraId="15458263" w14:textId="77777777">
        <w:trPr>
          <w:trHeight w:val="173"/>
          <w:tblHeader/>
        </w:trPr>
        <w:tc>
          <w:tcPr>
            <w:tcW w:w="709" w:type="dxa"/>
            <w:vMerge/>
            <w:vAlign w:val="center"/>
          </w:tcPr>
          <w:p w:rsidRPr="00D850DD" w:rsidR="00D87E44" w:rsidRDefault="00D87E44" w14:paraId="15458258" w14:textId="77777777">
            <w:pPr>
              <w:spacing w:line="240" w:lineRule="auto"/>
              <w:jc w:val="center"/>
              <w:rPr>
                <w:noProof/>
                <w:sz w:val="18"/>
                <w:szCs w:val="18"/>
                <w:lang w:val="en-IE"/>
              </w:rPr>
            </w:pPr>
          </w:p>
        </w:tc>
        <w:tc>
          <w:tcPr>
            <w:tcW w:w="1814" w:type="dxa"/>
            <w:vMerge/>
            <w:vAlign w:val="center"/>
          </w:tcPr>
          <w:p w:rsidRPr="00D850DD" w:rsidR="00D87E44" w:rsidRDefault="00D87E44" w14:paraId="15458259" w14:textId="77777777">
            <w:pPr>
              <w:spacing w:line="240" w:lineRule="auto"/>
              <w:jc w:val="center"/>
              <w:rPr>
                <w:noProof/>
                <w:sz w:val="18"/>
                <w:szCs w:val="18"/>
                <w:lang w:val="en-IE"/>
              </w:rPr>
            </w:pPr>
          </w:p>
        </w:tc>
        <w:tc>
          <w:tcPr>
            <w:tcW w:w="1077" w:type="dxa"/>
            <w:vMerge/>
            <w:vAlign w:val="center"/>
          </w:tcPr>
          <w:p w:rsidRPr="00D850DD" w:rsidR="00D87E44" w:rsidRDefault="00D87E44" w14:paraId="1545825A" w14:textId="77777777">
            <w:pPr>
              <w:spacing w:line="240" w:lineRule="auto"/>
              <w:jc w:val="center"/>
              <w:rPr>
                <w:noProof/>
                <w:sz w:val="18"/>
                <w:szCs w:val="18"/>
                <w:lang w:val="en-IE"/>
              </w:rPr>
            </w:pPr>
          </w:p>
        </w:tc>
        <w:tc>
          <w:tcPr>
            <w:tcW w:w="1560" w:type="dxa"/>
            <w:vMerge/>
            <w:vAlign w:val="center"/>
          </w:tcPr>
          <w:p w:rsidRPr="00D850DD" w:rsidR="00D87E44" w:rsidRDefault="00D87E44" w14:paraId="1545825B" w14:textId="77777777">
            <w:pPr>
              <w:spacing w:line="240" w:lineRule="auto"/>
              <w:jc w:val="center"/>
              <w:rPr>
                <w:noProof/>
                <w:sz w:val="18"/>
                <w:szCs w:val="18"/>
                <w:lang w:val="en-IE"/>
              </w:rPr>
            </w:pPr>
          </w:p>
        </w:tc>
        <w:tc>
          <w:tcPr>
            <w:tcW w:w="1417" w:type="dxa"/>
            <w:vMerge/>
            <w:vAlign w:val="center"/>
          </w:tcPr>
          <w:p w:rsidRPr="00D850DD" w:rsidR="00D87E44" w:rsidRDefault="00D87E44" w14:paraId="1545825C" w14:textId="77777777">
            <w:pPr>
              <w:spacing w:line="240" w:lineRule="auto"/>
              <w:jc w:val="center"/>
              <w:rPr>
                <w:noProof/>
                <w:sz w:val="18"/>
                <w:szCs w:val="18"/>
                <w:lang w:val="en-IE"/>
              </w:rPr>
            </w:pPr>
          </w:p>
        </w:tc>
        <w:tc>
          <w:tcPr>
            <w:tcW w:w="1077" w:type="dxa"/>
            <w:shd w:val="clear" w:color="auto" w:fill="BDD7EE"/>
            <w:vAlign w:val="center"/>
          </w:tcPr>
          <w:p w:rsidRPr="00D850DD" w:rsidR="00D87E44" w:rsidRDefault="00D87E44" w14:paraId="1545825D" w14:textId="77777777">
            <w:pPr>
              <w:spacing w:line="240" w:lineRule="auto"/>
              <w:jc w:val="center"/>
              <w:rPr>
                <w:noProof/>
                <w:sz w:val="18"/>
                <w:szCs w:val="18"/>
                <w:lang w:val="en-IE"/>
              </w:rPr>
            </w:pPr>
            <w:r w:rsidRPr="00D850DD">
              <w:rPr>
                <w:rFonts w:eastAsia="Times New Roman"/>
                <w:b/>
                <w:noProof/>
                <w:sz w:val="18"/>
                <w:szCs w:val="18"/>
                <w:lang w:val="en-IE"/>
              </w:rPr>
              <w:t>Unit of measure</w:t>
            </w:r>
          </w:p>
        </w:tc>
        <w:tc>
          <w:tcPr>
            <w:tcW w:w="1077" w:type="dxa"/>
            <w:shd w:val="clear" w:color="auto" w:fill="BDD7EE"/>
            <w:vAlign w:val="center"/>
          </w:tcPr>
          <w:p w:rsidRPr="00D850DD" w:rsidR="00D87E44" w:rsidRDefault="00D87E44" w14:paraId="1545825E" w14:textId="77777777">
            <w:pPr>
              <w:spacing w:line="240" w:lineRule="auto"/>
              <w:jc w:val="center"/>
              <w:rPr>
                <w:noProof/>
                <w:sz w:val="18"/>
                <w:szCs w:val="18"/>
                <w:lang w:val="en-IE"/>
              </w:rPr>
            </w:pPr>
            <w:r w:rsidRPr="00D850DD">
              <w:rPr>
                <w:rFonts w:eastAsia="Times New Roman"/>
                <w:b/>
                <w:noProof/>
                <w:sz w:val="18"/>
                <w:szCs w:val="18"/>
                <w:lang w:val="en-IE"/>
              </w:rPr>
              <w:t>Baseline</w:t>
            </w:r>
          </w:p>
        </w:tc>
        <w:tc>
          <w:tcPr>
            <w:tcW w:w="1050" w:type="dxa"/>
            <w:shd w:val="clear" w:color="auto" w:fill="BDD7EE"/>
            <w:vAlign w:val="center"/>
          </w:tcPr>
          <w:p w:rsidRPr="00D850DD" w:rsidR="00D87E44" w:rsidRDefault="00D87E44" w14:paraId="1545825F" w14:textId="77777777">
            <w:pPr>
              <w:spacing w:line="240" w:lineRule="auto"/>
              <w:jc w:val="center"/>
              <w:rPr>
                <w:noProof/>
                <w:sz w:val="18"/>
                <w:szCs w:val="18"/>
                <w:lang w:val="en-IE"/>
              </w:rPr>
            </w:pPr>
            <w:r w:rsidRPr="00D850DD">
              <w:rPr>
                <w:rFonts w:eastAsia="Times New Roman"/>
                <w:b/>
                <w:noProof/>
                <w:sz w:val="18"/>
                <w:szCs w:val="18"/>
                <w:lang w:val="en-IE"/>
              </w:rPr>
              <w:t>Goal</w:t>
            </w:r>
          </w:p>
        </w:tc>
        <w:tc>
          <w:tcPr>
            <w:tcW w:w="1134" w:type="dxa"/>
            <w:shd w:val="clear" w:color="auto" w:fill="BDD7EE"/>
            <w:vAlign w:val="center"/>
          </w:tcPr>
          <w:p w:rsidRPr="00D850DD" w:rsidR="00D87E44" w:rsidRDefault="00D87E44" w14:paraId="15458260" w14:textId="77777777">
            <w:pPr>
              <w:spacing w:line="240" w:lineRule="auto"/>
              <w:jc w:val="center"/>
              <w:rPr>
                <w:noProof/>
                <w:sz w:val="18"/>
                <w:szCs w:val="18"/>
                <w:lang w:val="en-IE"/>
              </w:rPr>
            </w:pPr>
            <w:r w:rsidRPr="00D850DD">
              <w:rPr>
                <w:rFonts w:eastAsia="Times New Roman"/>
                <w:b/>
                <w:noProof/>
                <w:sz w:val="18"/>
                <w:szCs w:val="18"/>
                <w:lang w:val="en-IE"/>
              </w:rPr>
              <w:t>Quarter</w:t>
            </w:r>
          </w:p>
        </w:tc>
        <w:tc>
          <w:tcPr>
            <w:tcW w:w="992" w:type="dxa"/>
            <w:shd w:val="clear" w:color="auto" w:fill="BDD7EE"/>
            <w:vAlign w:val="center"/>
          </w:tcPr>
          <w:p w:rsidRPr="00D850DD" w:rsidR="00D87E44" w:rsidRDefault="00D87E44" w14:paraId="15458261" w14:textId="77777777">
            <w:pPr>
              <w:spacing w:line="240" w:lineRule="auto"/>
              <w:jc w:val="center"/>
              <w:rPr>
                <w:noProof/>
                <w:sz w:val="18"/>
                <w:szCs w:val="18"/>
                <w:lang w:val="en-IE"/>
              </w:rPr>
            </w:pPr>
            <w:r w:rsidRPr="00D850DD">
              <w:rPr>
                <w:rFonts w:eastAsia="Times New Roman"/>
                <w:b/>
                <w:noProof/>
                <w:sz w:val="18"/>
                <w:szCs w:val="18"/>
                <w:lang w:val="en-IE"/>
              </w:rPr>
              <w:t>Year</w:t>
            </w:r>
          </w:p>
        </w:tc>
        <w:tc>
          <w:tcPr>
            <w:tcW w:w="4050" w:type="dxa"/>
            <w:vMerge/>
            <w:vAlign w:val="center"/>
          </w:tcPr>
          <w:p w:rsidRPr="00D850DD" w:rsidR="00D87E44" w:rsidRDefault="00D87E44" w14:paraId="15458262" w14:textId="77777777">
            <w:pPr>
              <w:spacing w:line="240" w:lineRule="auto"/>
              <w:jc w:val="center"/>
              <w:rPr>
                <w:noProof/>
                <w:sz w:val="18"/>
                <w:szCs w:val="18"/>
                <w:lang w:val="en-IE"/>
              </w:rPr>
            </w:pPr>
          </w:p>
        </w:tc>
      </w:tr>
      <w:tr w:rsidRPr="00FE48E2" w:rsidR="00E3458A" w:rsidTr="006B399D" w14:paraId="15458273" w14:textId="77777777">
        <w:trPr>
          <w:trHeight w:val="945"/>
        </w:trPr>
        <w:tc>
          <w:tcPr>
            <w:tcW w:w="709" w:type="dxa"/>
            <w:shd w:val="clear" w:color="auto" w:fill="C6EFCE"/>
          </w:tcPr>
          <w:p w:rsidRPr="007C3D8A" w:rsidR="00D87E44" w:rsidRDefault="00D87E44" w14:paraId="15458264"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168</w:t>
            </w:r>
          </w:p>
        </w:tc>
        <w:tc>
          <w:tcPr>
            <w:tcW w:w="1814" w:type="dxa"/>
            <w:shd w:val="clear" w:color="auto" w:fill="C6EFCE"/>
          </w:tcPr>
          <w:p w:rsidRPr="007C3D8A" w:rsidR="00D87E44" w:rsidRDefault="00D87E44" w14:paraId="15458265"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Reform 1: Curricula reform and strengthening of IT education</w:t>
            </w:r>
          </w:p>
        </w:tc>
        <w:tc>
          <w:tcPr>
            <w:tcW w:w="1077" w:type="dxa"/>
            <w:shd w:val="clear" w:color="auto" w:fill="C6EFCE"/>
          </w:tcPr>
          <w:p w:rsidRPr="007C3D8A" w:rsidR="00D87E44" w:rsidRDefault="00D87E44" w14:paraId="15458266"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Milestone</w:t>
            </w:r>
          </w:p>
        </w:tc>
        <w:tc>
          <w:tcPr>
            <w:tcW w:w="1560" w:type="dxa"/>
            <w:shd w:val="clear" w:color="auto" w:fill="C6EFCE"/>
          </w:tcPr>
          <w:p w:rsidRPr="007C3D8A" w:rsidR="00D87E44" w:rsidRDefault="00D87E44" w14:paraId="15458267"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Approval of new curricula strengthening digital literacy and computational thinking </w:t>
            </w:r>
          </w:p>
        </w:tc>
        <w:tc>
          <w:tcPr>
            <w:tcW w:w="1417" w:type="dxa"/>
            <w:shd w:val="clear" w:color="auto" w:fill="C6EFCE"/>
          </w:tcPr>
          <w:p w:rsidRPr="007C3D8A" w:rsidR="00D87E44" w:rsidRDefault="00D87E44" w14:paraId="15458268"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Approval of new curricula for primary, lower-secondary schools and gymnázia by the Ministry of Education, Youth and Sports </w:t>
            </w:r>
          </w:p>
        </w:tc>
        <w:tc>
          <w:tcPr>
            <w:tcW w:w="1077" w:type="dxa"/>
            <w:shd w:val="clear" w:color="auto" w:fill="C6EFCE"/>
          </w:tcPr>
          <w:p w:rsidRPr="007C3D8A" w:rsidR="00D87E44" w:rsidRDefault="00D87E44" w14:paraId="15458269"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26A" w14:textId="77777777">
            <w:pPr>
              <w:spacing w:before="0" w:after="0" w:line="240" w:lineRule="auto"/>
              <w:rPr>
                <w:rFonts w:eastAsia="Times New Roman"/>
                <w:noProof/>
                <w:color w:val="004300"/>
                <w:sz w:val="18"/>
                <w:szCs w:val="18"/>
                <w:lang w:val="en-IE" w:eastAsia="en-GB"/>
              </w:rPr>
            </w:pPr>
          </w:p>
        </w:tc>
        <w:tc>
          <w:tcPr>
            <w:tcW w:w="1050" w:type="dxa"/>
            <w:shd w:val="clear" w:color="auto" w:fill="C6EFCE"/>
          </w:tcPr>
          <w:p w:rsidRPr="007C3D8A" w:rsidR="00D87E44" w:rsidRDefault="00D87E44" w14:paraId="1545826B"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7C3D8A" w:rsidR="00D87E44" w:rsidRDefault="00D87E44" w14:paraId="1545826C"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Q3</w:t>
            </w:r>
          </w:p>
        </w:tc>
        <w:tc>
          <w:tcPr>
            <w:tcW w:w="992" w:type="dxa"/>
            <w:shd w:val="clear" w:color="auto" w:fill="C6EFCE"/>
          </w:tcPr>
          <w:p w:rsidRPr="007C3D8A" w:rsidR="00D87E44" w:rsidRDefault="00D87E44" w14:paraId="1545826D"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2021</w:t>
            </w:r>
          </w:p>
        </w:tc>
        <w:tc>
          <w:tcPr>
            <w:tcW w:w="4050" w:type="dxa"/>
            <w:shd w:val="clear" w:color="auto" w:fill="C6EFCE"/>
          </w:tcPr>
          <w:p w:rsidRPr="007C3D8A" w:rsidR="00D87E44" w:rsidRDefault="00D87E44" w14:paraId="1545826E" w14:textId="77777777">
            <w:pPr>
              <w:spacing w:before="0" w:after="0" w:line="240" w:lineRule="auto"/>
              <w:rPr>
                <w:noProof/>
                <w:color w:val="004300"/>
                <w:sz w:val="18"/>
                <w:szCs w:val="18"/>
                <w:lang w:val="en-IE" w:eastAsia="cs-CZ"/>
              </w:rPr>
            </w:pPr>
            <w:r w:rsidRPr="007C3D8A">
              <w:rPr>
                <w:noProof/>
                <w:color w:val="004300"/>
                <w:sz w:val="18"/>
                <w:szCs w:val="18"/>
                <w:lang w:val="en-IE" w:eastAsia="cs-CZ"/>
              </w:rPr>
              <w:t xml:space="preserve">The new curricula shall </w:t>
            </w:r>
          </w:p>
          <w:p w:rsidRPr="007C3D8A" w:rsidR="00D87E44" w:rsidP="00D226F4" w:rsidRDefault="00D87E44" w14:paraId="1545826F" w14:textId="77777777">
            <w:pPr>
              <w:numPr>
                <w:ilvl w:val="0"/>
                <w:numId w:val="57"/>
              </w:numPr>
              <w:spacing w:after="0" w:line="259" w:lineRule="auto"/>
              <w:contextualSpacing/>
              <w:rPr>
                <w:noProof/>
                <w:color w:val="004300"/>
                <w:sz w:val="18"/>
                <w:szCs w:val="18"/>
                <w:lang w:val="en-IE" w:eastAsia="cs-CZ"/>
              </w:rPr>
            </w:pPr>
            <w:r w:rsidRPr="007C3D8A">
              <w:rPr>
                <w:noProof/>
                <w:color w:val="004300"/>
                <w:sz w:val="18"/>
                <w:szCs w:val="18"/>
                <w:lang w:val="en-IE" w:eastAsia="cs-CZ"/>
              </w:rPr>
              <w:t>reinforce education of Informatics in terms of teaching hours</w:t>
            </w:r>
          </w:p>
          <w:p w:rsidRPr="007C3D8A" w:rsidR="00D87E44" w:rsidP="00D226F4" w:rsidRDefault="00D87E44" w14:paraId="15458270" w14:textId="77777777">
            <w:pPr>
              <w:numPr>
                <w:ilvl w:val="0"/>
                <w:numId w:val="57"/>
              </w:numPr>
              <w:spacing w:after="0" w:line="259" w:lineRule="auto"/>
              <w:contextualSpacing/>
              <w:rPr>
                <w:noProof/>
                <w:color w:val="004300"/>
                <w:sz w:val="18"/>
                <w:szCs w:val="18"/>
                <w:lang w:val="en-IE" w:eastAsia="cs-CZ"/>
              </w:rPr>
            </w:pPr>
            <w:r w:rsidRPr="007C3D8A">
              <w:rPr>
                <w:noProof/>
                <w:color w:val="004300"/>
                <w:sz w:val="18"/>
                <w:szCs w:val="18"/>
                <w:lang w:val="en-IE" w:eastAsia="cs-CZ"/>
              </w:rPr>
              <w:t>extend the coverage of informatics to new areas, such as data processing and modelling, coding and programming, robotics, augmented reality, virtual reality and digital technology.</w:t>
            </w:r>
          </w:p>
          <w:p w:rsidRPr="007C3D8A" w:rsidR="00D87E44" w:rsidP="00D226F4" w:rsidRDefault="00D87E44" w14:paraId="15458271" w14:textId="77777777">
            <w:pPr>
              <w:numPr>
                <w:ilvl w:val="0"/>
                <w:numId w:val="57"/>
              </w:numPr>
              <w:spacing w:after="0" w:line="259" w:lineRule="auto"/>
              <w:contextualSpacing/>
              <w:rPr>
                <w:rFonts w:eastAsia="Times New Roman"/>
                <w:noProof/>
                <w:color w:val="004300"/>
                <w:sz w:val="18"/>
                <w:szCs w:val="18"/>
                <w:lang w:val="en-IE"/>
              </w:rPr>
            </w:pPr>
            <w:r w:rsidRPr="007C3D8A">
              <w:rPr>
                <w:noProof/>
                <w:color w:val="004300"/>
                <w:sz w:val="18"/>
                <w:szCs w:val="18"/>
                <w:lang w:val="en-IE" w:eastAsia="cs-CZ"/>
              </w:rPr>
              <w:t>Introduce the digital competence as one of the key competences</w:t>
            </w:r>
          </w:p>
          <w:p w:rsidRPr="007C3D8A" w:rsidR="00D87E44" w:rsidP="00D226F4" w:rsidRDefault="00D87E44" w14:paraId="15458272" w14:textId="77777777">
            <w:pPr>
              <w:numPr>
                <w:ilvl w:val="0"/>
                <w:numId w:val="57"/>
              </w:numPr>
              <w:spacing w:after="0" w:line="259" w:lineRule="auto"/>
              <w:contextualSpacing/>
              <w:rPr>
                <w:noProof/>
                <w:color w:val="004300"/>
                <w:sz w:val="18"/>
                <w:szCs w:val="18"/>
                <w:lang w:val="en-IE" w:eastAsia="cs-CZ"/>
              </w:rPr>
            </w:pPr>
            <w:r w:rsidRPr="007C3D8A">
              <w:rPr>
                <w:noProof/>
                <w:color w:val="004300"/>
                <w:sz w:val="18"/>
                <w:szCs w:val="18"/>
                <w:lang w:val="en-IE" w:eastAsia="cs-CZ"/>
              </w:rPr>
              <w:t xml:space="preserve">promote the use of digital technologies across educational areas, including non-IT subjects. </w:t>
            </w:r>
          </w:p>
        </w:tc>
      </w:tr>
      <w:tr w:rsidRPr="00FE48E2" w:rsidR="00E3458A" w:rsidTr="006B399D" w14:paraId="1545827F" w14:textId="77777777">
        <w:trPr>
          <w:trHeight w:val="945"/>
        </w:trPr>
        <w:tc>
          <w:tcPr>
            <w:tcW w:w="709" w:type="dxa"/>
            <w:shd w:val="clear" w:color="auto" w:fill="C6EFCE"/>
          </w:tcPr>
          <w:p w:rsidRPr="007C3D8A" w:rsidR="00D87E44" w:rsidRDefault="00D87E44" w14:paraId="15458274"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170</w:t>
            </w:r>
          </w:p>
        </w:tc>
        <w:tc>
          <w:tcPr>
            <w:tcW w:w="1814" w:type="dxa"/>
            <w:shd w:val="clear" w:color="auto" w:fill="C6EFCE"/>
          </w:tcPr>
          <w:p w:rsidRPr="008C7FAF" w:rsidR="00D87E44" w:rsidRDefault="00D87E44" w14:paraId="15458275"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Investment 1: </w:t>
            </w:r>
            <w:r>
              <w:rPr>
                <w:rFonts w:eastAsia="Times New Roman"/>
                <w:noProof/>
                <w:color w:val="004300"/>
                <w:sz w:val="18"/>
                <w:szCs w:val="18"/>
                <w:lang w:val="en-IE" w:eastAsia="en-GB"/>
              </w:rPr>
              <w:t xml:space="preserve">Support for </w:t>
            </w:r>
            <w:r w:rsidRPr="008C7FAF">
              <w:rPr>
                <w:rFonts w:eastAsia="Times New Roman"/>
                <w:noProof/>
                <w:color w:val="004300"/>
                <w:sz w:val="18"/>
                <w:szCs w:val="18"/>
                <w:lang w:val="en-IE" w:eastAsia="en-GB"/>
              </w:rPr>
              <w:t xml:space="preserve">the revised curriculum and digital skills of teachers </w:t>
            </w:r>
          </w:p>
        </w:tc>
        <w:tc>
          <w:tcPr>
            <w:tcW w:w="1077" w:type="dxa"/>
            <w:shd w:val="clear" w:color="auto" w:fill="C6EFCE"/>
          </w:tcPr>
          <w:p w:rsidRPr="008C7FAF" w:rsidR="00D87E44" w:rsidRDefault="00D87E44" w14:paraId="15458276"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Milestone</w:t>
            </w:r>
          </w:p>
        </w:tc>
        <w:tc>
          <w:tcPr>
            <w:tcW w:w="1560" w:type="dxa"/>
            <w:shd w:val="clear" w:color="auto" w:fill="C6EFCE"/>
          </w:tcPr>
          <w:p w:rsidRPr="008C7FAF" w:rsidR="00D87E44" w:rsidRDefault="00D87E44" w14:paraId="15458277"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 xml:space="preserve">Creation of a digital platform for effective sharing of educational resources </w:t>
            </w:r>
          </w:p>
        </w:tc>
        <w:tc>
          <w:tcPr>
            <w:tcW w:w="1417" w:type="dxa"/>
            <w:shd w:val="clear" w:color="auto" w:fill="C6EFCE"/>
          </w:tcPr>
          <w:p w:rsidRPr="008C7FAF" w:rsidR="00D87E44" w:rsidRDefault="00D87E44" w14:paraId="15458278"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 xml:space="preserve">A digital platform fully operational </w:t>
            </w:r>
          </w:p>
        </w:tc>
        <w:tc>
          <w:tcPr>
            <w:tcW w:w="1077" w:type="dxa"/>
            <w:shd w:val="clear" w:color="auto" w:fill="C6EFCE"/>
          </w:tcPr>
          <w:p w:rsidRPr="008C7FAF" w:rsidR="00D87E44" w:rsidRDefault="00D87E44" w14:paraId="15458279"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8C7FAF" w:rsidR="00D87E44" w:rsidRDefault="00D87E44" w14:paraId="1545827A" w14:textId="77777777">
            <w:pPr>
              <w:spacing w:before="0" w:after="0" w:line="240" w:lineRule="auto"/>
              <w:rPr>
                <w:rFonts w:eastAsia="Times New Roman"/>
                <w:noProof/>
                <w:color w:val="004300"/>
                <w:sz w:val="18"/>
                <w:szCs w:val="18"/>
                <w:lang w:val="en-IE" w:eastAsia="en-GB"/>
              </w:rPr>
            </w:pPr>
          </w:p>
        </w:tc>
        <w:tc>
          <w:tcPr>
            <w:tcW w:w="1050" w:type="dxa"/>
            <w:shd w:val="clear" w:color="auto" w:fill="C6EFCE"/>
          </w:tcPr>
          <w:p w:rsidRPr="008C7FAF" w:rsidR="00D87E44" w:rsidRDefault="00D87E44" w14:paraId="1545827B"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8C7FAF" w:rsidR="00D87E44" w:rsidRDefault="00D87E44" w14:paraId="1545827C"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Q4</w:t>
            </w:r>
          </w:p>
        </w:tc>
        <w:tc>
          <w:tcPr>
            <w:tcW w:w="992" w:type="dxa"/>
            <w:shd w:val="clear" w:color="auto" w:fill="C6EFCE"/>
          </w:tcPr>
          <w:p w:rsidRPr="008C7FAF" w:rsidR="00D87E44" w:rsidRDefault="00D87E44" w14:paraId="1545827D"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2024</w:t>
            </w:r>
          </w:p>
        </w:tc>
        <w:tc>
          <w:tcPr>
            <w:tcW w:w="4050" w:type="dxa"/>
            <w:shd w:val="clear" w:color="auto" w:fill="C6EFCE"/>
          </w:tcPr>
          <w:p w:rsidRPr="008C7FAF" w:rsidR="00D87E44" w:rsidRDefault="00D87E44" w14:paraId="1545827E" w14:textId="77777777">
            <w:pPr>
              <w:spacing w:before="0" w:after="0" w:line="240" w:lineRule="auto"/>
              <w:rPr>
                <w:rFonts w:eastAsia="Times New Roman"/>
                <w:noProof/>
                <w:color w:val="004300"/>
                <w:sz w:val="18"/>
                <w:szCs w:val="18"/>
                <w:lang w:val="en-IE" w:eastAsia="en-GB"/>
              </w:rPr>
            </w:pPr>
            <w:r w:rsidRPr="008C7FAF">
              <w:rPr>
                <w:rFonts w:eastAsia="Times New Roman"/>
                <w:noProof/>
                <w:color w:val="004300"/>
                <w:sz w:val="18"/>
                <w:szCs w:val="18"/>
                <w:lang w:val="en-IE" w:eastAsia="en-GB"/>
              </w:rPr>
              <w:t xml:space="preserve">The digital platform under the responsibility of the Ministry of Education, Youth and Sports shall provide teachers with access to existing education content (for example digital educational resources, webinars or e-learning courses). It shall establish links to existing databases of digital education materials.  </w:t>
            </w:r>
          </w:p>
        </w:tc>
      </w:tr>
      <w:tr w:rsidRPr="00FE48E2" w:rsidR="00E3458A" w:rsidTr="006B399D" w14:paraId="1545828C" w14:textId="77777777">
        <w:trPr>
          <w:trHeight w:val="340"/>
        </w:trPr>
        <w:tc>
          <w:tcPr>
            <w:tcW w:w="709" w:type="dxa"/>
            <w:shd w:val="clear" w:color="auto" w:fill="C6EFCE"/>
          </w:tcPr>
          <w:p w:rsidRPr="00D850DD" w:rsidR="00D87E44" w:rsidRDefault="00D87E44" w14:paraId="15458280"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171</w:t>
            </w:r>
          </w:p>
        </w:tc>
        <w:tc>
          <w:tcPr>
            <w:tcW w:w="1814" w:type="dxa"/>
            <w:shd w:val="clear" w:color="auto" w:fill="C6EFCE"/>
          </w:tcPr>
          <w:p w:rsidRPr="00D850DD" w:rsidR="00D87E44" w:rsidRDefault="00D87E44" w14:paraId="15458281"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 xml:space="preserve">Investment 1: </w:t>
            </w:r>
            <w:r>
              <w:rPr>
                <w:rFonts w:eastAsia="Times New Roman"/>
                <w:noProof/>
                <w:color w:val="004300"/>
                <w:sz w:val="18"/>
                <w:szCs w:val="18"/>
                <w:lang w:val="en-IE" w:eastAsia="en-GB"/>
              </w:rPr>
              <w:t xml:space="preserve">Support for </w:t>
            </w:r>
            <w:r w:rsidRPr="00D850DD">
              <w:rPr>
                <w:rFonts w:eastAsia="Times New Roman"/>
                <w:noProof/>
                <w:color w:val="004300"/>
                <w:sz w:val="18"/>
                <w:szCs w:val="18"/>
                <w:lang w:val="en-IE" w:eastAsia="en-GB"/>
              </w:rPr>
              <w:t>the revised curriculum and digital skills of teachers</w:t>
            </w:r>
          </w:p>
        </w:tc>
        <w:tc>
          <w:tcPr>
            <w:tcW w:w="1077" w:type="dxa"/>
            <w:shd w:val="clear" w:color="auto" w:fill="C6EFCE"/>
          </w:tcPr>
          <w:p w:rsidRPr="00D850DD" w:rsidR="00D87E44" w:rsidRDefault="00D87E44" w14:paraId="15458282"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 xml:space="preserve">Target </w:t>
            </w:r>
          </w:p>
        </w:tc>
        <w:tc>
          <w:tcPr>
            <w:tcW w:w="1560" w:type="dxa"/>
            <w:shd w:val="clear" w:color="auto" w:fill="C6EFCE"/>
          </w:tcPr>
          <w:p w:rsidRPr="00D850DD" w:rsidR="00D87E44" w:rsidRDefault="00D87E44" w14:paraId="15458283"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 xml:space="preserve">Number of schools which received training of pedagogical staff in digital skills or IT literacy </w:t>
            </w:r>
          </w:p>
        </w:tc>
        <w:tc>
          <w:tcPr>
            <w:tcW w:w="1417" w:type="dxa"/>
            <w:shd w:val="clear" w:color="auto" w:fill="C6EFCE"/>
          </w:tcPr>
          <w:p w:rsidRPr="00D850DD" w:rsidR="00D87E44" w:rsidRDefault="00D87E44" w14:paraId="15458284"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D850DD" w:rsidR="00D87E44" w:rsidRDefault="00D87E44" w14:paraId="15458285"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Number</w:t>
            </w:r>
          </w:p>
        </w:tc>
        <w:tc>
          <w:tcPr>
            <w:tcW w:w="1077" w:type="dxa"/>
            <w:shd w:val="clear" w:color="auto" w:fill="C6EFCE"/>
          </w:tcPr>
          <w:p w:rsidRPr="00D850DD" w:rsidR="00D87E44" w:rsidRDefault="00D87E44" w14:paraId="15458286"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0</w:t>
            </w:r>
          </w:p>
        </w:tc>
        <w:tc>
          <w:tcPr>
            <w:tcW w:w="1050" w:type="dxa"/>
            <w:shd w:val="clear" w:color="auto" w:fill="C6EFCE"/>
          </w:tcPr>
          <w:p w:rsidRPr="00D850DD" w:rsidR="00D87E44" w:rsidRDefault="00D87E44" w14:paraId="15458287"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4 000</w:t>
            </w:r>
          </w:p>
        </w:tc>
        <w:tc>
          <w:tcPr>
            <w:tcW w:w="1134" w:type="dxa"/>
            <w:shd w:val="clear" w:color="auto" w:fill="C6EFCE"/>
          </w:tcPr>
          <w:p w:rsidRPr="00D850DD" w:rsidR="00D87E44" w:rsidRDefault="00D87E44" w14:paraId="15458288"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Q1</w:t>
            </w:r>
          </w:p>
        </w:tc>
        <w:tc>
          <w:tcPr>
            <w:tcW w:w="992" w:type="dxa"/>
            <w:shd w:val="clear" w:color="auto" w:fill="C6EFCE"/>
          </w:tcPr>
          <w:p w:rsidRPr="00D850DD" w:rsidR="00D87E44" w:rsidRDefault="00D87E44" w14:paraId="15458289"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2026</w:t>
            </w:r>
          </w:p>
        </w:tc>
        <w:tc>
          <w:tcPr>
            <w:tcW w:w="4050" w:type="dxa"/>
            <w:shd w:val="clear" w:color="auto" w:fill="C6EFCE"/>
          </w:tcPr>
          <w:p w:rsidRPr="00D850DD" w:rsidR="00D87E44" w:rsidP="00FF1320" w:rsidRDefault="00D87E44" w14:paraId="1545828A" w14:textId="77777777">
            <w:pPr>
              <w:spacing w:before="0" w:after="0" w:line="240" w:lineRule="auto"/>
              <w:rPr>
                <w:noProof/>
                <w:color w:val="004300"/>
                <w:sz w:val="18"/>
                <w:szCs w:val="18"/>
                <w:lang w:val="en-IE"/>
              </w:rPr>
            </w:pPr>
            <w:r w:rsidRPr="00D850DD">
              <w:rPr>
                <w:noProof/>
                <w:color w:val="004300"/>
                <w:sz w:val="18"/>
                <w:szCs w:val="18"/>
                <w:lang w:val="en-IE" w:eastAsia="cs-CZ"/>
              </w:rPr>
              <w:t>4</w:t>
            </w:r>
            <w:r>
              <w:rPr>
                <w:noProof/>
                <w:color w:val="004300"/>
                <w:sz w:val="18"/>
                <w:szCs w:val="18"/>
                <w:lang w:val="en-IE" w:eastAsia="cs-CZ"/>
              </w:rPr>
              <w:t> </w:t>
            </w:r>
            <w:r w:rsidRPr="00D850DD">
              <w:rPr>
                <w:noProof/>
                <w:color w:val="004300"/>
                <w:sz w:val="18"/>
                <w:szCs w:val="18"/>
                <w:lang w:val="en-IE" w:eastAsia="cs-CZ"/>
              </w:rPr>
              <w:t>000 schools shall receive training of pedagogical staff in digital skills or IT literacy</w:t>
            </w:r>
            <w:r>
              <w:rPr>
                <w:noProof/>
                <w:color w:val="004300"/>
                <w:sz w:val="18"/>
                <w:szCs w:val="18"/>
                <w:lang w:val="en-IE" w:eastAsia="cs-CZ"/>
              </w:rPr>
              <w:t>.</w:t>
            </w:r>
          </w:p>
          <w:p w:rsidRPr="00D850DD" w:rsidR="00D87E44" w:rsidP="00FF1320" w:rsidRDefault="00D87E44" w14:paraId="1545828B" w14:textId="77777777">
            <w:pPr>
              <w:spacing w:after="0" w:line="259" w:lineRule="auto"/>
              <w:contextualSpacing/>
              <w:rPr>
                <w:noProof/>
                <w:color w:val="004300"/>
                <w:sz w:val="18"/>
                <w:szCs w:val="18"/>
                <w:lang w:val="en-IE"/>
              </w:rPr>
            </w:pPr>
          </w:p>
        </w:tc>
      </w:tr>
      <w:tr w:rsidRPr="00FE48E2" w:rsidR="00E3458A" w:rsidTr="006B399D" w14:paraId="15458298" w14:textId="77777777">
        <w:trPr>
          <w:trHeight w:val="309"/>
        </w:trPr>
        <w:tc>
          <w:tcPr>
            <w:tcW w:w="709" w:type="dxa"/>
            <w:shd w:val="clear" w:color="auto" w:fill="C6EFCE"/>
          </w:tcPr>
          <w:p w:rsidRPr="007C3D8A" w:rsidR="00D87E44" w:rsidRDefault="00D87E44" w14:paraId="1545828D"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172</w:t>
            </w:r>
          </w:p>
        </w:tc>
        <w:tc>
          <w:tcPr>
            <w:tcW w:w="1814" w:type="dxa"/>
            <w:shd w:val="clear" w:color="auto" w:fill="C6EFCE"/>
          </w:tcPr>
          <w:p w:rsidRPr="007C3D8A" w:rsidR="00D87E44" w:rsidRDefault="00D87E44" w14:paraId="1545828E"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Investment 2: Digital equipment for schools</w:t>
            </w:r>
          </w:p>
        </w:tc>
        <w:tc>
          <w:tcPr>
            <w:tcW w:w="1077" w:type="dxa"/>
            <w:shd w:val="clear" w:color="auto" w:fill="C6EFCE"/>
          </w:tcPr>
          <w:p w:rsidRPr="007C3D8A" w:rsidR="00D87E44" w:rsidRDefault="00D87E44" w14:paraId="1545828F"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Target</w:t>
            </w:r>
          </w:p>
        </w:tc>
        <w:tc>
          <w:tcPr>
            <w:tcW w:w="1560" w:type="dxa"/>
            <w:shd w:val="clear" w:color="auto" w:fill="C6EFCE"/>
          </w:tcPr>
          <w:p w:rsidRPr="007C3D8A" w:rsidR="00D87E44" w:rsidRDefault="00D87E44" w14:paraId="15458290"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of digital devices purchased by schools for distance learning </w:t>
            </w:r>
          </w:p>
        </w:tc>
        <w:tc>
          <w:tcPr>
            <w:tcW w:w="1417" w:type="dxa"/>
            <w:shd w:val="clear" w:color="auto" w:fill="C6EFCE"/>
          </w:tcPr>
          <w:p w:rsidRPr="007C3D8A" w:rsidR="00D87E44" w:rsidRDefault="00D87E44" w14:paraId="15458291"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292"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w:t>
            </w:r>
          </w:p>
        </w:tc>
        <w:tc>
          <w:tcPr>
            <w:tcW w:w="1077" w:type="dxa"/>
            <w:shd w:val="clear" w:color="auto" w:fill="C6EFCE"/>
          </w:tcPr>
          <w:p w:rsidRPr="007C3D8A" w:rsidR="00D87E44" w:rsidRDefault="00D87E44" w14:paraId="15458293"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0</w:t>
            </w:r>
          </w:p>
        </w:tc>
        <w:tc>
          <w:tcPr>
            <w:tcW w:w="1050" w:type="dxa"/>
            <w:shd w:val="clear" w:color="auto" w:fill="C6EFCE"/>
          </w:tcPr>
          <w:p w:rsidRPr="007C3D8A" w:rsidR="00D87E44" w:rsidRDefault="00D87E44" w14:paraId="15458294"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74 000</w:t>
            </w:r>
          </w:p>
        </w:tc>
        <w:tc>
          <w:tcPr>
            <w:tcW w:w="1134" w:type="dxa"/>
            <w:shd w:val="clear" w:color="auto" w:fill="C6EFCE"/>
          </w:tcPr>
          <w:p w:rsidRPr="007C3D8A" w:rsidR="00D87E44" w:rsidRDefault="00D87E44" w14:paraId="15458295"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Q4</w:t>
            </w:r>
          </w:p>
        </w:tc>
        <w:tc>
          <w:tcPr>
            <w:tcW w:w="992" w:type="dxa"/>
            <w:shd w:val="clear" w:color="auto" w:fill="C6EFCE"/>
          </w:tcPr>
          <w:p w:rsidRPr="007C3D8A" w:rsidR="00D87E44" w:rsidRDefault="00D87E44" w14:paraId="15458296"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2020</w:t>
            </w:r>
          </w:p>
        </w:tc>
        <w:tc>
          <w:tcPr>
            <w:tcW w:w="4050" w:type="dxa"/>
            <w:shd w:val="clear" w:color="auto" w:fill="C6EFCE"/>
          </w:tcPr>
          <w:p w:rsidRPr="007C3D8A" w:rsidR="00D87E44" w:rsidRDefault="00D87E44" w14:paraId="15458297"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At least 74 000 digital devices (tablets, laptops, mobile phones, etc.) are purchased by schools for distance learning. At least 4102 primary and secondary schools received funding for IT equipment for distance learning.</w:t>
            </w:r>
          </w:p>
        </w:tc>
      </w:tr>
      <w:tr w:rsidRPr="00FE48E2" w:rsidR="00E3458A" w:rsidTr="006B399D" w14:paraId="154582A4" w14:textId="77777777">
        <w:trPr>
          <w:trHeight w:val="945"/>
        </w:trPr>
        <w:tc>
          <w:tcPr>
            <w:tcW w:w="709" w:type="dxa"/>
            <w:shd w:val="clear" w:color="auto" w:fill="C6EFCE"/>
          </w:tcPr>
          <w:p w:rsidRPr="00D850DD" w:rsidR="00D87E44" w:rsidRDefault="00D87E44" w14:paraId="15458299"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173</w:t>
            </w:r>
          </w:p>
        </w:tc>
        <w:tc>
          <w:tcPr>
            <w:tcW w:w="1814" w:type="dxa"/>
            <w:shd w:val="clear" w:color="auto" w:fill="C6EFCE"/>
          </w:tcPr>
          <w:p w:rsidRPr="00D850DD" w:rsidR="00D87E44" w:rsidRDefault="00D87E44" w14:paraId="1545829A"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 xml:space="preserve">Investment 2: Digital </w:t>
            </w:r>
            <w:r w:rsidRPr="00D850DD">
              <w:rPr>
                <w:rFonts w:eastAsia="Times New Roman"/>
                <w:noProof/>
                <w:color w:val="004300"/>
                <w:sz w:val="18"/>
                <w:szCs w:val="18"/>
                <w:lang w:val="en-IE" w:eastAsia="en-GB"/>
              </w:rPr>
              <w:t>equipment for schools</w:t>
            </w:r>
          </w:p>
        </w:tc>
        <w:tc>
          <w:tcPr>
            <w:tcW w:w="1077" w:type="dxa"/>
            <w:shd w:val="clear" w:color="auto" w:fill="C6EFCE"/>
          </w:tcPr>
          <w:p w:rsidRPr="00D850DD" w:rsidR="00D87E44" w:rsidRDefault="00D87E44" w14:paraId="1545829B"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Target</w:t>
            </w:r>
          </w:p>
        </w:tc>
        <w:tc>
          <w:tcPr>
            <w:tcW w:w="1560" w:type="dxa"/>
            <w:shd w:val="clear" w:color="auto" w:fill="C6EFCE"/>
          </w:tcPr>
          <w:p w:rsidRPr="00D850DD" w:rsidR="00D87E44" w:rsidRDefault="00D87E44" w14:paraId="1545829C"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IT devices for schools</w:t>
            </w:r>
          </w:p>
        </w:tc>
        <w:tc>
          <w:tcPr>
            <w:tcW w:w="1417" w:type="dxa"/>
            <w:shd w:val="clear" w:color="auto" w:fill="C6EFCE"/>
          </w:tcPr>
          <w:p w:rsidRPr="00D850DD" w:rsidR="00D87E44" w:rsidRDefault="00D87E44" w14:paraId="1545829D"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D850DD" w:rsidR="00D87E44" w:rsidRDefault="00D87E44" w14:paraId="1545829E"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 xml:space="preserve">Number </w:t>
            </w:r>
          </w:p>
        </w:tc>
        <w:tc>
          <w:tcPr>
            <w:tcW w:w="1077" w:type="dxa"/>
            <w:shd w:val="clear" w:color="auto" w:fill="C6EFCE"/>
          </w:tcPr>
          <w:p w:rsidRPr="00D850DD" w:rsidR="00D87E44" w:rsidRDefault="00D87E44" w14:paraId="1545829F"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0</w:t>
            </w:r>
          </w:p>
        </w:tc>
        <w:tc>
          <w:tcPr>
            <w:tcW w:w="1050" w:type="dxa"/>
            <w:shd w:val="clear" w:color="auto" w:fill="C6EFCE"/>
          </w:tcPr>
          <w:p w:rsidRPr="00D850DD" w:rsidR="00D87E44" w:rsidRDefault="00D87E44" w14:paraId="154582A0"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4</w:t>
            </w:r>
            <w:r>
              <w:rPr>
                <w:rFonts w:eastAsia="Times New Roman"/>
                <w:noProof/>
                <w:color w:val="004300"/>
                <w:sz w:val="18"/>
                <w:szCs w:val="18"/>
                <w:lang w:val="en-IE" w:eastAsia="en-GB"/>
              </w:rPr>
              <w:t> </w:t>
            </w:r>
            <w:r w:rsidRPr="00D850DD">
              <w:rPr>
                <w:rFonts w:eastAsia="Times New Roman"/>
                <w:noProof/>
                <w:color w:val="004300"/>
                <w:sz w:val="18"/>
                <w:szCs w:val="18"/>
                <w:lang w:val="en-IE" w:eastAsia="en-GB"/>
              </w:rPr>
              <w:t>800</w:t>
            </w:r>
          </w:p>
        </w:tc>
        <w:tc>
          <w:tcPr>
            <w:tcW w:w="1134" w:type="dxa"/>
            <w:shd w:val="clear" w:color="auto" w:fill="C6EFCE"/>
          </w:tcPr>
          <w:p w:rsidRPr="00D850DD" w:rsidR="00D87E44" w:rsidRDefault="00D87E44" w14:paraId="154582A1"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Q4</w:t>
            </w:r>
          </w:p>
        </w:tc>
        <w:tc>
          <w:tcPr>
            <w:tcW w:w="992" w:type="dxa"/>
            <w:shd w:val="clear" w:color="auto" w:fill="C6EFCE"/>
          </w:tcPr>
          <w:p w:rsidRPr="00D850DD" w:rsidR="00D87E44" w:rsidRDefault="00D87E44" w14:paraId="154582A2"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2025</w:t>
            </w:r>
          </w:p>
        </w:tc>
        <w:tc>
          <w:tcPr>
            <w:tcW w:w="4050" w:type="dxa"/>
            <w:shd w:val="clear" w:color="auto" w:fill="C6EFCE"/>
          </w:tcPr>
          <w:p w:rsidRPr="00D850DD" w:rsidR="00D87E44" w:rsidRDefault="00D87E44" w14:paraId="154582A3" w14:textId="77777777">
            <w:pPr>
              <w:spacing w:before="0" w:after="0" w:line="240" w:lineRule="auto"/>
              <w:rPr>
                <w:rFonts w:eastAsia="Times New Roman"/>
                <w:noProof/>
                <w:color w:val="004300"/>
                <w:sz w:val="18"/>
                <w:szCs w:val="18"/>
                <w:lang w:val="en-IE" w:eastAsia="en-GB"/>
              </w:rPr>
            </w:pPr>
            <w:r w:rsidRPr="00D850DD">
              <w:rPr>
                <w:rFonts w:eastAsia="Times New Roman"/>
                <w:noProof/>
                <w:color w:val="004300"/>
                <w:sz w:val="18"/>
                <w:szCs w:val="18"/>
                <w:lang w:val="en-IE" w:eastAsia="en-GB"/>
              </w:rPr>
              <w:t>At least 4</w:t>
            </w:r>
            <w:r>
              <w:rPr>
                <w:rFonts w:eastAsia="Times New Roman"/>
                <w:noProof/>
                <w:color w:val="004300"/>
                <w:sz w:val="18"/>
                <w:szCs w:val="18"/>
                <w:lang w:val="en-IE" w:eastAsia="en-GB"/>
              </w:rPr>
              <w:t> </w:t>
            </w:r>
            <w:r w:rsidRPr="00D850DD">
              <w:rPr>
                <w:rFonts w:eastAsia="Times New Roman"/>
                <w:noProof/>
                <w:color w:val="004300"/>
                <w:sz w:val="18"/>
                <w:szCs w:val="18"/>
                <w:lang w:val="en-IE" w:eastAsia="en-GB"/>
              </w:rPr>
              <w:t xml:space="preserve">800 schools shall receive IT devices. </w:t>
            </w:r>
          </w:p>
        </w:tc>
      </w:tr>
      <w:tr w:rsidRPr="00FE48E2" w:rsidR="00E3458A" w:rsidTr="006B399D" w14:paraId="154582B0" w14:textId="77777777">
        <w:trPr>
          <w:trHeight w:val="945"/>
        </w:trPr>
        <w:tc>
          <w:tcPr>
            <w:tcW w:w="709" w:type="dxa"/>
            <w:shd w:val="clear" w:color="auto" w:fill="C6EFCE"/>
          </w:tcPr>
          <w:p w:rsidRPr="007C3D8A" w:rsidR="00D87E44" w:rsidRDefault="00D87E44" w14:paraId="154582A5"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lastRenderedPageBreak/>
              <w:t>174</w:t>
            </w:r>
          </w:p>
        </w:tc>
        <w:tc>
          <w:tcPr>
            <w:tcW w:w="1814" w:type="dxa"/>
            <w:shd w:val="clear" w:color="auto" w:fill="C6EFCE"/>
          </w:tcPr>
          <w:p w:rsidRPr="007C3D8A" w:rsidR="00D87E44" w:rsidRDefault="00D87E44" w14:paraId="154582A6"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Investment 2: Digital equipment for schools</w:t>
            </w:r>
          </w:p>
        </w:tc>
        <w:tc>
          <w:tcPr>
            <w:tcW w:w="1077" w:type="dxa"/>
            <w:shd w:val="clear" w:color="auto" w:fill="C6EFCE"/>
          </w:tcPr>
          <w:p w:rsidRPr="007C3D8A" w:rsidR="00D87E44" w:rsidRDefault="00D87E44" w14:paraId="154582A7"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Target</w:t>
            </w:r>
          </w:p>
        </w:tc>
        <w:tc>
          <w:tcPr>
            <w:tcW w:w="1560" w:type="dxa"/>
            <w:shd w:val="clear" w:color="auto" w:fill="C6EFCE"/>
          </w:tcPr>
          <w:p w:rsidRPr="007C3D8A" w:rsidR="00D87E44" w:rsidRDefault="00D87E44" w14:paraId="154582A8"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of schools supported with digital  technologies and equipment to promote digital literacy and implement the new IT curricula </w:t>
            </w:r>
          </w:p>
        </w:tc>
        <w:tc>
          <w:tcPr>
            <w:tcW w:w="1417" w:type="dxa"/>
            <w:shd w:val="clear" w:color="auto" w:fill="C6EFCE"/>
          </w:tcPr>
          <w:p w:rsidRPr="007C3D8A" w:rsidR="00D87E44" w:rsidRDefault="00D87E44" w14:paraId="154582A9"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2AA"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w:t>
            </w:r>
          </w:p>
        </w:tc>
        <w:tc>
          <w:tcPr>
            <w:tcW w:w="1077" w:type="dxa"/>
            <w:shd w:val="clear" w:color="auto" w:fill="C6EFCE"/>
          </w:tcPr>
          <w:p w:rsidRPr="007C3D8A" w:rsidR="00D87E44" w:rsidRDefault="00D87E44" w14:paraId="154582AB"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0</w:t>
            </w:r>
          </w:p>
        </w:tc>
        <w:tc>
          <w:tcPr>
            <w:tcW w:w="1050" w:type="dxa"/>
            <w:shd w:val="clear" w:color="auto" w:fill="C6EFCE"/>
          </w:tcPr>
          <w:p w:rsidRPr="007C3D8A" w:rsidR="00D87E44" w:rsidRDefault="00D87E44" w14:paraId="154582AC"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9 260</w:t>
            </w:r>
          </w:p>
        </w:tc>
        <w:tc>
          <w:tcPr>
            <w:tcW w:w="1134" w:type="dxa"/>
            <w:shd w:val="clear" w:color="auto" w:fill="C6EFCE"/>
          </w:tcPr>
          <w:p w:rsidRPr="007C3D8A" w:rsidR="00D87E44" w:rsidRDefault="00D87E44" w14:paraId="154582AD"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Q1</w:t>
            </w:r>
          </w:p>
        </w:tc>
        <w:tc>
          <w:tcPr>
            <w:tcW w:w="992" w:type="dxa"/>
            <w:shd w:val="clear" w:color="auto" w:fill="C6EFCE"/>
          </w:tcPr>
          <w:p w:rsidRPr="007C3D8A" w:rsidR="00D87E44" w:rsidRDefault="00D87E44" w14:paraId="154582AE"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2024</w:t>
            </w:r>
          </w:p>
        </w:tc>
        <w:tc>
          <w:tcPr>
            <w:tcW w:w="4050" w:type="dxa"/>
            <w:shd w:val="clear" w:color="auto" w:fill="C6EFCE"/>
          </w:tcPr>
          <w:p w:rsidRPr="007C3D8A" w:rsidR="00D87E44" w:rsidRDefault="00D87E44" w14:paraId="154582AF"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Of the total of  approximately 10 000 schools, at least 9 260 schools are equipped with both basic and advanced digital technologies necessary for promoting digital literacy and teaching new informatics according to the revised curricula. </w:t>
            </w:r>
          </w:p>
        </w:tc>
      </w:tr>
    </w:tbl>
    <w:p w:rsidRPr="00FE48E2" w:rsidR="00D87E44" w:rsidP="00D226F4" w:rsidRDefault="00D87E44" w14:paraId="154582B1" w14:textId="77777777">
      <w:pPr>
        <w:keepNext/>
        <w:tabs>
          <w:tab w:val="left" w:pos="850"/>
        </w:tabs>
        <w:spacing w:before="360" w:line="240" w:lineRule="auto"/>
        <w:jc w:val="both"/>
        <w:outlineLvl w:val="0"/>
        <w:rPr>
          <w:b/>
          <w:smallCaps/>
          <w:noProof/>
          <w:lang w:val="en-IE"/>
        </w:rPr>
        <w:sectPr w:rsidRPr="00FE48E2" w:rsidR="00C16C1F" w:rsidSect="00D226F4">
          <w:headerReference w:type="even" r:id="Rc02f1ecfba024b41"/>
          <w:headerReference w:type="default" r:id="R333e02fdcfe14b99"/>
          <w:footerReference w:type="even" r:id="R61f095b1211840a9"/>
          <w:footerReference w:type="default" r:id="R4520b4da97c54ad2"/>
          <w:headerReference w:type="first" r:id="R154c711a24a04755"/>
          <w:footerReference w:type="first" r:id="R9d706c1320b0430f"/>
          <w:pgSz w:w="16839" w:h="11907" w:orient="landscape"/>
          <w:pgMar w:top="1134" w:right="1134" w:bottom="1134" w:left="1134" w:header="567" w:footer="567" w:gutter="0"/>
          <w:cols w:space="720"/>
          <w:docGrid w:linePitch="326"/>
        </w:sectPr>
      </w:pPr>
    </w:p>
    <w:p w:rsidRPr="00FE48E2" w:rsidR="00D87E44" w:rsidP="00D226F4" w:rsidRDefault="00D87E44" w14:paraId="154582B2"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S. COMPONENT 3.2: Adaptation of School Programmes</w:t>
      </w:r>
    </w:p>
    <w:p w:rsidRPr="00FE48E2" w:rsidR="00D87E44" w:rsidP="00D226F4" w:rsidRDefault="00D87E44" w14:paraId="154582B3"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This component </w:t>
      </w:r>
      <w:r w:rsidRPr="00FE48E2">
        <w:rPr>
          <w:rFonts w:eastAsia="Times New Roman"/>
          <w:noProof/>
          <w:szCs w:val="24"/>
          <w:lang w:val="en-IE"/>
        </w:rPr>
        <w:t xml:space="preserve">of the Czech recovery and resilience plan contributes to </w:t>
      </w:r>
      <w:r w:rsidRPr="00FE48E2">
        <w:rPr>
          <w:rFonts w:eastAsia="Times New Roman"/>
          <w:noProof/>
          <w:szCs w:val="24"/>
          <w:lang w:val="en-IE" w:eastAsia="cs-CZ"/>
        </w:rPr>
        <w:t>addressing challenges in the fields of tertiary and primary and lower-secondary education, respectively. At the level of tertiary education, the component aims at increasing the capacities of universities and adapting the study programmes to new forms of learning and new fields, in particular digital expertise, in line with changing needs of the labour market. Also, new university facilities shall be supported to expand and modernise tertiary educatio</w:t>
      </w:r>
      <w:r w:rsidRPr="00FE48E2">
        <w:rPr>
          <w:rFonts w:eastAsia="Times New Roman"/>
          <w:noProof/>
          <w:szCs w:val="24"/>
          <w:lang w:val="en-IE" w:eastAsia="cs-CZ"/>
        </w:rPr>
        <w:t>n in the area of medical and pharmaceutical science. At the level of primary and lower-secondary education, the component aims at addressing growing inequalities in education by providing a multi-layered support to disadvantaged schools, additional tuition to pupils at risk of failure and by strengthening the abilities of teachers and professionals to teach heterogeneous classes.</w:t>
      </w:r>
    </w:p>
    <w:p w:rsidRPr="00FE48E2" w:rsidR="00D87E44" w:rsidP="00D226F4" w:rsidRDefault="00D87E44" w14:paraId="154582B4"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component supports addressing the country-specific recommendation 2, 2019, according to which Czechia shall increase the quality and inclusiveness of the education and training systems, including by fostering technical and digital skills and promoting the teaching profession, and country-specific recommendation 2, 2020, according to which Czechia shall support employment through active labour market policies, the provision of skills, including digital skills, and access to digital learning.</w:t>
      </w:r>
    </w:p>
    <w:p w:rsidRPr="00FE48E2" w:rsidR="00D87E44" w:rsidP="00D226F4" w:rsidRDefault="00D87E44" w14:paraId="154582B5"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w:t>
      </w:r>
    </w:p>
    <w:p w:rsidRPr="00FE48E2" w:rsidR="00D87E44" w:rsidP="00D226F4" w:rsidRDefault="00D87E44" w14:paraId="154582B6" w14:textId="77777777">
      <w:pPr>
        <w:spacing w:line="240" w:lineRule="auto"/>
        <w:jc w:val="both"/>
        <w:rPr>
          <w:rFonts w:eastAsia="Times New Roman"/>
          <w:i/>
          <w:noProof/>
          <w:szCs w:val="24"/>
          <w:lang w:val="en-IE" w:eastAsia="en-GB"/>
        </w:rPr>
      </w:pPr>
    </w:p>
    <w:p w:rsidRPr="00FE48E2" w:rsidR="00D87E44" w:rsidP="00D226F4" w:rsidRDefault="00D87E44" w14:paraId="154582B7" w14:textId="77777777">
      <w:pPr>
        <w:spacing w:line="240" w:lineRule="auto"/>
        <w:jc w:val="both"/>
        <w:rPr>
          <w:rFonts w:eastAsia="Times New Roman"/>
          <w:noProof/>
          <w:lang w:val="en-IE" w:eastAsia="cs-CZ"/>
        </w:rPr>
      </w:pPr>
      <w:r w:rsidRPr="1B282876">
        <w:rPr>
          <w:rFonts w:eastAsia="Times New Roman"/>
          <w:b/>
          <w:bCs/>
          <w:noProof/>
          <w:u w:val="single"/>
          <w:lang w:val="en-IE" w:eastAsia="cs-CZ"/>
        </w:rPr>
        <w:t xml:space="preserve">S.1. Description of the reforms and investments for </w:t>
      </w:r>
      <w:r w:rsidRPr="1B282876">
        <w:rPr>
          <w:rFonts w:eastAsia="Times New Roman"/>
          <w:b/>
          <w:bCs/>
          <w:noProof/>
          <w:u w:val="single"/>
          <w:lang w:val="en-IE" w:eastAsia="cs-CZ"/>
        </w:rPr>
        <w:t>non-repayable financial support</w:t>
      </w:r>
    </w:p>
    <w:p w:rsidRPr="00FE48E2" w:rsidR="00D87E44" w:rsidP="00D226F4" w:rsidRDefault="00D87E44" w14:paraId="154582B8" w14:textId="77777777">
      <w:pPr>
        <w:spacing w:line="240" w:lineRule="auto"/>
        <w:jc w:val="both"/>
        <w:rPr>
          <w:rFonts w:eastAsia="Times New Roman"/>
          <w:b/>
          <w:noProof/>
          <w:szCs w:val="24"/>
          <w:lang w:val="en-IE" w:eastAsia="cs-CZ"/>
        </w:rPr>
      </w:pPr>
      <w:r w:rsidRPr="00FE48E2">
        <w:rPr>
          <w:rFonts w:eastAsia="Times New Roman"/>
          <w:b/>
          <w:noProof/>
          <w:szCs w:val="24"/>
          <w:lang w:val="en-IE" w:eastAsia="cs-CZ"/>
        </w:rPr>
        <w:t xml:space="preserve">Reform 1: Transformation of universities to adapt to new forms of learning and changing needs of the labour market </w:t>
      </w:r>
    </w:p>
    <w:p w:rsidRPr="00FE48E2" w:rsidR="00D87E44" w:rsidP="00D226F4" w:rsidRDefault="00D87E44" w14:paraId="154582B9"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objective of the reform is to initiate and accelerate </w:t>
      </w:r>
      <w:r>
        <w:rPr>
          <w:rFonts w:eastAsia="Times New Roman"/>
          <w:noProof/>
          <w:szCs w:val="24"/>
          <w:lang w:val="en-IE" w:eastAsia="cs-CZ"/>
        </w:rPr>
        <w:t>the</w:t>
      </w:r>
      <w:r w:rsidRPr="00FE48E2">
        <w:rPr>
          <w:rFonts w:eastAsia="Times New Roman"/>
          <w:noProof/>
          <w:szCs w:val="24"/>
          <w:lang w:val="en-IE" w:eastAsia="cs-CZ"/>
        </w:rPr>
        <w:t xml:space="preserve"> transformation of universities as regards both the content and forms of learning.  </w:t>
      </w:r>
    </w:p>
    <w:p w:rsidRPr="00FE48E2" w:rsidR="00D87E44" w:rsidP="00D226F4" w:rsidRDefault="00D87E44" w14:paraId="154582BA" w14:textId="77777777">
      <w:pPr>
        <w:spacing w:line="240" w:lineRule="auto"/>
        <w:jc w:val="both"/>
        <w:rPr>
          <w:rFonts w:eastAsia="Times New Roman"/>
          <w:noProof/>
          <w:szCs w:val="24"/>
          <w:lang w:val="en-IE" w:eastAsia="cs-CZ"/>
        </w:rPr>
      </w:pPr>
      <w:r>
        <w:rPr>
          <w:rFonts w:eastAsia="Times New Roman"/>
          <w:noProof/>
          <w:szCs w:val="24"/>
          <w:lang w:val="en-IE" w:eastAsia="cs-CZ"/>
        </w:rPr>
        <w:t>This measure consists of accrediting a</w:t>
      </w:r>
      <w:r w:rsidRPr="00FE48E2">
        <w:rPr>
          <w:rFonts w:eastAsia="Times New Roman"/>
          <w:noProof/>
          <w:szCs w:val="24"/>
          <w:lang w:val="en-IE" w:eastAsia="cs-CZ"/>
        </w:rPr>
        <w:t>t least 35 new study programmes</w:t>
      </w:r>
      <w:r>
        <w:rPr>
          <w:rFonts w:eastAsia="Times New Roman"/>
          <w:noProof/>
          <w:szCs w:val="24"/>
          <w:lang w:val="en-IE" w:eastAsia="cs-CZ"/>
        </w:rPr>
        <w:t>.</w:t>
      </w:r>
    </w:p>
    <w:p w:rsidRPr="00FE48E2" w:rsidR="00D87E44" w:rsidP="00D226F4" w:rsidRDefault="00D87E44" w14:paraId="154582BB" w14:textId="77777777">
      <w:pPr>
        <w:spacing w:line="240" w:lineRule="auto"/>
        <w:jc w:val="both"/>
        <w:rPr>
          <w:rFonts w:eastAsia="Times New Roman"/>
          <w:noProof/>
          <w:lang w:val="en-IE" w:eastAsia="cs-CZ"/>
        </w:rPr>
      </w:pPr>
      <w:r w:rsidRPr="67FAC61F">
        <w:rPr>
          <w:rFonts w:eastAsia="Times New Roman"/>
          <w:b/>
          <w:bCs/>
          <w:noProof/>
          <w:lang w:val="en-IE" w:eastAsia="cs-CZ"/>
        </w:rPr>
        <w:t xml:space="preserve">Investment 1: </w:t>
      </w:r>
      <w:r w:rsidRPr="66974ADC">
        <w:rPr>
          <w:rFonts w:eastAsia="Times New Roman"/>
          <w:b/>
          <w:bCs/>
          <w:noProof/>
          <w:lang w:val="en-IE" w:eastAsia="cs-CZ"/>
        </w:rPr>
        <w:t>Construction</w:t>
      </w:r>
      <w:r w:rsidRPr="00FF1320">
        <w:rPr>
          <w:b/>
          <w:lang w:val="en-IE"/>
        </w:rPr>
        <w:t xml:space="preserve"> </w:t>
      </w:r>
      <w:r w:rsidRPr="67FAC61F">
        <w:rPr>
          <w:b/>
          <w:bCs/>
          <w:noProof/>
          <w:color w:val="000000" w:themeColor="text1"/>
          <w:lang w:val="en-IE"/>
        </w:rPr>
        <w:t>of selected key academic sites</w:t>
      </w:r>
      <w:r w:rsidRPr="67FAC61F">
        <w:rPr>
          <w:rFonts w:eastAsia="Times New Roman"/>
          <w:b/>
          <w:bCs/>
          <w:noProof/>
          <w:lang w:val="en-IE" w:eastAsia="cs-CZ"/>
        </w:rPr>
        <w:t xml:space="preserve"> </w:t>
      </w:r>
    </w:p>
    <w:p w:rsidRPr="00FE48E2" w:rsidR="00D87E44" w:rsidP="00D226F4" w:rsidRDefault="00D87E44" w14:paraId="154582BC" w14:textId="77777777">
      <w:pPr>
        <w:spacing w:line="240" w:lineRule="auto"/>
        <w:jc w:val="both"/>
        <w:rPr>
          <w:rFonts w:eastAsia="Times New Roman"/>
          <w:noProof/>
          <w:szCs w:val="24"/>
          <w:lang w:val="en-IE" w:eastAsia="cs-CZ"/>
        </w:rPr>
      </w:pPr>
      <w:r w:rsidRPr="409A9E99">
        <w:rPr>
          <w:rFonts w:eastAsia="Times New Roman"/>
          <w:noProof/>
          <w:lang w:val="en-IE" w:eastAsia="cs-CZ"/>
        </w:rPr>
        <w:t xml:space="preserve">The </w:t>
      </w:r>
      <w:r>
        <w:rPr>
          <w:rFonts w:eastAsia="Times New Roman"/>
          <w:noProof/>
          <w:lang w:val="en-IE" w:eastAsia="cs-CZ"/>
        </w:rPr>
        <w:t>objective of the measure is to</w:t>
      </w:r>
      <w:r w:rsidRPr="409A9E99">
        <w:rPr>
          <w:rFonts w:eastAsia="Times New Roman"/>
          <w:noProof/>
          <w:lang w:val="en-IE" w:eastAsia="cs-CZ"/>
        </w:rPr>
        <w:t xml:space="preserve"> expand the facilities of universities in the area of medicine, biomedicine and pharmaceutical science. </w:t>
      </w:r>
      <w:r>
        <w:rPr>
          <w:rFonts w:eastAsia="Times New Roman"/>
          <w:noProof/>
          <w:lang w:val="en-IE" w:eastAsia="cs-CZ"/>
        </w:rPr>
        <w:t>The measure consists of the construction of selected university facilities.</w:t>
      </w:r>
    </w:p>
    <w:p w:rsidRPr="00FE48E2" w:rsidR="00D87E44" w:rsidP="00D226F4" w:rsidRDefault="00D87E44" w14:paraId="154582BD" w14:textId="77777777">
      <w:pPr>
        <w:spacing w:line="240" w:lineRule="auto"/>
        <w:jc w:val="both"/>
        <w:rPr>
          <w:rFonts w:eastAsia="Times New Roman"/>
          <w:b/>
          <w:noProof/>
          <w:szCs w:val="24"/>
          <w:lang w:val="en-IE" w:eastAsia="cs-CZ"/>
        </w:rPr>
      </w:pPr>
      <w:r w:rsidRPr="00FE48E2">
        <w:rPr>
          <w:rFonts w:eastAsia="Times New Roman"/>
          <w:b/>
          <w:noProof/>
          <w:szCs w:val="24"/>
          <w:lang w:val="en-IE" w:eastAsia="cs-CZ"/>
        </w:rPr>
        <w:t xml:space="preserve">Reform 2: </w:t>
      </w:r>
      <w:r w:rsidRPr="00FE48E2">
        <w:rPr>
          <w:rFonts w:eastAsia="Times New Roman"/>
          <w:b/>
          <w:noProof/>
          <w:szCs w:val="24"/>
          <w:lang w:val="en-IE" w:eastAsia="cs-CZ"/>
        </w:rPr>
        <w:t>Support of disadvantaged schools</w:t>
      </w:r>
    </w:p>
    <w:p w:rsidRPr="00FE48E2" w:rsidR="00D87E44" w:rsidP="00D226F4" w:rsidRDefault="00D87E44" w14:paraId="154582BE"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aim of the reform is to tackle growing </w:t>
      </w:r>
      <w:r>
        <w:rPr>
          <w:rFonts w:eastAsia="Times New Roman"/>
          <w:noProof/>
          <w:szCs w:val="24"/>
          <w:lang w:val="en-IE" w:eastAsia="cs-CZ"/>
        </w:rPr>
        <w:t>inequalities</w:t>
      </w:r>
      <w:r w:rsidRPr="00FE48E2">
        <w:rPr>
          <w:rFonts w:eastAsia="Times New Roman"/>
          <w:noProof/>
          <w:szCs w:val="24"/>
          <w:lang w:val="en-IE" w:eastAsia="cs-CZ"/>
        </w:rPr>
        <w:t xml:space="preserve"> between educational results of schools and to ensure equal access to quality education. </w:t>
      </w:r>
    </w:p>
    <w:p w:rsidRPr="00FE48E2" w:rsidR="00D87E44" w:rsidP="00D226F4" w:rsidRDefault="00D87E44" w14:paraId="154582BF" w14:textId="77777777">
      <w:pPr>
        <w:spacing w:line="240" w:lineRule="auto"/>
        <w:jc w:val="both"/>
        <w:rPr>
          <w:rFonts w:eastAsia="Times New Roman"/>
          <w:noProof/>
          <w:szCs w:val="24"/>
          <w:lang w:val="en-IE" w:eastAsia="cs-CZ"/>
        </w:rPr>
      </w:pPr>
      <w:r>
        <w:rPr>
          <w:rFonts w:eastAsia="Times New Roman"/>
          <w:noProof/>
          <w:szCs w:val="24"/>
          <w:lang w:val="en-IE" w:eastAsia="cs-CZ"/>
        </w:rPr>
        <w:t xml:space="preserve">This measure consists of a targeted support programme for vulnerable schools, focusing on training for pedagogical staff, and introducing index funding to reflect the level of socio-economic disadvantage of schools. </w:t>
      </w:r>
    </w:p>
    <w:p w:rsidR="00D87E44" w:rsidRDefault="00D87E44" w14:paraId="154582C0" w14:textId="77777777">
      <w:pPr>
        <w:spacing w:before="0" w:after="160" w:line="259" w:lineRule="auto"/>
        <w:rPr>
          <w:rFonts w:eastAsia="Times New Roman"/>
          <w:b/>
          <w:noProof/>
          <w:lang w:val="en-IE" w:eastAsia="cs-CZ"/>
        </w:rPr>
      </w:pPr>
      <w:r>
        <w:rPr>
          <w:rFonts w:eastAsia="Times New Roman"/>
          <w:b/>
          <w:noProof/>
          <w:lang w:val="en-IE" w:eastAsia="cs-CZ"/>
        </w:rPr>
        <w:lastRenderedPageBreak/>
        <w:br w:type="page"/>
      </w:r>
    </w:p>
    <w:p w:rsidRPr="00FE48E2" w:rsidR="00D87E44" w:rsidP="00D226F4" w:rsidRDefault="00D87E44" w14:paraId="154582C1" w14:textId="77777777">
      <w:pPr>
        <w:spacing w:line="240" w:lineRule="auto"/>
        <w:jc w:val="both"/>
        <w:rPr>
          <w:rFonts w:eastAsia="Times New Roman"/>
          <w:b/>
          <w:noProof/>
          <w:lang w:val="en-IE" w:eastAsia="cs-CZ"/>
        </w:rPr>
      </w:pPr>
      <w:r w:rsidRPr="007C3D8A">
        <w:rPr>
          <w:rFonts w:eastAsia="Times New Roman"/>
          <w:b/>
          <w:noProof/>
          <w:lang w:val="en-IE" w:eastAsia="cs-CZ"/>
        </w:rPr>
        <w:lastRenderedPageBreak/>
        <w:t>Investment 2: Tutoring programmes</w:t>
      </w:r>
      <w:r w:rsidRPr="4B1CB921">
        <w:rPr>
          <w:rFonts w:eastAsia="Times New Roman"/>
          <w:b/>
          <w:noProof/>
          <w:lang w:val="en-IE" w:eastAsia="cs-CZ"/>
        </w:rPr>
        <w:t xml:space="preserve"> </w:t>
      </w:r>
    </w:p>
    <w:p w:rsidRPr="00FE48E2" w:rsidR="00D87E44" w:rsidP="00D226F4" w:rsidRDefault="00D87E44" w14:paraId="154582C2" w14:textId="77777777">
      <w:pPr>
        <w:spacing w:line="240" w:lineRule="auto"/>
        <w:jc w:val="both"/>
        <w:rPr>
          <w:rFonts w:eastAsia="Times New Roman"/>
          <w:noProof/>
          <w:lang w:val="en-IE" w:eastAsia="cs-CZ"/>
        </w:rPr>
      </w:pPr>
      <w:r w:rsidRPr="00FE48E2">
        <w:rPr>
          <w:rFonts w:eastAsia="Times New Roman"/>
          <w:noProof/>
          <w:lang w:val="en-IE" w:eastAsia="cs-CZ"/>
        </w:rPr>
        <w:t xml:space="preserve">The investment aims at providing catch-up classes for pupils with a </w:t>
      </w:r>
      <w:r w:rsidRPr="00FE48E2">
        <w:rPr>
          <w:rFonts w:eastAsia="Times New Roman"/>
          <w:noProof/>
          <w:lang w:val="en-IE" w:eastAsia="cs-CZ"/>
        </w:rPr>
        <w:t>disadvantaged socio-economic background, whose educational outcomes deteriorated due to the prolonged school lockdown. Based on reports by the Czech School Inspection, it is estimated that 50 000 pupils lag behind and need tutoring due to insufficient participation in online learning during the ten-month school lockdown. The investment aims to prevent further widening of inequalities between pupils and schools driven by social or other disadvantages.</w:t>
      </w:r>
      <w:r>
        <w:rPr>
          <w:rFonts w:eastAsia="Times New Roman"/>
          <w:noProof/>
          <w:lang w:val="en-IE" w:eastAsia="cs-CZ"/>
        </w:rPr>
        <w:t xml:space="preserve"> 4 000 schools organise tutoring programmes. By reaching t</w:t>
      </w:r>
      <w:r>
        <w:rPr>
          <w:rFonts w:eastAsia="Times New Roman"/>
          <w:noProof/>
          <w:lang w:val="en-IE" w:eastAsia="cs-CZ"/>
        </w:rPr>
        <w:t>his number of schools, t</w:t>
      </w:r>
      <w:r w:rsidRPr="00FE48E2">
        <w:rPr>
          <w:rFonts w:eastAsia="Times New Roman"/>
          <w:noProof/>
          <w:lang w:val="en-IE" w:eastAsia="cs-CZ"/>
        </w:rPr>
        <w:t xml:space="preserve">utoring </w:t>
      </w:r>
      <w:r>
        <w:rPr>
          <w:rFonts w:eastAsia="Times New Roman"/>
          <w:noProof/>
          <w:lang w:val="en-IE" w:eastAsia="cs-CZ"/>
        </w:rPr>
        <w:t>is expected to</w:t>
      </w:r>
      <w:r w:rsidRPr="00FE48E2">
        <w:rPr>
          <w:rFonts w:eastAsia="Times New Roman"/>
          <w:noProof/>
          <w:lang w:val="en-IE" w:eastAsia="cs-CZ"/>
        </w:rPr>
        <w:t xml:space="preserve"> be provided via 500</w:t>
      </w:r>
      <w:r>
        <w:rPr>
          <w:rFonts w:eastAsia="Times New Roman"/>
          <w:noProof/>
          <w:lang w:val="en-IE" w:eastAsia="cs-CZ"/>
        </w:rPr>
        <w:t> </w:t>
      </w:r>
      <w:r w:rsidRPr="00FE48E2">
        <w:rPr>
          <w:rFonts w:eastAsia="Times New Roman"/>
          <w:noProof/>
          <w:lang w:val="en-IE" w:eastAsia="cs-CZ"/>
        </w:rPr>
        <w:t>000 individual enrolments for tutoring courses by pupils</w:t>
      </w:r>
      <w:r w:rsidRPr="3FAB0976">
        <w:rPr>
          <w:rFonts w:eastAsia="Times New Roman"/>
          <w:noProof/>
          <w:lang w:val="en-IE" w:eastAsia="cs-CZ"/>
        </w:rPr>
        <w:t xml:space="preserve">. </w:t>
      </w:r>
      <w:r w:rsidRPr="00FE48E2">
        <w:rPr>
          <w:rFonts w:eastAsia="Times New Roman"/>
          <w:noProof/>
          <w:lang w:val="en-IE" w:eastAsia="cs-CZ"/>
        </w:rPr>
        <w:t>This means the same pupil may benefit from tutoring courses in several subjects (</w:t>
      </w:r>
      <w:r w:rsidRPr="00FE48E2" w:rsidDel="00A21EC7">
        <w:rPr>
          <w:rFonts w:eastAsia="Times New Roman"/>
          <w:noProof/>
          <w:lang w:val="en-IE" w:eastAsia="cs-CZ"/>
        </w:rPr>
        <w:t>e.g</w:t>
      </w:r>
      <w:r w:rsidRPr="00FE48E2">
        <w:rPr>
          <w:rFonts w:eastAsia="Times New Roman"/>
          <w:noProof/>
          <w:lang w:val="en-IE" w:eastAsia="cs-CZ"/>
        </w:rPr>
        <w:t xml:space="preserve">., mathematics, </w:t>
      </w:r>
      <w:r w:rsidRPr="3FAB0976">
        <w:rPr>
          <w:rFonts w:eastAsia="Times New Roman"/>
          <w:noProof/>
          <w:lang w:val="en-IE" w:eastAsia="cs-CZ"/>
        </w:rPr>
        <w:t>English). The aim of the measure is to tutor pupils at risk of school failure.</w:t>
      </w:r>
      <w:r w:rsidRPr="00FE48E2">
        <w:rPr>
          <w:rFonts w:eastAsia="Times New Roman"/>
          <w:noProof/>
          <w:lang w:val="en-IE" w:eastAsia="cs-CZ"/>
        </w:rPr>
        <w:t xml:space="preserve"> Schools and teachers may autonomously determine which pupils are considered at risk of school failure.</w:t>
      </w:r>
    </w:p>
    <w:p w:rsidRPr="00FE48E2" w:rsidR="00D87E44" w:rsidP="00D226F4" w:rsidRDefault="00D87E44" w14:paraId="154582C3" w14:textId="77777777">
      <w:pPr>
        <w:spacing w:line="240" w:lineRule="auto"/>
        <w:jc w:val="both"/>
        <w:rPr>
          <w:rFonts w:eastAsia="Times New Roman"/>
          <w:noProof/>
          <w:lang w:val="en-IE" w:eastAsia="cs-CZ"/>
        </w:rPr>
      </w:pPr>
      <w:r w:rsidRPr="00FE48E2">
        <w:rPr>
          <w:rFonts w:eastAsia="Times New Roman"/>
          <w:noProof/>
          <w:lang w:val="en-IE" w:eastAsia="cs-CZ"/>
        </w:rPr>
        <w:t>An evaluation of the impacts of this measure shall be published (e.g. how the measure helped restore the learning habits and acquire the knowledge prescribed by the curricula</w:t>
      </w:r>
      <w:r w:rsidRPr="00FE48E2" w:rsidDel="00834F71">
        <w:rPr>
          <w:rFonts w:eastAsia="Times New Roman"/>
          <w:noProof/>
          <w:lang w:val="en-IE" w:eastAsia="cs-CZ"/>
        </w:rPr>
        <w:t xml:space="preserve"> in mathematics, Czech </w:t>
      </w:r>
      <w:r w:rsidRPr="65CF5BFD">
        <w:rPr>
          <w:rFonts w:eastAsia="Times New Roman"/>
          <w:noProof/>
          <w:lang w:val="en-IE" w:eastAsia="cs-CZ"/>
        </w:rPr>
        <w:t xml:space="preserve">language </w:t>
      </w:r>
      <w:r w:rsidRPr="00FE48E2" w:rsidDel="00834F71">
        <w:rPr>
          <w:rFonts w:eastAsia="Times New Roman"/>
          <w:noProof/>
          <w:lang w:val="en-IE" w:eastAsia="cs-CZ"/>
        </w:rPr>
        <w:t xml:space="preserve">and </w:t>
      </w:r>
      <w:r w:rsidRPr="65CF5BFD">
        <w:rPr>
          <w:rFonts w:eastAsia="Times New Roman"/>
          <w:noProof/>
          <w:lang w:val="en-IE" w:eastAsia="cs-CZ"/>
        </w:rPr>
        <w:t xml:space="preserve">a </w:t>
      </w:r>
      <w:r w:rsidRPr="00FE48E2" w:rsidDel="00834F71">
        <w:rPr>
          <w:rFonts w:eastAsia="Times New Roman"/>
          <w:noProof/>
          <w:lang w:val="en-IE" w:eastAsia="cs-CZ"/>
        </w:rPr>
        <w:t>foreign language</w:t>
      </w:r>
      <w:r w:rsidRPr="00A46BAF">
        <w:rPr>
          <w:rFonts w:eastAsia="Times New Roman"/>
          <w:noProof/>
          <w:lang w:val="en-IE" w:eastAsia="cs-CZ"/>
        </w:rPr>
        <w:t>.</w:t>
      </w:r>
      <w:r w:rsidRPr="00FE48E2">
        <w:rPr>
          <w:rFonts w:eastAsia="Times New Roman"/>
          <w:noProof/>
          <w:lang w:val="en-IE" w:eastAsia="cs-CZ"/>
        </w:rPr>
        <w:t xml:space="preserve"> </w:t>
      </w:r>
    </w:p>
    <w:p w:rsidRPr="00FE48E2" w:rsidR="00D87E44" w:rsidP="00D226F4" w:rsidRDefault="00D87E44" w14:paraId="154582C4" w14:textId="77777777">
      <w:pPr>
        <w:spacing w:line="240" w:lineRule="auto"/>
        <w:jc w:val="both"/>
        <w:rPr>
          <w:rFonts w:eastAsia="Times New Roman"/>
          <w:noProof/>
          <w:lang w:val="en-IE" w:eastAsia="cs-CZ"/>
        </w:rPr>
      </w:pPr>
      <w:r w:rsidRPr="00FE48E2">
        <w:rPr>
          <w:rFonts w:eastAsia="Times New Roman"/>
          <w:noProof/>
          <w:lang w:val="en-IE" w:eastAsia="cs-CZ"/>
        </w:rPr>
        <w:t xml:space="preserve">The investment shall be completed by 31 December 2023. </w:t>
      </w:r>
    </w:p>
    <w:p w:rsidRPr="00FE48E2" w:rsidR="00D87E44" w:rsidP="00D226F4" w:rsidRDefault="00D87E44" w14:paraId="154582C5" w14:textId="77777777">
      <w:pPr>
        <w:spacing w:line="240" w:lineRule="auto"/>
        <w:jc w:val="both"/>
        <w:rPr>
          <w:rFonts w:eastAsia="Times New Roman"/>
          <w:noProof/>
          <w:lang w:val="en-IE" w:eastAsia="cs-CZ"/>
        </w:rPr>
      </w:pPr>
    </w:p>
    <w:p w:rsidRPr="00FE48E2" w:rsidR="00D87E44" w:rsidP="00D226F4" w:rsidRDefault="00D87E44" w14:paraId="154582C6" w14:textId="77777777">
      <w:pPr>
        <w:spacing w:line="240" w:lineRule="auto"/>
        <w:jc w:val="both"/>
        <w:rPr>
          <w:rFonts w:eastAsia="Times New Roman"/>
          <w:noProof/>
          <w:lang w:val="en-IE" w:eastAsia="cs-CZ"/>
        </w:rPr>
      </w:pPr>
    </w:p>
    <w:p w:rsidRPr="00FE48E2" w:rsidR="00D87E44" w:rsidP="00D226F4" w:rsidRDefault="00D87E44" w14:paraId="154582C7" w14:textId="77777777">
      <w:pPr>
        <w:spacing w:line="240" w:lineRule="auto"/>
        <w:jc w:val="both"/>
        <w:rPr>
          <w:rFonts w:eastAsia="Times New Roman"/>
          <w:noProof/>
          <w:szCs w:val="24"/>
          <w:lang w:val="en-IE" w:eastAsia="cs-CZ"/>
        </w:rPr>
        <w:sectPr w:rsidRPr="00FE48E2" w:rsidR="00C16C1F" w:rsidSect="00D226F4">
          <w:headerReference w:type="even" r:id="Rb6fc5516678445ff"/>
          <w:headerReference w:type="default" r:id="Rac75e481d5bf4993"/>
          <w:footerReference w:type="even" r:id="R03347da31fdf4cc0"/>
          <w:footerReference w:type="default" r:id="R517cd036ca2f4c5b"/>
          <w:headerReference w:type="first" r:id="R0ed25a51c83743cd"/>
          <w:footerReference w:type="first" r:id="Rcffeab0c31b94a29"/>
          <w:pgSz w:w="11907" w:h="16839"/>
          <w:pgMar w:top="1134" w:right="1134" w:bottom="1134" w:left="1134" w:header="567" w:footer="567" w:gutter="0"/>
          <w:cols w:space="708"/>
          <w:docGrid w:linePitch="326"/>
        </w:sectPr>
      </w:pPr>
    </w:p>
    <w:p w:rsidRPr="00FE48E2" w:rsidR="00D87E44" w:rsidP="00D226F4" w:rsidRDefault="00D87E44" w14:paraId="154582C8" w14:textId="77777777">
      <w:pPr>
        <w:pBdr>
          <w:top w:val="nil"/>
          <w:left w:val="nil"/>
          <w:bottom w:val="nil"/>
          <w:right w:val="nil"/>
          <w:between w:val="nil"/>
        </w:pBdr>
        <w:tabs>
          <w:tab w:val="left" w:pos="993"/>
        </w:tabs>
        <w:spacing w:line="240" w:lineRule="auto"/>
        <w:jc w:val="both"/>
        <w:rPr>
          <w:rFonts w:eastAsia="Times New Roman"/>
          <w:b/>
          <w:bCs/>
          <w:noProof/>
          <w:color w:val="000000"/>
          <w:u w:val="single"/>
          <w:lang w:val="en-IE" w:eastAsia="cs-CZ"/>
        </w:rPr>
      </w:pPr>
      <w:r w:rsidRPr="1B282876">
        <w:rPr>
          <w:rFonts w:eastAsia="Times New Roman"/>
          <w:b/>
          <w:bCs/>
          <w:noProof/>
          <w:color w:val="000000" w:themeColor="text1"/>
          <w:u w:val="single"/>
          <w:lang w:val="en-IE" w:eastAsia="cs-CZ"/>
        </w:rPr>
        <w:lastRenderedPageBreak/>
        <w:t xml:space="preserve">S.2. Milestones, targets, indicators, and timetable for monitoring and implementation for non-repayable financial support </w:t>
      </w:r>
    </w:p>
    <w:tbl>
      <w:tblPr>
        <w:tblW w:w="15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10"/>
        <w:gridCol w:w="1814"/>
        <w:gridCol w:w="1077"/>
        <w:gridCol w:w="1418"/>
        <w:gridCol w:w="1134"/>
        <w:gridCol w:w="1077"/>
        <w:gridCol w:w="1077"/>
        <w:gridCol w:w="851"/>
        <w:gridCol w:w="992"/>
        <w:gridCol w:w="1064"/>
        <w:gridCol w:w="4745"/>
      </w:tblGrid>
      <w:tr w:rsidRPr="00FE48E2" w:rsidR="00E3458A" w:rsidTr="006B399D" w14:paraId="154582D1" w14:textId="77777777">
        <w:trPr>
          <w:trHeight w:val="107"/>
          <w:tblHeader/>
          <w:jc w:val="center"/>
        </w:trPr>
        <w:tc>
          <w:tcPr>
            <w:tcW w:w="710" w:type="dxa"/>
            <w:vMerge w:val="restart"/>
            <w:shd w:val="clear" w:color="auto" w:fill="BDD7EE"/>
            <w:vAlign w:val="center"/>
          </w:tcPr>
          <w:p w:rsidRPr="00FE48E2" w:rsidR="00D87E44" w:rsidRDefault="00D87E44" w14:paraId="154582C9" w14:textId="77777777">
            <w:pPr>
              <w:spacing w:line="240" w:lineRule="auto"/>
              <w:jc w:val="center"/>
              <w:rPr>
                <w:noProof/>
                <w:sz w:val="18"/>
                <w:szCs w:val="18"/>
                <w:lang w:val="en-IE"/>
              </w:rPr>
            </w:pPr>
            <w:r w:rsidRPr="00FE48E2">
              <w:rPr>
                <w:b/>
                <w:noProof/>
                <w:sz w:val="18"/>
                <w:szCs w:val="18"/>
                <w:lang w:val="en-IE"/>
              </w:rPr>
              <w:t>Seq. Num.</w:t>
            </w:r>
          </w:p>
        </w:tc>
        <w:tc>
          <w:tcPr>
            <w:tcW w:w="1814" w:type="dxa"/>
            <w:vMerge w:val="restart"/>
            <w:shd w:val="clear" w:color="auto" w:fill="BDD7EE"/>
            <w:vAlign w:val="center"/>
          </w:tcPr>
          <w:p w:rsidRPr="00FE48E2" w:rsidR="00D87E44" w:rsidRDefault="00D87E44" w14:paraId="154582CA"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077" w:type="dxa"/>
            <w:vMerge w:val="restart"/>
            <w:shd w:val="clear" w:color="auto" w:fill="BDD7EE"/>
            <w:vAlign w:val="center"/>
          </w:tcPr>
          <w:p w:rsidRPr="00FE48E2" w:rsidR="00D87E44" w:rsidRDefault="00D87E44" w14:paraId="154582CB"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418" w:type="dxa"/>
            <w:vMerge w:val="restart"/>
            <w:shd w:val="clear" w:color="auto" w:fill="BDD7EE"/>
            <w:vAlign w:val="center"/>
          </w:tcPr>
          <w:p w:rsidRPr="00FE48E2" w:rsidR="00D87E44" w:rsidRDefault="00D87E44" w14:paraId="154582CC"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134" w:type="dxa"/>
            <w:vMerge w:val="restart"/>
            <w:shd w:val="clear" w:color="auto" w:fill="BDD7EE"/>
            <w:vAlign w:val="center"/>
          </w:tcPr>
          <w:p w:rsidRPr="00FE48E2" w:rsidR="00D87E44" w:rsidRDefault="00D87E44" w14:paraId="154582CD"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3005" w:type="dxa"/>
            <w:gridSpan w:val="3"/>
            <w:shd w:val="clear" w:color="auto" w:fill="BDD7EE"/>
            <w:vAlign w:val="center"/>
          </w:tcPr>
          <w:p w:rsidRPr="00FE48E2" w:rsidR="00D87E44" w:rsidRDefault="00D87E44" w14:paraId="154582CE"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2056" w:type="dxa"/>
            <w:gridSpan w:val="2"/>
            <w:shd w:val="clear" w:color="auto" w:fill="BDD7EE"/>
            <w:vAlign w:val="center"/>
          </w:tcPr>
          <w:p w:rsidRPr="00FE48E2" w:rsidR="00D87E44" w:rsidRDefault="00D87E44" w14:paraId="154582CF"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745" w:type="dxa"/>
            <w:vMerge w:val="restart"/>
            <w:shd w:val="clear" w:color="auto" w:fill="BDD7EE"/>
            <w:vAlign w:val="center"/>
          </w:tcPr>
          <w:p w:rsidRPr="00FE48E2" w:rsidR="00D87E44" w:rsidRDefault="00D87E44" w14:paraId="154582D0"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006B399D" w14:paraId="154582DD" w14:textId="77777777">
        <w:trPr>
          <w:trHeight w:val="173"/>
          <w:tblHeader/>
          <w:jc w:val="center"/>
        </w:trPr>
        <w:tc>
          <w:tcPr>
            <w:tcW w:w="710" w:type="dxa"/>
            <w:vMerge/>
            <w:vAlign w:val="center"/>
          </w:tcPr>
          <w:p w:rsidRPr="00FE48E2" w:rsidR="00D87E44" w:rsidRDefault="00D87E44" w14:paraId="154582D2" w14:textId="77777777">
            <w:pPr>
              <w:spacing w:line="240" w:lineRule="auto"/>
              <w:jc w:val="center"/>
              <w:rPr>
                <w:noProof/>
                <w:sz w:val="18"/>
                <w:szCs w:val="18"/>
                <w:lang w:val="en-IE"/>
              </w:rPr>
            </w:pPr>
          </w:p>
        </w:tc>
        <w:tc>
          <w:tcPr>
            <w:tcW w:w="1814" w:type="dxa"/>
            <w:vMerge/>
            <w:vAlign w:val="center"/>
          </w:tcPr>
          <w:p w:rsidRPr="00FE48E2" w:rsidR="00D87E44" w:rsidRDefault="00D87E44" w14:paraId="154582D3" w14:textId="77777777">
            <w:pPr>
              <w:spacing w:line="240" w:lineRule="auto"/>
              <w:jc w:val="center"/>
              <w:rPr>
                <w:noProof/>
                <w:sz w:val="18"/>
                <w:szCs w:val="18"/>
                <w:lang w:val="en-IE"/>
              </w:rPr>
            </w:pPr>
          </w:p>
        </w:tc>
        <w:tc>
          <w:tcPr>
            <w:tcW w:w="1077" w:type="dxa"/>
            <w:vMerge/>
            <w:vAlign w:val="center"/>
          </w:tcPr>
          <w:p w:rsidRPr="00FE48E2" w:rsidR="00D87E44" w:rsidRDefault="00D87E44" w14:paraId="154582D4" w14:textId="77777777">
            <w:pPr>
              <w:spacing w:line="240" w:lineRule="auto"/>
              <w:jc w:val="center"/>
              <w:rPr>
                <w:noProof/>
                <w:sz w:val="18"/>
                <w:szCs w:val="18"/>
                <w:lang w:val="en-IE"/>
              </w:rPr>
            </w:pPr>
          </w:p>
        </w:tc>
        <w:tc>
          <w:tcPr>
            <w:tcW w:w="1418" w:type="dxa"/>
            <w:vMerge/>
            <w:vAlign w:val="center"/>
          </w:tcPr>
          <w:p w:rsidRPr="00FE48E2" w:rsidR="00D87E44" w:rsidRDefault="00D87E44" w14:paraId="154582D5" w14:textId="77777777">
            <w:pPr>
              <w:spacing w:line="240" w:lineRule="auto"/>
              <w:jc w:val="center"/>
              <w:rPr>
                <w:noProof/>
                <w:sz w:val="18"/>
                <w:szCs w:val="18"/>
                <w:lang w:val="en-IE"/>
              </w:rPr>
            </w:pPr>
          </w:p>
        </w:tc>
        <w:tc>
          <w:tcPr>
            <w:tcW w:w="1134" w:type="dxa"/>
            <w:vMerge/>
            <w:vAlign w:val="center"/>
          </w:tcPr>
          <w:p w:rsidRPr="00FE48E2" w:rsidR="00D87E44" w:rsidRDefault="00D87E44" w14:paraId="154582D6" w14:textId="77777777">
            <w:pPr>
              <w:spacing w:line="240" w:lineRule="auto"/>
              <w:jc w:val="center"/>
              <w:rPr>
                <w:noProof/>
                <w:sz w:val="18"/>
                <w:szCs w:val="18"/>
                <w:lang w:val="en-IE"/>
              </w:rPr>
            </w:pPr>
          </w:p>
        </w:tc>
        <w:tc>
          <w:tcPr>
            <w:tcW w:w="1077" w:type="dxa"/>
            <w:shd w:val="clear" w:color="auto" w:fill="BDD7EE"/>
            <w:vAlign w:val="center"/>
          </w:tcPr>
          <w:p w:rsidRPr="00C86F28" w:rsidR="00D87E44" w:rsidRDefault="00D87E44" w14:paraId="154582D7" w14:textId="77777777">
            <w:pPr>
              <w:spacing w:line="240" w:lineRule="auto"/>
              <w:jc w:val="center"/>
              <w:rPr>
                <w:noProof/>
                <w:sz w:val="18"/>
                <w:szCs w:val="18"/>
                <w:lang w:val="en-IE"/>
              </w:rPr>
            </w:pPr>
            <w:r w:rsidRPr="00C86F28">
              <w:rPr>
                <w:rFonts w:eastAsia="Times New Roman"/>
                <w:b/>
                <w:noProof/>
                <w:sz w:val="18"/>
                <w:szCs w:val="18"/>
                <w:lang w:val="en-IE"/>
              </w:rPr>
              <w:t>Unit of measure</w:t>
            </w:r>
          </w:p>
        </w:tc>
        <w:tc>
          <w:tcPr>
            <w:tcW w:w="1077" w:type="dxa"/>
            <w:shd w:val="clear" w:color="auto" w:fill="BDD7EE"/>
            <w:vAlign w:val="center"/>
          </w:tcPr>
          <w:p w:rsidRPr="00C86F28" w:rsidR="00D87E44" w:rsidRDefault="00D87E44" w14:paraId="154582D8" w14:textId="77777777">
            <w:pPr>
              <w:spacing w:line="240" w:lineRule="auto"/>
              <w:jc w:val="center"/>
              <w:rPr>
                <w:noProof/>
                <w:sz w:val="18"/>
                <w:szCs w:val="18"/>
                <w:lang w:val="en-IE"/>
              </w:rPr>
            </w:pPr>
            <w:r w:rsidRPr="00C86F28">
              <w:rPr>
                <w:rFonts w:eastAsia="Times New Roman"/>
                <w:b/>
                <w:noProof/>
                <w:sz w:val="18"/>
                <w:szCs w:val="18"/>
                <w:lang w:val="en-IE"/>
              </w:rPr>
              <w:t>Baseline</w:t>
            </w:r>
          </w:p>
        </w:tc>
        <w:tc>
          <w:tcPr>
            <w:tcW w:w="851" w:type="dxa"/>
            <w:shd w:val="clear" w:color="auto" w:fill="BDD7EE"/>
            <w:vAlign w:val="center"/>
          </w:tcPr>
          <w:p w:rsidRPr="00C86F28" w:rsidR="00D87E44" w:rsidRDefault="00D87E44" w14:paraId="154582D9" w14:textId="77777777">
            <w:pPr>
              <w:spacing w:line="240" w:lineRule="auto"/>
              <w:jc w:val="center"/>
              <w:rPr>
                <w:noProof/>
                <w:sz w:val="18"/>
                <w:szCs w:val="18"/>
                <w:lang w:val="en-IE"/>
              </w:rPr>
            </w:pPr>
            <w:r w:rsidRPr="00C86F28">
              <w:rPr>
                <w:rFonts w:eastAsia="Times New Roman"/>
                <w:b/>
                <w:noProof/>
                <w:sz w:val="18"/>
                <w:szCs w:val="18"/>
                <w:lang w:val="en-IE"/>
              </w:rPr>
              <w:t>Goal</w:t>
            </w:r>
          </w:p>
        </w:tc>
        <w:tc>
          <w:tcPr>
            <w:tcW w:w="992" w:type="dxa"/>
            <w:shd w:val="clear" w:color="auto" w:fill="BDD7EE"/>
            <w:vAlign w:val="center"/>
          </w:tcPr>
          <w:p w:rsidRPr="00C86F28" w:rsidR="00D87E44" w:rsidRDefault="00D87E44" w14:paraId="154582DA" w14:textId="77777777">
            <w:pPr>
              <w:spacing w:line="240" w:lineRule="auto"/>
              <w:jc w:val="center"/>
              <w:rPr>
                <w:noProof/>
                <w:sz w:val="18"/>
                <w:szCs w:val="18"/>
                <w:lang w:val="en-IE"/>
              </w:rPr>
            </w:pPr>
            <w:r w:rsidRPr="00C86F28">
              <w:rPr>
                <w:rFonts w:eastAsia="Times New Roman"/>
                <w:b/>
                <w:noProof/>
                <w:sz w:val="18"/>
                <w:szCs w:val="18"/>
                <w:lang w:val="en-IE"/>
              </w:rPr>
              <w:t>Quarter</w:t>
            </w:r>
          </w:p>
        </w:tc>
        <w:tc>
          <w:tcPr>
            <w:tcW w:w="1064" w:type="dxa"/>
            <w:shd w:val="clear" w:color="auto" w:fill="BDD7EE"/>
            <w:vAlign w:val="center"/>
          </w:tcPr>
          <w:p w:rsidRPr="00C86F28" w:rsidR="00D87E44" w:rsidRDefault="00D87E44" w14:paraId="154582DB" w14:textId="77777777">
            <w:pPr>
              <w:spacing w:line="240" w:lineRule="auto"/>
              <w:jc w:val="center"/>
              <w:rPr>
                <w:noProof/>
                <w:sz w:val="18"/>
                <w:szCs w:val="18"/>
                <w:lang w:val="en-IE"/>
              </w:rPr>
            </w:pPr>
            <w:r w:rsidRPr="00C86F28">
              <w:rPr>
                <w:rFonts w:eastAsia="Times New Roman"/>
                <w:b/>
                <w:noProof/>
                <w:sz w:val="18"/>
                <w:szCs w:val="18"/>
                <w:lang w:val="en-IE"/>
              </w:rPr>
              <w:t>Year</w:t>
            </w:r>
          </w:p>
        </w:tc>
        <w:tc>
          <w:tcPr>
            <w:tcW w:w="4745" w:type="dxa"/>
            <w:vMerge/>
            <w:vAlign w:val="center"/>
          </w:tcPr>
          <w:p w:rsidRPr="00FE48E2" w:rsidR="00D87E44" w:rsidRDefault="00D87E44" w14:paraId="154582DC" w14:textId="77777777">
            <w:pPr>
              <w:spacing w:line="240" w:lineRule="auto"/>
              <w:jc w:val="center"/>
              <w:rPr>
                <w:noProof/>
                <w:sz w:val="18"/>
                <w:szCs w:val="18"/>
                <w:lang w:val="en-IE"/>
              </w:rPr>
            </w:pPr>
          </w:p>
        </w:tc>
      </w:tr>
      <w:tr w:rsidRPr="00FE48E2" w:rsidR="00E3458A" w:rsidTr="006B399D" w14:paraId="154582E9" w14:textId="77777777">
        <w:trPr>
          <w:trHeight w:val="945"/>
          <w:jc w:val="center"/>
        </w:trPr>
        <w:tc>
          <w:tcPr>
            <w:tcW w:w="710" w:type="dxa"/>
            <w:shd w:val="clear" w:color="auto" w:fill="C6EFCE"/>
          </w:tcPr>
          <w:p w:rsidRPr="007C3D8A" w:rsidR="00D87E44" w:rsidRDefault="00D87E44" w14:paraId="154582DE"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176</w:t>
            </w:r>
          </w:p>
        </w:tc>
        <w:tc>
          <w:tcPr>
            <w:tcW w:w="1814" w:type="dxa"/>
            <w:shd w:val="clear" w:color="auto" w:fill="C6EFCE"/>
          </w:tcPr>
          <w:p w:rsidRPr="007C3D8A" w:rsidR="00D87E44" w:rsidRDefault="00D87E44" w14:paraId="154582DF"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Reform 1: Transformation of universities to adapt to new forms of learning and changing needs of the labour market</w:t>
            </w:r>
          </w:p>
        </w:tc>
        <w:tc>
          <w:tcPr>
            <w:tcW w:w="1077" w:type="dxa"/>
            <w:shd w:val="clear" w:color="auto" w:fill="C6EFCE"/>
          </w:tcPr>
          <w:p w:rsidRPr="007C3D8A" w:rsidR="00D87E44" w:rsidRDefault="00D87E44" w14:paraId="154582E0"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Milestone</w:t>
            </w:r>
          </w:p>
        </w:tc>
        <w:tc>
          <w:tcPr>
            <w:tcW w:w="1418" w:type="dxa"/>
            <w:shd w:val="clear" w:color="auto" w:fill="C6EFCE"/>
          </w:tcPr>
          <w:p w:rsidRPr="007C3D8A" w:rsidR="00D87E44" w:rsidRDefault="00D87E44" w14:paraId="154582E1"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Launch of a programme to support transformation of universities </w:t>
            </w:r>
          </w:p>
        </w:tc>
        <w:tc>
          <w:tcPr>
            <w:tcW w:w="1134" w:type="dxa"/>
            <w:shd w:val="clear" w:color="auto" w:fill="C6EFCE"/>
          </w:tcPr>
          <w:p w:rsidRPr="007C3D8A" w:rsidR="00D87E44" w:rsidRDefault="00D87E44" w14:paraId="154582E2"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Launch of the programme by the Ministry of Education </w:t>
            </w:r>
          </w:p>
        </w:tc>
        <w:tc>
          <w:tcPr>
            <w:tcW w:w="1077" w:type="dxa"/>
            <w:shd w:val="clear" w:color="auto" w:fill="C6EFCE"/>
          </w:tcPr>
          <w:p w:rsidRPr="007C3D8A" w:rsidR="00D87E44" w:rsidRDefault="00D87E44" w14:paraId="154582E3"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2E4" w14:textId="77777777">
            <w:pPr>
              <w:spacing w:before="0" w:after="0" w:line="240" w:lineRule="auto"/>
              <w:rPr>
                <w:rFonts w:eastAsia="Times New Roman"/>
                <w:noProof/>
                <w:color w:val="004300"/>
                <w:sz w:val="18"/>
                <w:szCs w:val="18"/>
                <w:lang w:val="en-IE" w:eastAsia="en-GB"/>
              </w:rPr>
            </w:pPr>
          </w:p>
        </w:tc>
        <w:tc>
          <w:tcPr>
            <w:tcW w:w="851" w:type="dxa"/>
            <w:shd w:val="clear" w:color="auto" w:fill="C6EFCE"/>
          </w:tcPr>
          <w:p w:rsidRPr="007C3D8A" w:rsidR="00D87E44" w:rsidRDefault="00D87E44" w14:paraId="154582E5" w14:textId="77777777">
            <w:pPr>
              <w:spacing w:before="0" w:after="0" w:line="240" w:lineRule="auto"/>
              <w:rPr>
                <w:rFonts w:eastAsia="Times New Roman"/>
                <w:noProof/>
                <w:color w:val="004300"/>
                <w:sz w:val="18"/>
                <w:szCs w:val="18"/>
                <w:lang w:val="en-IE" w:eastAsia="en-GB"/>
              </w:rPr>
            </w:pPr>
          </w:p>
        </w:tc>
        <w:tc>
          <w:tcPr>
            <w:tcW w:w="992" w:type="dxa"/>
            <w:shd w:val="clear" w:color="auto" w:fill="C6EFCE"/>
          </w:tcPr>
          <w:p w:rsidRPr="007C3D8A" w:rsidR="00D87E44" w:rsidRDefault="00D87E44" w14:paraId="154582E6"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Q2</w:t>
            </w:r>
          </w:p>
        </w:tc>
        <w:tc>
          <w:tcPr>
            <w:tcW w:w="1064" w:type="dxa"/>
            <w:shd w:val="clear" w:color="auto" w:fill="C6EFCE"/>
          </w:tcPr>
          <w:p w:rsidRPr="007C3D8A" w:rsidR="00D87E44" w:rsidRDefault="00D87E44" w14:paraId="154582E7"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2022</w:t>
            </w:r>
          </w:p>
        </w:tc>
        <w:tc>
          <w:tcPr>
            <w:tcW w:w="4745" w:type="dxa"/>
            <w:shd w:val="clear" w:color="auto" w:fill="C6EFCE"/>
          </w:tcPr>
          <w:p w:rsidRPr="00A9666B" w:rsidR="00D87E44" w:rsidRDefault="00D87E44" w14:paraId="154582E8" w14:textId="77777777">
            <w:pPr>
              <w:spacing w:after="0" w:line="259" w:lineRule="auto"/>
              <w:contextualSpacing/>
              <w:rPr>
                <w:noProof/>
                <w:color w:val="006100"/>
                <w:sz w:val="18"/>
                <w:szCs w:val="18"/>
                <w:lang w:val="en-IE" w:eastAsia="cs-CZ"/>
              </w:rPr>
            </w:pPr>
            <w:r w:rsidRPr="007C3D8A">
              <w:rPr>
                <w:noProof/>
                <w:color w:val="006100"/>
                <w:sz w:val="18"/>
                <w:szCs w:val="18"/>
                <w:lang w:val="en-IE" w:eastAsia="cs-CZ"/>
              </w:rPr>
              <w:t>The programme shall support adaptation of universities to new forms of learning and introduction of new study programmes. The sectors to be supported from the programme shall be identified on the basis of an analysis of economic data, in consultation with the social partners. Focus shall be on fast-growing, high value-added sectors suffering from a lack of highly skilled specialists, such as cybersecurity, artificial intelligence, Industry 4.0 or e-government services. The objective is to support at least 2</w:t>
            </w:r>
            <w:r w:rsidRPr="007C3D8A">
              <w:rPr>
                <w:noProof/>
                <w:color w:val="006100"/>
                <w:sz w:val="18"/>
                <w:szCs w:val="18"/>
                <w:lang w:val="en-IE" w:eastAsia="cs-CZ"/>
              </w:rPr>
              <w:t xml:space="preserve">0 universities. </w:t>
            </w:r>
          </w:p>
        </w:tc>
      </w:tr>
      <w:tr w:rsidRPr="00FE48E2" w:rsidR="00E3458A" w:rsidTr="006B399D" w14:paraId="154582F6" w14:textId="77777777">
        <w:trPr>
          <w:trHeight w:val="945"/>
          <w:jc w:val="center"/>
        </w:trPr>
        <w:tc>
          <w:tcPr>
            <w:tcW w:w="710" w:type="dxa"/>
            <w:shd w:val="clear" w:color="auto" w:fill="C6EFCE"/>
          </w:tcPr>
          <w:p w:rsidRPr="00EF5287" w:rsidR="00D87E44" w:rsidRDefault="00D87E44" w14:paraId="154582EA"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177</w:t>
            </w:r>
          </w:p>
        </w:tc>
        <w:tc>
          <w:tcPr>
            <w:tcW w:w="1814" w:type="dxa"/>
            <w:shd w:val="clear" w:color="auto" w:fill="C6EFCE"/>
          </w:tcPr>
          <w:p w:rsidRPr="003C0715" w:rsidR="00D87E44" w:rsidRDefault="00D87E44" w14:paraId="154582EB"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Reform 1: Transformation of universities to adapt to new forms of learning and changing needs of the labour market</w:t>
            </w:r>
          </w:p>
        </w:tc>
        <w:tc>
          <w:tcPr>
            <w:tcW w:w="1077" w:type="dxa"/>
            <w:shd w:val="clear" w:color="auto" w:fill="C6EFCE"/>
          </w:tcPr>
          <w:p w:rsidRPr="003C0715" w:rsidR="00D87E44" w:rsidRDefault="00D87E44" w14:paraId="154582EC"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Target</w:t>
            </w:r>
          </w:p>
        </w:tc>
        <w:tc>
          <w:tcPr>
            <w:tcW w:w="1418" w:type="dxa"/>
            <w:shd w:val="clear" w:color="auto" w:fill="C6EFCE"/>
          </w:tcPr>
          <w:p w:rsidRPr="003C0715" w:rsidR="00D87E44" w:rsidRDefault="00D87E44" w14:paraId="154582ED"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Number of new accredited study programmes</w:t>
            </w:r>
          </w:p>
        </w:tc>
        <w:tc>
          <w:tcPr>
            <w:tcW w:w="1134" w:type="dxa"/>
            <w:shd w:val="clear" w:color="auto" w:fill="C6EFCE"/>
          </w:tcPr>
          <w:p w:rsidRPr="003C0715" w:rsidR="00D87E44" w:rsidRDefault="00D87E44" w14:paraId="154582EE"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C0715" w:rsidR="00D87E44" w:rsidRDefault="00D87E44" w14:paraId="154582EF"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 xml:space="preserve">Number </w:t>
            </w:r>
          </w:p>
        </w:tc>
        <w:tc>
          <w:tcPr>
            <w:tcW w:w="1077" w:type="dxa"/>
            <w:shd w:val="clear" w:color="auto" w:fill="C6EFCE"/>
          </w:tcPr>
          <w:p w:rsidRPr="003C0715" w:rsidR="00D87E44" w:rsidRDefault="00D87E44" w14:paraId="154582F0"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0</w:t>
            </w:r>
          </w:p>
        </w:tc>
        <w:tc>
          <w:tcPr>
            <w:tcW w:w="851" w:type="dxa"/>
            <w:shd w:val="clear" w:color="auto" w:fill="C6EFCE"/>
          </w:tcPr>
          <w:p w:rsidRPr="003C0715" w:rsidR="00D87E44" w:rsidRDefault="00D87E44" w14:paraId="154582F1"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35</w:t>
            </w:r>
          </w:p>
        </w:tc>
        <w:tc>
          <w:tcPr>
            <w:tcW w:w="992" w:type="dxa"/>
            <w:shd w:val="clear" w:color="auto" w:fill="C6EFCE"/>
          </w:tcPr>
          <w:p w:rsidRPr="003C0715" w:rsidR="00D87E44" w:rsidRDefault="00D87E44" w14:paraId="154582F2"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Q2</w:t>
            </w:r>
          </w:p>
        </w:tc>
        <w:tc>
          <w:tcPr>
            <w:tcW w:w="1064" w:type="dxa"/>
            <w:shd w:val="clear" w:color="auto" w:fill="C6EFCE"/>
          </w:tcPr>
          <w:p w:rsidRPr="003C0715" w:rsidR="00D87E44" w:rsidRDefault="00D87E44" w14:paraId="154582F3"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2025</w:t>
            </w:r>
          </w:p>
        </w:tc>
        <w:tc>
          <w:tcPr>
            <w:tcW w:w="4745" w:type="dxa"/>
            <w:shd w:val="clear" w:color="auto" w:fill="C6EFCE"/>
          </w:tcPr>
          <w:p w:rsidRPr="00FF1320" w:rsidR="00D87E44" w:rsidRDefault="00D87E44" w14:paraId="154582F4" w14:textId="77777777">
            <w:pPr>
              <w:spacing w:before="0" w:after="0" w:line="240" w:lineRule="auto"/>
              <w:rPr>
                <w:color w:val="006100"/>
                <w:sz w:val="18"/>
                <w:lang w:val="en-IE"/>
              </w:rPr>
            </w:pPr>
            <w:r w:rsidRPr="00FF1320">
              <w:rPr>
                <w:color w:val="006100"/>
                <w:sz w:val="18"/>
                <w:lang w:val="en-IE"/>
              </w:rPr>
              <w:t>At least 35 new study programmes shall receive accreditation</w:t>
            </w:r>
            <w:r w:rsidRPr="007C3D8A">
              <w:rPr>
                <w:noProof/>
                <w:color w:val="006100"/>
                <w:sz w:val="18"/>
                <w:szCs w:val="18"/>
                <w:lang w:val="en-IE" w:eastAsia="cs-CZ"/>
              </w:rPr>
              <w:t>.</w:t>
            </w:r>
            <w:r w:rsidRPr="00FF1320">
              <w:rPr>
                <w:color w:val="006100"/>
                <w:sz w:val="18"/>
                <w:lang w:val="en-IE"/>
              </w:rPr>
              <w:t xml:space="preserve"> </w:t>
            </w:r>
          </w:p>
          <w:p w:rsidRPr="00FF1320" w:rsidR="00D87E44" w:rsidP="00FF1320" w:rsidRDefault="00D87E44" w14:paraId="154582F5" w14:textId="77777777">
            <w:pPr>
              <w:spacing w:before="0" w:after="0" w:line="240" w:lineRule="auto"/>
              <w:ind w:left="720"/>
              <w:rPr>
                <w:color w:val="006100"/>
                <w:sz w:val="18"/>
                <w:lang w:val="en-IE"/>
              </w:rPr>
            </w:pPr>
          </w:p>
        </w:tc>
      </w:tr>
      <w:tr w:rsidRPr="00FE48E2" w:rsidR="00E3458A" w:rsidTr="006B399D" w14:paraId="15458305" w14:textId="77777777">
        <w:trPr>
          <w:trHeight w:val="2149"/>
          <w:jc w:val="center"/>
        </w:trPr>
        <w:tc>
          <w:tcPr>
            <w:tcW w:w="710" w:type="dxa"/>
            <w:shd w:val="clear" w:color="auto" w:fill="C6EFCE"/>
          </w:tcPr>
          <w:p w:rsidRPr="00FF1320" w:rsidR="00D87E44" w:rsidRDefault="00D87E44" w14:paraId="154582F7" w14:textId="77777777">
            <w:pPr>
              <w:spacing w:before="0" w:after="0" w:line="240" w:lineRule="auto"/>
              <w:rPr>
                <w:color w:val="004300"/>
                <w:sz w:val="18"/>
                <w:highlight w:val="yellow"/>
                <w:lang w:val="en-IE"/>
              </w:rPr>
            </w:pPr>
            <w:r w:rsidRPr="007C3D8A">
              <w:rPr>
                <w:rFonts w:eastAsia="Times New Roman"/>
                <w:noProof/>
                <w:color w:val="004300"/>
                <w:sz w:val="18"/>
                <w:szCs w:val="18"/>
                <w:lang w:val="en-IE" w:eastAsia="en-GB"/>
              </w:rPr>
              <w:t>179</w:t>
            </w:r>
          </w:p>
        </w:tc>
        <w:tc>
          <w:tcPr>
            <w:tcW w:w="1814" w:type="dxa"/>
            <w:shd w:val="clear" w:color="auto" w:fill="C6EFCE"/>
          </w:tcPr>
          <w:p w:rsidRPr="007C3D8A" w:rsidR="00D87E44" w:rsidRDefault="00D87E44" w14:paraId="154582F8"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Investment 1: Development of selected key academic sites</w:t>
            </w:r>
          </w:p>
        </w:tc>
        <w:tc>
          <w:tcPr>
            <w:tcW w:w="1077" w:type="dxa"/>
            <w:shd w:val="clear" w:color="auto" w:fill="C6EFCE"/>
          </w:tcPr>
          <w:p w:rsidRPr="007C3D8A" w:rsidR="00D87E44" w:rsidRDefault="00D87E44" w14:paraId="154582F9"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Milestone </w:t>
            </w:r>
          </w:p>
        </w:tc>
        <w:tc>
          <w:tcPr>
            <w:tcW w:w="1418" w:type="dxa"/>
            <w:shd w:val="clear" w:color="auto" w:fill="C6EFCE"/>
          </w:tcPr>
          <w:p w:rsidRPr="007C3D8A" w:rsidR="00D87E44" w:rsidRDefault="00D87E44" w14:paraId="154582FA"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Award of contracts for the construction of new university facilities </w:t>
            </w:r>
          </w:p>
        </w:tc>
        <w:tc>
          <w:tcPr>
            <w:tcW w:w="1134" w:type="dxa"/>
            <w:shd w:val="clear" w:color="auto" w:fill="C6EFCE"/>
          </w:tcPr>
          <w:p w:rsidRPr="007C3D8A" w:rsidR="00D87E44" w:rsidRDefault="00D87E44" w14:paraId="154582FB"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Notification of the award for the construction of new university facilities</w:t>
            </w:r>
          </w:p>
        </w:tc>
        <w:tc>
          <w:tcPr>
            <w:tcW w:w="1077" w:type="dxa"/>
            <w:shd w:val="clear" w:color="auto" w:fill="C6EFCE"/>
          </w:tcPr>
          <w:p w:rsidRPr="007C3D8A" w:rsidR="00D87E44" w:rsidRDefault="00D87E44" w14:paraId="154582FC"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2FD" w14:textId="77777777">
            <w:pPr>
              <w:spacing w:before="0" w:after="0" w:line="240" w:lineRule="auto"/>
              <w:rPr>
                <w:rFonts w:eastAsia="Times New Roman"/>
                <w:noProof/>
                <w:color w:val="004300"/>
                <w:sz w:val="18"/>
                <w:szCs w:val="18"/>
                <w:lang w:val="en-IE" w:eastAsia="en-GB"/>
              </w:rPr>
            </w:pPr>
          </w:p>
        </w:tc>
        <w:tc>
          <w:tcPr>
            <w:tcW w:w="851" w:type="dxa"/>
            <w:shd w:val="clear" w:color="auto" w:fill="C6EFCE"/>
          </w:tcPr>
          <w:p w:rsidRPr="007C3D8A" w:rsidR="00D87E44" w:rsidRDefault="00D87E44" w14:paraId="154582FE" w14:textId="77777777">
            <w:pPr>
              <w:spacing w:before="0" w:after="0" w:line="240" w:lineRule="auto"/>
              <w:rPr>
                <w:rFonts w:eastAsia="Times New Roman"/>
                <w:noProof/>
                <w:color w:val="004300"/>
                <w:sz w:val="18"/>
                <w:szCs w:val="18"/>
                <w:lang w:val="en-IE" w:eastAsia="en-GB"/>
              </w:rPr>
            </w:pPr>
          </w:p>
        </w:tc>
        <w:tc>
          <w:tcPr>
            <w:tcW w:w="992" w:type="dxa"/>
            <w:shd w:val="clear" w:color="auto" w:fill="C6EFCE"/>
          </w:tcPr>
          <w:p w:rsidRPr="007C3D8A" w:rsidR="00D87E44" w:rsidRDefault="00D87E44" w14:paraId="154582FF"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Q2</w:t>
            </w:r>
          </w:p>
        </w:tc>
        <w:tc>
          <w:tcPr>
            <w:tcW w:w="1064" w:type="dxa"/>
            <w:shd w:val="clear" w:color="auto" w:fill="C6EFCE"/>
          </w:tcPr>
          <w:p w:rsidRPr="007C3D8A" w:rsidR="00D87E44" w:rsidRDefault="00D87E44" w14:paraId="15458300"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2024</w:t>
            </w:r>
          </w:p>
        </w:tc>
        <w:tc>
          <w:tcPr>
            <w:tcW w:w="4745" w:type="dxa"/>
            <w:shd w:val="clear" w:color="auto" w:fill="C6EFCE"/>
          </w:tcPr>
          <w:p w:rsidRPr="007C3D8A" w:rsidR="00D87E44" w:rsidRDefault="00D87E44" w14:paraId="15458301" w14:textId="77777777">
            <w:pPr>
              <w:spacing w:before="0" w:after="0" w:line="240" w:lineRule="auto"/>
              <w:rPr>
                <w:rFonts w:eastAsia="Times New Roman"/>
                <w:noProof/>
                <w:color w:val="006100"/>
                <w:sz w:val="18"/>
                <w:szCs w:val="18"/>
                <w:lang w:val="en-IE" w:eastAsia="cs-CZ"/>
              </w:rPr>
            </w:pPr>
            <w:r w:rsidRPr="007C3D8A">
              <w:rPr>
                <w:rFonts w:eastAsia="Times New Roman"/>
                <w:noProof/>
                <w:color w:val="006100"/>
                <w:sz w:val="18"/>
                <w:szCs w:val="18"/>
                <w:lang w:val="en-IE" w:eastAsia="cs-CZ"/>
              </w:rPr>
              <w:t>Notification of the award of the public contracts for construction of new university facilities with the objective of 100 000 m2 of new university area including material equipment, broken down:</w:t>
            </w:r>
          </w:p>
          <w:p w:rsidRPr="007C3D8A" w:rsidR="00D87E44" w:rsidP="00D226F4" w:rsidRDefault="00D87E44" w14:paraId="15458302" w14:textId="77777777">
            <w:pPr>
              <w:numPr>
                <w:ilvl w:val="0"/>
                <w:numId w:val="58"/>
              </w:numPr>
              <w:spacing w:after="240" w:line="259" w:lineRule="auto"/>
              <w:ind w:left="382" w:hanging="283"/>
              <w:contextualSpacing/>
              <w:rPr>
                <w:rFonts w:eastAsia="Times New Roman"/>
                <w:noProof/>
                <w:color w:val="006100"/>
                <w:sz w:val="18"/>
                <w:szCs w:val="18"/>
                <w:lang w:val="en-IE" w:eastAsia="cs-CZ"/>
              </w:rPr>
            </w:pPr>
            <w:r w:rsidRPr="007C3D8A">
              <w:rPr>
                <w:rFonts w:eastAsia="Times New Roman"/>
                <w:noProof/>
                <w:color w:val="006100"/>
                <w:sz w:val="18"/>
                <w:szCs w:val="18"/>
                <w:lang w:val="en-IE" w:eastAsia="cs-CZ"/>
              </w:rPr>
              <w:t>Mephared 2 (Charles University, Hradec Králové) – 58</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092</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 xml:space="preserve">m² </w:t>
            </w:r>
          </w:p>
          <w:p w:rsidRPr="007C3D8A" w:rsidR="00D87E44" w:rsidP="00D226F4" w:rsidRDefault="00D87E44" w14:paraId="15458303" w14:textId="77777777">
            <w:pPr>
              <w:numPr>
                <w:ilvl w:val="0"/>
                <w:numId w:val="58"/>
              </w:numPr>
              <w:spacing w:after="240" w:line="259" w:lineRule="auto"/>
              <w:ind w:left="382" w:hanging="283"/>
              <w:contextualSpacing/>
              <w:rPr>
                <w:rFonts w:eastAsia="Times New Roman"/>
                <w:noProof/>
                <w:color w:val="006100"/>
                <w:sz w:val="18"/>
                <w:szCs w:val="18"/>
                <w:lang w:val="en-IE" w:eastAsia="cs-CZ"/>
              </w:rPr>
            </w:pPr>
            <w:r w:rsidRPr="007C3D8A">
              <w:rPr>
                <w:rFonts w:eastAsia="Times New Roman"/>
                <w:noProof/>
                <w:color w:val="006100"/>
                <w:sz w:val="18"/>
                <w:szCs w:val="18"/>
                <w:lang w:val="en-IE" w:eastAsia="cs-CZ"/>
              </w:rPr>
              <w:t>Biocentrum (Charles University, Prague-Albertov) – 33</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934</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 xml:space="preserve"> m²</w:t>
            </w:r>
          </w:p>
          <w:p w:rsidRPr="007C3D8A" w:rsidR="00D87E44" w:rsidP="00D226F4" w:rsidRDefault="00D87E44" w14:paraId="15458304" w14:textId="77777777">
            <w:pPr>
              <w:numPr>
                <w:ilvl w:val="0"/>
                <w:numId w:val="58"/>
              </w:numPr>
              <w:spacing w:after="240" w:line="259" w:lineRule="auto"/>
              <w:ind w:left="382" w:hanging="283"/>
              <w:contextualSpacing/>
              <w:rPr>
                <w:i/>
                <w:noProof/>
                <w:color w:val="006100"/>
                <w:sz w:val="18"/>
                <w:szCs w:val="18"/>
                <w:lang w:val="en-IE" w:eastAsia="cs-CZ"/>
              </w:rPr>
            </w:pPr>
            <w:r w:rsidRPr="007C3D8A">
              <w:rPr>
                <w:rFonts w:eastAsia="Times New Roman"/>
                <w:noProof/>
                <w:color w:val="006100"/>
                <w:sz w:val="18"/>
                <w:szCs w:val="18"/>
                <w:lang w:val="en-IE" w:eastAsia="cs-CZ"/>
              </w:rPr>
              <w:t>BiopharmaHub (Masaryk University, Brno) – 19</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035</w:t>
            </w:r>
            <w:r>
              <w:rPr>
                <w:rFonts w:eastAsia="Times New Roman"/>
                <w:noProof/>
                <w:color w:val="006100"/>
                <w:sz w:val="18"/>
                <w:szCs w:val="18"/>
                <w:lang w:val="en-IE" w:eastAsia="cs-CZ"/>
              </w:rPr>
              <w:t> </w:t>
            </w:r>
            <w:r w:rsidRPr="007C3D8A">
              <w:rPr>
                <w:rFonts w:eastAsia="Times New Roman"/>
                <w:noProof/>
                <w:color w:val="006100"/>
                <w:sz w:val="18"/>
                <w:szCs w:val="18"/>
                <w:lang w:val="en-IE" w:eastAsia="cs-CZ"/>
              </w:rPr>
              <w:t>m²</w:t>
            </w:r>
          </w:p>
        </w:tc>
      </w:tr>
      <w:tr w:rsidRPr="00FE48E2" w:rsidR="00E3458A" w:rsidTr="006B399D" w14:paraId="15458311" w14:textId="77777777">
        <w:trPr>
          <w:trHeight w:val="945"/>
          <w:jc w:val="center"/>
        </w:trPr>
        <w:tc>
          <w:tcPr>
            <w:tcW w:w="710" w:type="dxa"/>
            <w:shd w:val="clear" w:color="auto" w:fill="C6EFCE"/>
          </w:tcPr>
          <w:p w:rsidRPr="00EF5287" w:rsidR="00D87E44" w:rsidRDefault="00D87E44" w14:paraId="15458306"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180</w:t>
            </w:r>
          </w:p>
        </w:tc>
        <w:tc>
          <w:tcPr>
            <w:tcW w:w="1814" w:type="dxa"/>
            <w:shd w:val="clear" w:color="auto" w:fill="C6EFCE"/>
          </w:tcPr>
          <w:p w:rsidRPr="003C0715" w:rsidR="00D87E44" w:rsidRDefault="00D87E44" w14:paraId="15458307"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 xml:space="preserve">Investment 1: </w:t>
            </w:r>
            <w:r>
              <w:rPr>
                <w:rFonts w:eastAsia="Times New Roman"/>
                <w:noProof/>
                <w:color w:val="004300"/>
                <w:sz w:val="18"/>
                <w:szCs w:val="18"/>
                <w:lang w:val="en-IE" w:eastAsia="en-GB"/>
              </w:rPr>
              <w:t>Construction</w:t>
            </w:r>
            <w:r w:rsidRPr="003C0715">
              <w:rPr>
                <w:rFonts w:eastAsia="Times New Roman"/>
                <w:noProof/>
                <w:color w:val="004300"/>
                <w:sz w:val="18"/>
                <w:szCs w:val="18"/>
                <w:lang w:val="en-IE" w:eastAsia="en-GB"/>
              </w:rPr>
              <w:t xml:space="preserve"> of selected key academic sites</w:t>
            </w:r>
          </w:p>
        </w:tc>
        <w:tc>
          <w:tcPr>
            <w:tcW w:w="1077" w:type="dxa"/>
            <w:shd w:val="clear" w:color="auto" w:fill="C6EFCE"/>
          </w:tcPr>
          <w:p w:rsidRPr="003C0715" w:rsidR="00D87E44" w:rsidRDefault="00D87E44" w14:paraId="15458308"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Target</w:t>
            </w:r>
          </w:p>
        </w:tc>
        <w:tc>
          <w:tcPr>
            <w:tcW w:w="1418" w:type="dxa"/>
            <w:shd w:val="clear" w:color="auto" w:fill="C6EFCE"/>
          </w:tcPr>
          <w:p w:rsidRPr="003C0715" w:rsidR="00D87E44" w:rsidRDefault="00D87E44" w14:paraId="15458309"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 xml:space="preserve">Number of square metres of new university area </w:t>
            </w:r>
          </w:p>
        </w:tc>
        <w:tc>
          <w:tcPr>
            <w:tcW w:w="1134" w:type="dxa"/>
            <w:shd w:val="clear" w:color="auto" w:fill="C6EFCE"/>
          </w:tcPr>
          <w:p w:rsidRPr="003C0715" w:rsidR="00D87E44" w:rsidRDefault="00D87E44" w14:paraId="1545830A"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C0715" w:rsidR="00D87E44" w:rsidRDefault="00D87E44" w14:paraId="1545830B"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 xml:space="preserve">Number </w:t>
            </w:r>
          </w:p>
        </w:tc>
        <w:tc>
          <w:tcPr>
            <w:tcW w:w="1077" w:type="dxa"/>
            <w:shd w:val="clear" w:color="auto" w:fill="C6EFCE"/>
          </w:tcPr>
          <w:p w:rsidRPr="003C0715" w:rsidR="00D87E44" w:rsidRDefault="00D87E44" w14:paraId="1545830C"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0</w:t>
            </w:r>
          </w:p>
        </w:tc>
        <w:tc>
          <w:tcPr>
            <w:tcW w:w="851" w:type="dxa"/>
            <w:shd w:val="clear" w:color="auto" w:fill="C6EFCE"/>
          </w:tcPr>
          <w:p w:rsidRPr="003C0715" w:rsidR="00D87E44" w:rsidRDefault="00D87E44" w14:paraId="1545830D"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95 000</w:t>
            </w:r>
          </w:p>
        </w:tc>
        <w:tc>
          <w:tcPr>
            <w:tcW w:w="992" w:type="dxa"/>
            <w:shd w:val="clear" w:color="auto" w:fill="C6EFCE"/>
          </w:tcPr>
          <w:p w:rsidRPr="003C0715" w:rsidR="00D87E44" w:rsidRDefault="00D87E44" w14:paraId="1545830E"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 xml:space="preserve">  Q2</w:t>
            </w:r>
          </w:p>
        </w:tc>
        <w:tc>
          <w:tcPr>
            <w:tcW w:w="1064" w:type="dxa"/>
            <w:shd w:val="clear" w:color="auto" w:fill="C6EFCE"/>
          </w:tcPr>
          <w:p w:rsidRPr="003C0715" w:rsidR="00D87E44" w:rsidRDefault="00D87E44" w14:paraId="1545830F" w14:textId="77777777">
            <w:pPr>
              <w:spacing w:before="0" w:after="0" w:line="240" w:lineRule="auto"/>
              <w:rPr>
                <w:rFonts w:eastAsia="Times New Roman"/>
                <w:noProof/>
                <w:color w:val="004300"/>
                <w:sz w:val="18"/>
                <w:szCs w:val="18"/>
                <w:lang w:val="en-IE" w:eastAsia="en-GB"/>
              </w:rPr>
            </w:pPr>
            <w:r w:rsidRPr="003C0715">
              <w:rPr>
                <w:rFonts w:eastAsia="Times New Roman"/>
                <w:noProof/>
                <w:color w:val="004300"/>
                <w:sz w:val="18"/>
                <w:szCs w:val="18"/>
                <w:lang w:val="en-IE" w:eastAsia="en-GB"/>
              </w:rPr>
              <w:t>2026</w:t>
            </w:r>
          </w:p>
        </w:tc>
        <w:tc>
          <w:tcPr>
            <w:tcW w:w="4745" w:type="dxa"/>
            <w:shd w:val="clear" w:color="auto" w:fill="C6EFCE"/>
          </w:tcPr>
          <w:p w:rsidRPr="003C0715" w:rsidR="00D87E44" w:rsidRDefault="00D87E44" w14:paraId="15458310" w14:textId="77777777">
            <w:pPr>
              <w:spacing w:before="0" w:after="0" w:line="240" w:lineRule="auto"/>
              <w:rPr>
                <w:noProof/>
                <w:color w:val="006100"/>
                <w:sz w:val="18"/>
                <w:szCs w:val="18"/>
                <w:lang w:val="en-IE" w:eastAsia="cs-CZ"/>
              </w:rPr>
            </w:pPr>
            <w:r w:rsidRPr="003C0715">
              <w:rPr>
                <w:rFonts w:eastAsia="Times New Roman"/>
                <w:noProof/>
                <w:color w:val="006100"/>
                <w:sz w:val="18"/>
                <w:szCs w:val="18"/>
                <w:lang w:val="en-IE" w:eastAsia="cs-CZ"/>
              </w:rPr>
              <w:t>At least 95</w:t>
            </w:r>
            <w:r w:rsidRPr="003C0715">
              <w:rPr>
                <w:rFonts w:eastAsia="Times New Roman"/>
                <w:noProof/>
                <w:color w:val="006100"/>
                <w:sz w:val="20"/>
                <w:szCs w:val="20"/>
                <w:lang w:val="en-IE" w:eastAsia="en-GB"/>
              </w:rPr>
              <w:t> </w:t>
            </w:r>
            <w:r w:rsidRPr="003C0715">
              <w:rPr>
                <w:rFonts w:eastAsia="Times New Roman"/>
                <w:noProof/>
                <w:color w:val="006100"/>
                <w:sz w:val="18"/>
                <w:szCs w:val="18"/>
                <w:lang w:val="en-IE" w:eastAsia="cs-CZ"/>
              </w:rPr>
              <w:t>000 m² of new university areas shall be constructed.</w:t>
            </w:r>
          </w:p>
        </w:tc>
      </w:tr>
      <w:tr w:rsidRPr="00FE48E2" w:rsidR="00E3458A" w:rsidTr="006B399D" w14:paraId="1545831D" w14:textId="77777777">
        <w:trPr>
          <w:trHeight w:val="945"/>
          <w:jc w:val="center"/>
        </w:trPr>
        <w:tc>
          <w:tcPr>
            <w:tcW w:w="710" w:type="dxa"/>
            <w:shd w:val="clear" w:color="auto" w:fill="C6EFCE"/>
          </w:tcPr>
          <w:p w:rsidRPr="00EF5287" w:rsidR="00D87E44" w:rsidRDefault="00D87E44" w14:paraId="15458312"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lastRenderedPageBreak/>
              <w:t>181</w:t>
            </w:r>
          </w:p>
        </w:tc>
        <w:tc>
          <w:tcPr>
            <w:tcW w:w="1814" w:type="dxa"/>
            <w:shd w:val="clear" w:color="auto" w:fill="C6EFCE"/>
          </w:tcPr>
          <w:p w:rsidRPr="00EF5287" w:rsidR="00D87E44" w:rsidRDefault="00D87E44" w14:paraId="15458313"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Reform 2: Support of disadvantaged schools</w:t>
            </w:r>
          </w:p>
        </w:tc>
        <w:tc>
          <w:tcPr>
            <w:tcW w:w="1077" w:type="dxa"/>
            <w:shd w:val="clear" w:color="auto" w:fill="C6EFCE"/>
          </w:tcPr>
          <w:p w:rsidRPr="00EF5287" w:rsidR="00D87E44" w:rsidRDefault="00D87E44" w14:paraId="15458314"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Target</w:t>
            </w:r>
          </w:p>
        </w:tc>
        <w:tc>
          <w:tcPr>
            <w:tcW w:w="1418" w:type="dxa"/>
            <w:shd w:val="clear" w:color="auto" w:fill="C6EFCE"/>
          </w:tcPr>
          <w:p w:rsidRPr="00EF5287" w:rsidR="00D87E44" w:rsidRDefault="00D87E44" w14:paraId="15458315"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Number of disadvantaged schools supported </w:t>
            </w:r>
          </w:p>
        </w:tc>
        <w:tc>
          <w:tcPr>
            <w:tcW w:w="1134" w:type="dxa"/>
            <w:shd w:val="clear" w:color="auto" w:fill="C6EFCE"/>
          </w:tcPr>
          <w:p w:rsidRPr="00EF5287" w:rsidR="00D87E44" w:rsidRDefault="00D87E44" w14:paraId="15458316"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EF5287" w:rsidR="00D87E44" w:rsidRDefault="00D87E44" w14:paraId="15458317"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Number </w:t>
            </w:r>
          </w:p>
        </w:tc>
        <w:tc>
          <w:tcPr>
            <w:tcW w:w="1077" w:type="dxa"/>
            <w:shd w:val="clear" w:color="auto" w:fill="C6EFCE"/>
          </w:tcPr>
          <w:p w:rsidRPr="00EF5287" w:rsidR="00D87E44" w:rsidRDefault="00D87E44" w14:paraId="15458318"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0</w:t>
            </w:r>
          </w:p>
        </w:tc>
        <w:tc>
          <w:tcPr>
            <w:tcW w:w="851" w:type="dxa"/>
            <w:shd w:val="clear" w:color="auto" w:fill="C6EFCE"/>
          </w:tcPr>
          <w:p w:rsidRPr="00EF5287" w:rsidR="00D87E44" w:rsidRDefault="00D87E44" w14:paraId="15458319"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400</w:t>
            </w:r>
          </w:p>
        </w:tc>
        <w:tc>
          <w:tcPr>
            <w:tcW w:w="992" w:type="dxa"/>
            <w:shd w:val="clear" w:color="auto" w:fill="C6EFCE"/>
          </w:tcPr>
          <w:p w:rsidRPr="00EF5287" w:rsidR="00D87E44" w:rsidRDefault="00D87E44" w14:paraId="1545831A"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Q4</w:t>
            </w:r>
          </w:p>
        </w:tc>
        <w:tc>
          <w:tcPr>
            <w:tcW w:w="1064" w:type="dxa"/>
            <w:shd w:val="clear" w:color="auto" w:fill="C6EFCE"/>
          </w:tcPr>
          <w:p w:rsidRPr="00EF5287" w:rsidR="00D87E44" w:rsidRDefault="00D87E44" w14:paraId="1545831B"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2025</w:t>
            </w:r>
          </w:p>
        </w:tc>
        <w:tc>
          <w:tcPr>
            <w:tcW w:w="4745" w:type="dxa"/>
            <w:shd w:val="clear" w:color="auto" w:fill="C6EFCE"/>
          </w:tcPr>
          <w:p w:rsidRPr="00FE48E2" w:rsidR="00D87E44" w:rsidRDefault="00D87E44" w14:paraId="1545831C" w14:textId="77777777">
            <w:pPr>
              <w:spacing w:before="0" w:after="0" w:line="240" w:lineRule="auto"/>
              <w:rPr>
                <w:noProof/>
                <w:color w:val="006100"/>
                <w:sz w:val="18"/>
                <w:szCs w:val="18"/>
                <w:lang w:val="en-IE" w:eastAsia="cs-CZ"/>
              </w:rPr>
            </w:pPr>
            <w:r w:rsidRPr="69BD1277">
              <w:rPr>
                <w:noProof/>
                <w:color w:val="006100"/>
                <w:sz w:val="18"/>
                <w:szCs w:val="18"/>
                <w:lang w:val="en-IE" w:eastAsia="cs-CZ"/>
              </w:rPr>
              <w:t>Calls with the aim of</w:t>
            </w:r>
            <w:r>
              <w:rPr>
                <w:noProof/>
                <w:color w:val="006100"/>
                <w:sz w:val="18"/>
                <w:szCs w:val="18"/>
                <w:lang w:val="en-IE" w:eastAsia="cs-CZ"/>
              </w:rPr>
              <w:t xml:space="preserve"> supporting schools with a high proportion of disadvantaged pupils shall be launched. </w:t>
            </w:r>
            <w:r w:rsidRPr="69BD1277">
              <w:rPr>
                <w:noProof/>
                <w:color w:val="006100"/>
                <w:sz w:val="18"/>
                <w:szCs w:val="18"/>
                <w:lang w:val="en-IE" w:eastAsia="cs-CZ"/>
              </w:rPr>
              <w:t xml:space="preserve">The calls shall cover support for training of pedagogical staff. </w:t>
            </w:r>
            <w:r>
              <w:rPr>
                <w:noProof/>
                <w:color w:val="006100"/>
                <w:sz w:val="18"/>
                <w:szCs w:val="18"/>
                <w:lang w:val="en-IE" w:eastAsia="cs-CZ"/>
              </w:rPr>
              <w:t>A</w:t>
            </w:r>
            <w:r w:rsidRPr="00FE48E2">
              <w:rPr>
                <w:noProof/>
                <w:color w:val="006100"/>
                <w:sz w:val="18"/>
                <w:szCs w:val="18"/>
                <w:lang w:val="en-IE" w:eastAsia="cs-CZ"/>
              </w:rPr>
              <w:t xml:space="preserve">t least 400 schools </w:t>
            </w:r>
            <w:r>
              <w:rPr>
                <w:noProof/>
                <w:color w:val="006100"/>
                <w:sz w:val="18"/>
                <w:szCs w:val="18"/>
                <w:lang w:val="en-IE" w:eastAsia="cs-CZ"/>
              </w:rPr>
              <w:t>shall be supported</w:t>
            </w:r>
            <w:r w:rsidRPr="00FE48E2">
              <w:rPr>
                <w:noProof/>
                <w:color w:val="006100"/>
                <w:sz w:val="18"/>
                <w:szCs w:val="18"/>
                <w:lang w:val="en-IE" w:eastAsia="cs-CZ"/>
              </w:rPr>
              <w:t xml:space="preserve">. </w:t>
            </w:r>
          </w:p>
        </w:tc>
      </w:tr>
      <w:tr w:rsidRPr="00FE48E2" w:rsidR="00E3458A" w:rsidTr="006B399D" w14:paraId="15458329" w14:textId="77777777">
        <w:trPr>
          <w:trHeight w:val="436"/>
          <w:jc w:val="center"/>
        </w:trPr>
        <w:tc>
          <w:tcPr>
            <w:tcW w:w="710" w:type="dxa"/>
            <w:shd w:val="clear" w:color="auto" w:fill="C6EFCE"/>
          </w:tcPr>
          <w:p w:rsidRPr="00A10BFC" w:rsidR="00D87E44" w:rsidRDefault="00D87E44" w14:paraId="1545831E"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182</w:t>
            </w:r>
          </w:p>
        </w:tc>
        <w:tc>
          <w:tcPr>
            <w:tcW w:w="1814" w:type="dxa"/>
            <w:shd w:val="clear" w:color="auto" w:fill="C6EFCE"/>
          </w:tcPr>
          <w:p w:rsidRPr="00A10BFC" w:rsidR="00D87E44" w:rsidRDefault="00D87E44" w14:paraId="1545831F"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Reform 2: Support of disadvantaged schools</w:t>
            </w:r>
          </w:p>
        </w:tc>
        <w:tc>
          <w:tcPr>
            <w:tcW w:w="1077" w:type="dxa"/>
            <w:shd w:val="clear" w:color="auto" w:fill="C6EFCE"/>
          </w:tcPr>
          <w:p w:rsidRPr="00A10BFC" w:rsidR="00D87E44" w:rsidRDefault="00D87E44" w14:paraId="15458320"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Milestone</w:t>
            </w:r>
          </w:p>
        </w:tc>
        <w:tc>
          <w:tcPr>
            <w:tcW w:w="1418" w:type="dxa"/>
            <w:shd w:val="clear" w:color="auto" w:fill="C6EFCE"/>
          </w:tcPr>
          <w:p w:rsidRPr="00A10BFC" w:rsidR="00D87E44" w:rsidRDefault="00D87E44" w14:paraId="15458321"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Proposal for index funding for schools according to socio-economic disadvantage</w:t>
            </w:r>
          </w:p>
        </w:tc>
        <w:tc>
          <w:tcPr>
            <w:tcW w:w="1134" w:type="dxa"/>
            <w:shd w:val="clear" w:color="auto" w:fill="C6EFCE"/>
          </w:tcPr>
          <w:p w:rsidRPr="00A10BFC" w:rsidR="00D87E44" w:rsidRDefault="00D87E44" w14:paraId="15458322"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Approval by the Ministry of Education, Youth and Sports of the proposal for index funding</w:t>
            </w:r>
          </w:p>
        </w:tc>
        <w:tc>
          <w:tcPr>
            <w:tcW w:w="1077" w:type="dxa"/>
            <w:shd w:val="clear" w:color="auto" w:fill="C6EFCE"/>
          </w:tcPr>
          <w:p w:rsidRPr="00A10BFC" w:rsidR="00D87E44" w:rsidRDefault="00D87E44" w14:paraId="15458323"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A10BFC" w:rsidR="00D87E44" w:rsidRDefault="00D87E44" w14:paraId="15458324" w14:textId="77777777">
            <w:pPr>
              <w:spacing w:before="0" w:after="0" w:line="240" w:lineRule="auto"/>
              <w:rPr>
                <w:rFonts w:eastAsia="Times New Roman"/>
                <w:noProof/>
                <w:color w:val="004300"/>
                <w:sz w:val="18"/>
                <w:szCs w:val="18"/>
                <w:lang w:val="en-IE" w:eastAsia="en-GB"/>
              </w:rPr>
            </w:pPr>
          </w:p>
        </w:tc>
        <w:tc>
          <w:tcPr>
            <w:tcW w:w="851" w:type="dxa"/>
            <w:shd w:val="clear" w:color="auto" w:fill="C6EFCE"/>
          </w:tcPr>
          <w:p w:rsidRPr="00A10BFC" w:rsidR="00D87E44" w:rsidRDefault="00D87E44" w14:paraId="15458325" w14:textId="77777777">
            <w:pPr>
              <w:spacing w:before="0" w:after="0" w:line="240" w:lineRule="auto"/>
              <w:rPr>
                <w:rFonts w:eastAsia="Times New Roman"/>
                <w:noProof/>
                <w:color w:val="004300"/>
                <w:sz w:val="18"/>
                <w:szCs w:val="18"/>
                <w:lang w:val="en-IE" w:eastAsia="en-GB"/>
              </w:rPr>
            </w:pPr>
          </w:p>
        </w:tc>
        <w:tc>
          <w:tcPr>
            <w:tcW w:w="992" w:type="dxa"/>
            <w:shd w:val="clear" w:color="auto" w:fill="C6EFCE"/>
          </w:tcPr>
          <w:p w:rsidRPr="00A10BFC" w:rsidR="00D87E44" w:rsidRDefault="00D87E44" w14:paraId="15458326" w14:textId="77777777">
            <w:pPr>
              <w:spacing w:before="0" w:after="0" w:line="240" w:lineRule="auto"/>
              <w:rPr>
                <w:rFonts w:eastAsia="Times New Roman"/>
                <w:noProof/>
                <w:color w:val="004300"/>
                <w:sz w:val="18"/>
                <w:szCs w:val="18"/>
                <w:lang w:val="en-IE" w:eastAsia="en-GB"/>
              </w:rPr>
            </w:pPr>
            <w:r w:rsidRPr="006E3227">
              <w:rPr>
                <w:rFonts w:eastAsia="Times New Roman"/>
                <w:noProof/>
                <w:color w:val="004300"/>
                <w:sz w:val="18"/>
                <w:szCs w:val="18"/>
                <w:lang w:val="en-IE" w:eastAsia="en-GB"/>
              </w:rPr>
              <w:t>Q</w:t>
            </w:r>
            <w:r w:rsidRPr="006E3227" w:rsidDel="00706032">
              <w:rPr>
                <w:rFonts w:eastAsia="Times New Roman"/>
                <w:noProof/>
                <w:color w:val="004300"/>
                <w:sz w:val="18"/>
                <w:szCs w:val="18"/>
                <w:lang w:val="en-IE" w:eastAsia="en-GB"/>
              </w:rPr>
              <w:t>4</w:t>
            </w:r>
          </w:p>
        </w:tc>
        <w:tc>
          <w:tcPr>
            <w:tcW w:w="1064" w:type="dxa"/>
            <w:shd w:val="clear" w:color="auto" w:fill="C6EFCE"/>
          </w:tcPr>
          <w:p w:rsidRPr="00A10BFC" w:rsidR="00D87E44" w:rsidRDefault="00D87E44" w14:paraId="15458327" w14:textId="77777777">
            <w:pPr>
              <w:spacing w:before="0" w:after="0" w:line="240" w:lineRule="auto"/>
              <w:rPr>
                <w:rFonts w:eastAsia="Times New Roman"/>
                <w:noProof/>
                <w:color w:val="004300"/>
                <w:sz w:val="18"/>
                <w:szCs w:val="18"/>
                <w:lang w:val="en-IE" w:eastAsia="en-GB"/>
              </w:rPr>
            </w:pPr>
            <w:r w:rsidRPr="00A10BFC">
              <w:rPr>
                <w:rFonts w:eastAsia="Times New Roman"/>
                <w:noProof/>
                <w:color w:val="004300"/>
                <w:sz w:val="18"/>
                <w:szCs w:val="18"/>
                <w:lang w:val="en-IE" w:eastAsia="en-GB"/>
              </w:rPr>
              <w:t>2025</w:t>
            </w:r>
          </w:p>
        </w:tc>
        <w:tc>
          <w:tcPr>
            <w:tcW w:w="4745" w:type="dxa"/>
            <w:shd w:val="clear" w:color="auto" w:fill="C6EFCE"/>
          </w:tcPr>
          <w:p w:rsidRPr="00A10BFC" w:rsidR="00D87E44" w:rsidRDefault="00D87E44" w14:paraId="15458328" w14:textId="77777777">
            <w:pPr>
              <w:spacing w:before="0" w:after="0" w:line="240" w:lineRule="auto"/>
              <w:rPr>
                <w:noProof/>
                <w:color w:val="006100"/>
                <w:sz w:val="18"/>
                <w:szCs w:val="18"/>
                <w:lang w:val="en-IE" w:eastAsia="cs-CZ"/>
              </w:rPr>
            </w:pPr>
            <w:r w:rsidRPr="00A10BFC">
              <w:rPr>
                <w:noProof/>
                <w:color w:val="006100"/>
                <w:sz w:val="18"/>
                <w:szCs w:val="18"/>
                <w:lang w:val="en-IE" w:eastAsia="cs-CZ"/>
              </w:rPr>
              <w:t xml:space="preserve">A proposal for index funding shall be approved. The index shall take into account several indicators of the socio-economic disadvantage of schools (for example, educational outcomes, proportion of pupils with a social or other disadvantage or proportion of pupils with different mother tongues). </w:t>
            </w:r>
          </w:p>
        </w:tc>
      </w:tr>
      <w:tr w:rsidRPr="00FE48E2" w:rsidR="00E3458A" w:rsidTr="006B399D" w14:paraId="15458336" w14:textId="77777777">
        <w:trPr>
          <w:trHeight w:val="945"/>
          <w:jc w:val="center"/>
        </w:trPr>
        <w:tc>
          <w:tcPr>
            <w:tcW w:w="710" w:type="dxa"/>
            <w:shd w:val="clear" w:color="auto" w:fill="C6EFCE"/>
          </w:tcPr>
          <w:p w:rsidRPr="007C3D8A" w:rsidR="00D87E44" w:rsidRDefault="00D87E44" w14:paraId="1545832A"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183</w:t>
            </w:r>
          </w:p>
        </w:tc>
        <w:tc>
          <w:tcPr>
            <w:tcW w:w="1814" w:type="dxa"/>
            <w:shd w:val="clear" w:color="auto" w:fill="C6EFCE"/>
          </w:tcPr>
          <w:p w:rsidRPr="007C3D8A" w:rsidR="00D87E44" w:rsidRDefault="00D87E44" w14:paraId="1545832B"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Investment 2: Tutoring programmes </w:t>
            </w:r>
          </w:p>
        </w:tc>
        <w:tc>
          <w:tcPr>
            <w:tcW w:w="1077" w:type="dxa"/>
            <w:shd w:val="clear" w:color="auto" w:fill="C6EFCE"/>
          </w:tcPr>
          <w:p w:rsidRPr="007C3D8A" w:rsidR="00D87E44" w:rsidRDefault="00D87E44" w14:paraId="1545832C"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Target</w:t>
            </w:r>
          </w:p>
        </w:tc>
        <w:tc>
          <w:tcPr>
            <w:tcW w:w="1418" w:type="dxa"/>
            <w:shd w:val="clear" w:color="auto" w:fill="C6EFCE"/>
          </w:tcPr>
          <w:p w:rsidRPr="007C3D8A" w:rsidR="00D87E44" w:rsidRDefault="00D87E44" w14:paraId="1545832D"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of schools organising tutoring programmes </w:t>
            </w:r>
          </w:p>
        </w:tc>
        <w:tc>
          <w:tcPr>
            <w:tcW w:w="1134" w:type="dxa"/>
            <w:shd w:val="clear" w:color="auto" w:fill="C6EFCE"/>
          </w:tcPr>
          <w:p w:rsidRPr="007C3D8A" w:rsidR="00D87E44" w:rsidRDefault="00D87E44" w14:paraId="1545832E"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7C3D8A" w:rsidR="00D87E44" w:rsidRDefault="00D87E44" w14:paraId="1545832F"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Number </w:t>
            </w:r>
          </w:p>
        </w:tc>
        <w:tc>
          <w:tcPr>
            <w:tcW w:w="1077" w:type="dxa"/>
            <w:shd w:val="clear" w:color="auto" w:fill="C6EFCE"/>
          </w:tcPr>
          <w:p w:rsidRPr="007C3D8A" w:rsidR="00D87E44" w:rsidRDefault="00D87E44" w14:paraId="15458330"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0</w:t>
            </w:r>
          </w:p>
        </w:tc>
        <w:tc>
          <w:tcPr>
            <w:tcW w:w="851" w:type="dxa"/>
            <w:shd w:val="clear" w:color="auto" w:fill="C6EFCE"/>
          </w:tcPr>
          <w:p w:rsidRPr="007C3D8A" w:rsidR="00D87E44" w:rsidRDefault="00D87E44" w14:paraId="15458331"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4 000</w:t>
            </w:r>
          </w:p>
        </w:tc>
        <w:tc>
          <w:tcPr>
            <w:tcW w:w="992" w:type="dxa"/>
            <w:shd w:val="clear" w:color="auto" w:fill="C6EFCE"/>
          </w:tcPr>
          <w:p w:rsidRPr="007C3D8A" w:rsidR="00D87E44" w:rsidRDefault="00D87E44" w14:paraId="15458332"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 xml:space="preserve">  Q4</w:t>
            </w:r>
          </w:p>
        </w:tc>
        <w:tc>
          <w:tcPr>
            <w:tcW w:w="1064" w:type="dxa"/>
            <w:shd w:val="clear" w:color="auto" w:fill="C6EFCE"/>
          </w:tcPr>
          <w:p w:rsidRPr="007C3D8A" w:rsidR="00D87E44" w:rsidRDefault="00D87E44" w14:paraId="15458333" w14:textId="77777777">
            <w:pPr>
              <w:spacing w:before="0" w:after="0" w:line="240" w:lineRule="auto"/>
              <w:rPr>
                <w:rFonts w:eastAsia="Times New Roman"/>
                <w:noProof/>
                <w:color w:val="004300"/>
                <w:sz w:val="18"/>
                <w:szCs w:val="18"/>
                <w:lang w:val="en-IE" w:eastAsia="en-GB"/>
              </w:rPr>
            </w:pPr>
            <w:r w:rsidRPr="007C3D8A">
              <w:rPr>
                <w:rFonts w:eastAsia="Times New Roman"/>
                <w:noProof/>
                <w:color w:val="004300"/>
                <w:sz w:val="18"/>
                <w:szCs w:val="18"/>
                <w:lang w:val="en-IE" w:eastAsia="en-GB"/>
              </w:rPr>
              <w:t>2023</w:t>
            </w:r>
          </w:p>
        </w:tc>
        <w:tc>
          <w:tcPr>
            <w:tcW w:w="4745" w:type="dxa"/>
            <w:shd w:val="clear" w:color="auto" w:fill="C6EFCE"/>
          </w:tcPr>
          <w:p w:rsidRPr="007C3D8A" w:rsidR="00D87E44" w:rsidRDefault="00D87E44" w14:paraId="15458334" w14:textId="77777777">
            <w:pPr>
              <w:spacing w:before="0" w:after="0" w:line="240" w:lineRule="auto"/>
              <w:rPr>
                <w:noProof/>
                <w:color w:val="006100"/>
                <w:sz w:val="18"/>
                <w:szCs w:val="18"/>
                <w:lang w:val="en-IE" w:eastAsia="cs-CZ"/>
              </w:rPr>
            </w:pPr>
            <w:r w:rsidRPr="007C3D8A">
              <w:rPr>
                <w:noProof/>
                <w:color w:val="006100"/>
                <w:sz w:val="18"/>
                <w:szCs w:val="18"/>
                <w:lang w:val="en-IE" w:eastAsia="cs-CZ"/>
              </w:rPr>
              <w:t>4</w:t>
            </w:r>
            <w:r>
              <w:rPr>
                <w:noProof/>
                <w:color w:val="006100"/>
                <w:sz w:val="18"/>
                <w:szCs w:val="18"/>
                <w:lang w:val="en-IE" w:eastAsia="cs-CZ"/>
              </w:rPr>
              <w:t> </w:t>
            </w:r>
            <w:r w:rsidRPr="007C3D8A">
              <w:rPr>
                <w:noProof/>
                <w:color w:val="006100"/>
                <w:sz w:val="18"/>
                <w:szCs w:val="18"/>
                <w:lang w:val="en-IE" w:eastAsia="cs-CZ"/>
              </w:rPr>
              <w:t>000 schools organise tutoring programmes. By reaching this number of schools, tutoring is expected to be provided via 500 000 individual enrolments for tutoring courses by pupils  As a priority, t</w:t>
            </w:r>
            <w:r w:rsidRPr="007C3D8A" w:rsidDel="00EA4730">
              <w:rPr>
                <w:noProof/>
                <w:color w:val="006100"/>
                <w:sz w:val="18"/>
                <w:szCs w:val="18"/>
                <w:lang w:val="en-IE" w:eastAsia="cs-CZ"/>
              </w:rPr>
              <w:t xml:space="preserve">utoring </w:t>
            </w:r>
            <w:r w:rsidRPr="007C3D8A">
              <w:rPr>
                <w:noProof/>
                <w:color w:val="006100"/>
                <w:sz w:val="18"/>
                <w:szCs w:val="18"/>
                <w:lang w:val="en-IE" w:eastAsia="cs-CZ"/>
              </w:rPr>
              <w:t xml:space="preserve">aims to </w:t>
            </w:r>
            <w:r w:rsidRPr="007C3D8A" w:rsidDel="00EA4730">
              <w:rPr>
                <w:noProof/>
                <w:color w:val="006100"/>
                <w:sz w:val="18"/>
                <w:szCs w:val="18"/>
                <w:lang w:val="en-IE" w:eastAsia="cs-CZ"/>
              </w:rPr>
              <w:t xml:space="preserve">help pupils </w:t>
            </w:r>
            <w:r w:rsidRPr="007C3D8A">
              <w:rPr>
                <w:noProof/>
                <w:color w:val="006100"/>
                <w:sz w:val="18"/>
                <w:szCs w:val="18"/>
                <w:lang w:val="en-IE" w:eastAsia="cs-CZ"/>
              </w:rPr>
              <w:t xml:space="preserve">at risk of school failure </w:t>
            </w:r>
            <w:r w:rsidRPr="007C3D8A" w:rsidDel="00EA4730">
              <w:rPr>
                <w:noProof/>
                <w:color w:val="006100"/>
                <w:sz w:val="18"/>
                <w:szCs w:val="18"/>
                <w:lang w:val="en-IE" w:eastAsia="cs-CZ"/>
              </w:rPr>
              <w:t xml:space="preserve">restore learning habits and acquire the knowledge prescribed by the curricula in mathematics, Czech </w:t>
            </w:r>
            <w:r w:rsidRPr="007C3D8A">
              <w:rPr>
                <w:noProof/>
                <w:color w:val="006100"/>
                <w:sz w:val="18"/>
                <w:szCs w:val="18"/>
                <w:lang w:val="en-IE" w:eastAsia="cs-CZ"/>
              </w:rPr>
              <w:t>language and a</w:t>
            </w:r>
            <w:r w:rsidRPr="007C3D8A" w:rsidDel="00763DF3">
              <w:rPr>
                <w:noProof/>
                <w:color w:val="006100"/>
                <w:sz w:val="18"/>
                <w:szCs w:val="18"/>
                <w:lang w:val="en-IE" w:eastAsia="cs-CZ"/>
              </w:rPr>
              <w:t xml:space="preserve"> </w:t>
            </w:r>
            <w:r w:rsidRPr="007C3D8A" w:rsidDel="00EA4730">
              <w:rPr>
                <w:noProof/>
                <w:color w:val="006100"/>
                <w:sz w:val="18"/>
                <w:szCs w:val="18"/>
                <w:lang w:val="en-IE" w:eastAsia="cs-CZ"/>
              </w:rPr>
              <w:t>foreign language.</w:t>
            </w:r>
          </w:p>
          <w:p w:rsidRPr="007C3D8A" w:rsidR="00D87E44" w:rsidRDefault="00D87E44" w14:paraId="15458335" w14:textId="77777777">
            <w:pPr>
              <w:spacing w:line="240" w:lineRule="auto"/>
              <w:rPr>
                <w:noProof/>
                <w:color w:val="006100"/>
                <w:sz w:val="18"/>
                <w:szCs w:val="18"/>
                <w:lang w:val="en-IE" w:eastAsia="cs-CZ"/>
              </w:rPr>
            </w:pPr>
            <w:r w:rsidRPr="007C3D8A">
              <w:rPr>
                <w:noProof/>
                <w:color w:val="006100"/>
                <w:sz w:val="18"/>
                <w:szCs w:val="18"/>
                <w:lang w:val="en-IE" w:eastAsia="cs-CZ"/>
              </w:rPr>
              <w:t>An evaluation of the impacts of this measure shall be published.</w:t>
            </w:r>
          </w:p>
        </w:tc>
      </w:tr>
    </w:tbl>
    <w:p w:rsidRPr="00FE48E2" w:rsidR="00D87E44" w:rsidP="00D226F4" w:rsidRDefault="00D87E44" w14:paraId="15458337" w14:textId="77777777">
      <w:pPr>
        <w:pBdr>
          <w:top w:val="nil"/>
          <w:left w:val="nil"/>
          <w:bottom w:val="nil"/>
          <w:right w:val="nil"/>
          <w:between w:val="nil"/>
        </w:pBdr>
        <w:spacing w:line="240" w:lineRule="auto"/>
        <w:jc w:val="both"/>
        <w:rPr>
          <w:rFonts w:eastAsia="Times New Roman"/>
          <w:noProof/>
          <w:color w:val="000000"/>
          <w:lang w:val="en-IE" w:eastAsia="cs-CZ"/>
        </w:rPr>
        <w:sectPr w:rsidRPr="00FE48E2" w:rsidR="00C16C1F" w:rsidSect="00D226F4">
          <w:headerReference w:type="even" r:id="R38c708bbaef2467c"/>
          <w:headerReference w:type="default" r:id="Rbe852652698b4120"/>
          <w:footerReference w:type="even" r:id="R4a50b953c9f14765"/>
          <w:footerReference w:type="default" r:id="Ra87121506efa4a4c"/>
          <w:headerReference w:type="first" r:id="R9e757829a9a744ec"/>
          <w:footerReference w:type="first" r:id="R7b0a6472ca504c9c"/>
          <w:pgSz w:w="16839" w:h="11907" w:orient="landscape"/>
          <w:pgMar w:top="1134" w:right="1134" w:bottom="1134" w:left="1134" w:header="567" w:footer="567" w:gutter="0"/>
          <w:cols w:space="708"/>
          <w:docGrid w:linePitch="326"/>
        </w:sectPr>
      </w:pPr>
    </w:p>
    <w:p w:rsidRPr="00FE48E2" w:rsidR="00D87E44" w:rsidP="00D226F4" w:rsidRDefault="00D87E44" w14:paraId="15458338" w14:textId="77777777">
      <w:pPr>
        <w:keepNext/>
        <w:tabs>
          <w:tab w:val="left" w:pos="850"/>
        </w:tabs>
        <w:spacing w:line="240" w:lineRule="auto"/>
        <w:jc w:val="both"/>
        <w:outlineLvl w:val="0"/>
        <w:rPr>
          <w:b/>
          <w:bCs/>
          <w:smallCaps/>
          <w:noProof/>
          <w:lang w:val="en-IE"/>
        </w:rPr>
      </w:pPr>
      <w:r w:rsidRPr="70AB42A0">
        <w:rPr>
          <w:b/>
          <w:bCs/>
          <w:smallCaps/>
          <w:noProof/>
          <w:lang w:val="en-IE"/>
        </w:rPr>
        <w:lastRenderedPageBreak/>
        <w:t>T</w:t>
      </w:r>
      <w:r w:rsidRPr="1B282876">
        <w:rPr>
          <w:b/>
          <w:bCs/>
          <w:smallCaps/>
          <w:noProof/>
          <w:lang w:val="en-IE"/>
        </w:rPr>
        <w:t xml:space="preserve">. COMPONENT 3.3: Modernisation of Employment Services and Labour Market Development </w:t>
      </w:r>
    </w:p>
    <w:p w:rsidRPr="00FE48E2" w:rsidR="00D87E44" w:rsidP="00D226F4" w:rsidRDefault="00D87E44" w14:paraId="15458339" w14:textId="77777777">
      <w:pPr>
        <w:spacing w:line="240" w:lineRule="auto"/>
        <w:jc w:val="both"/>
        <w:rPr>
          <w:rFonts w:eastAsia="Times New Roman"/>
          <w:noProof/>
          <w:szCs w:val="24"/>
          <w:lang w:val="en-IE" w:eastAsia="en-GB"/>
        </w:rPr>
      </w:pPr>
      <w:r w:rsidRPr="00FE48E2">
        <w:rPr>
          <w:rFonts w:eastAsia="Times New Roman"/>
          <w:noProof/>
          <w:szCs w:val="24"/>
          <w:lang w:val="en-IE" w:eastAsia="cs-CZ"/>
        </w:rPr>
        <w:t xml:space="preserve">This component </w:t>
      </w:r>
      <w:r w:rsidRPr="00FE48E2">
        <w:rPr>
          <w:rFonts w:eastAsia="Times New Roman"/>
          <w:noProof/>
          <w:szCs w:val="24"/>
          <w:lang w:val="en-IE"/>
        </w:rPr>
        <w:t xml:space="preserve">of the Czech recovery and resilience plan contributes to </w:t>
      </w:r>
      <w:r w:rsidRPr="00FE48E2">
        <w:rPr>
          <w:rFonts w:eastAsia="Times New Roman"/>
          <w:noProof/>
          <w:szCs w:val="24"/>
          <w:lang w:val="en-IE" w:eastAsia="cs-CZ"/>
        </w:rPr>
        <w:t xml:space="preserve">addressing several challenges in the area of labour market and social care. </w:t>
      </w:r>
      <w:r w:rsidRPr="00FE48E2">
        <w:rPr>
          <w:rFonts w:eastAsia="Times New Roman"/>
          <w:noProof/>
          <w:szCs w:val="24"/>
          <w:lang w:val="en-IE" w:eastAsia="en-GB"/>
        </w:rPr>
        <w:t xml:space="preserve">First, it aims at increasing the adaptability of the labour force by developing its skills, in particular in the digital field. Second, it aims at tackling persistent gender inequalities in the labour market, in particular the low labour market participation of women with small children. Third, the component aims at modernising and expanding social services in compliance with </w:t>
      </w:r>
      <w:r w:rsidRPr="00FE48E2">
        <w:rPr>
          <w:rFonts w:eastAsia="Times New Roman"/>
          <w:noProof/>
          <w:szCs w:val="24"/>
          <w:lang w:val="en-IE" w:eastAsia="en-GB"/>
        </w:rPr>
        <w:t>the principles of deinstitutionalisation and independent living, as described in the UN Convention on the Rights of Persons with Disabilities.</w:t>
      </w:r>
    </w:p>
    <w:p w:rsidRPr="00FE48E2" w:rsidR="00D87E44" w:rsidP="00D226F4" w:rsidRDefault="00D87E44" w14:paraId="1545833A"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The component supports addressing country-specific Recommendation 2, 2019, according to which Czechia shall foster the employment of women with young children, including by improving access to affordable childcare, and of disadvantaged groups, and country-specific Recommendation 2 2020, according to which Czechia shall support employment through active labour market policies, the provision of skills, including digital skills, and access to digital learning.</w:t>
      </w:r>
    </w:p>
    <w:p w:rsidRPr="00FE48E2" w:rsidR="00D87E44" w:rsidP="00D226F4" w:rsidRDefault="00D87E44" w14:paraId="1545833B"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w:t>
      </w:r>
    </w:p>
    <w:p w:rsidRPr="00FE48E2" w:rsidR="00D87E44" w:rsidP="00D226F4" w:rsidRDefault="00D87E44" w14:paraId="1545833C" w14:textId="77777777">
      <w:pPr>
        <w:spacing w:line="240" w:lineRule="auto"/>
        <w:jc w:val="both"/>
        <w:rPr>
          <w:rFonts w:eastAsia="Times New Roman"/>
          <w:i/>
          <w:noProof/>
          <w:szCs w:val="24"/>
          <w:lang w:val="en-IE" w:eastAsia="en-GB"/>
        </w:rPr>
      </w:pPr>
    </w:p>
    <w:p w:rsidRPr="00FE48E2" w:rsidR="00D87E44" w:rsidP="00D226F4" w:rsidRDefault="00D87E44" w14:paraId="1545833D" w14:textId="77777777">
      <w:pPr>
        <w:spacing w:line="240" w:lineRule="auto"/>
        <w:jc w:val="both"/>
        <w:rPr>
          <w:rFonts w:eastAsia="Times New Roman"/>
          <w:noProof/>
          <w:lang w:val="en-IE" w:eastAsia="en-GB"/>
        </w:rPr>
      </w:pPr>
      <w:r w:rsidRPr="1B282876">
        <w:rPr>
          <w:rFonts w:eastAsia="Times New Roman"/>
          <w:b/>
          <w:bCs/>
          <w:noProof/>
          <w:u w:val="single"/>
          <w:lang w:val="en-IE" w:eastAsia="en-GB"/>
        </w:rPr>
        <w:t>T.1. Description of the reforms and investments for non-repayable financial support</w:t>
      </w:r>
    </w:p>
    <w:p w:rsidRPr="00FE48E2" w:rsidR="00D87E44" w:rsidP="00D226F4" w:rsidRDefault="00D87E44" w14:paraId="1545833E" w14:textId="77777777">
      <w:pPr>
        <w:spacing w:line="240" w:lineRule="auto"/>
        <w:jc w:val="both"/>
        <w:rPr>
          <w:rFonts w:eastAsia="Times New Roman"/>
          <w:noProof/>
          <w:szCs w:val="24"/>
          <w:lang w:val="en-IE" w:eastAsia="en-GB"/>
        </w:rPr>
      </w:pPr>
      <w:r w:rsidRPr="00FE48E2">
        <w:rPr>
          <w:rFonts w:eastAsia="Times New Roman"/>
          <w:b/>
          <w:noProof/>
          <w:szCs w:val="24"/>
          <w:lang w:val="en-IE" w:eastAsia="en-GB"/>
        </w:rPr>
        <w:t xml:space="preserve">Reform 1: Development of labour market policies </w:t>
      </w:r>
    </w:p>
    <w:p w:rsidRPr="00FE48E2" w:rsidR="00D87E44" w:rsidP="00D226F4" w:rsidRDefault="00D87E44" w14:paraId="1545833F" w14:textId="77777777">
      <w:pPr>
        <w:spacing w:line="240" w:lineRule="auto"/>
        <w:jc w:val="both"/>
        <w:rPr>
          <w:rFonts w:eastAsia="Times New Roman"/>
          <w:noProof/>
          <w:lang w:val="en-IE" w:eastAsia="en-GB"/>
        </w:rPr>
      </w:pPr>
      <w:r w:rsidRPr="6DAD5139">
        <w:rPr>
          <w:rFonts w:eastAsia="Times New Roman"/>
          <w:noProof/>
          <w:lang w:val="en-IE" w:eastAsia="en-GB"/>
        </w:rPr>
        <w:t xml:space="preserve">The objective of this reform is to </w:t>
      </w:r>
      <w:r>
        <w:rPr>
          <w:rFonts w:eastAsia="Times New Roman"/>
          <w:noProof/>
          <w:lang w:val="en-IE" w:eastAsia="en-GB"/>
        </w:rPr>
        <w:t>support</w:t>
      </w:r>
      <w:r w:rsidRPr="6DAD5139">
        <w:rPr>
          <w:rFonts w:eastAsia="Times New Roman"/>
          <w:noProof/>
          <w:lang w:val="en-IE" w:eastAsia="en-GB"/>
        </w:rPr>
        <w:t xml:space="preserve"> life-long learning in Czechia. The reform consists of a number of measures, for example, </w:t>
      </w:r>
    </w:p>
    <w:p w:rsidRPr="00581E64" w:rsidR="00D87E44" w:rsidP="00D226F4" w:rsidRDefault="00D87E44" w14:paraId="15458340" w14:textId="77777777">
      <w:pPr>
        <w:numPr>
          <w:ilvl w:val="0"/>
          <w:numId w:val="59"/>
        </w:numPr>
        <w:pBdr>
          <w:top w:val="nil"/>
          <w:left w:val="nil"/>
          <w:bottom w:val="nil"/>
          <w:right w:val="nil"/>
          <w:between w:val="nil"/>
        </w:pBdr>
        <w:spacing w:line="259" w:lineRule="auto"/>
        <w:ind w:left="360"/>
        <w:jc w:val="both"/>
        <w:rPr>
          <w:rFonts w:eastAsia="Times New Roman"/>
          <w:noProof/>
          <w:color w:val="000000"/>
          <w:lang w:val="en-IE" w:eastAsia="en-GB"/>
        </w:rPr>
      </w:pPr>
      <w:r w:rsidRPr="00FF1320">
        <w:rPr>
          <w:color w:val="000000" w:themeColor="text1"/>
          <w:lang w:val="en-IE"/>
        </w:rPr>
        <w:t xml:space="preserve">setting up a tripartite mechanism, by 31 March 2022, involving the Ministry of Labour, the Ministry of Education, employers and trade union representatives, to coordinate development of life-long learning programmes in line with the actual and anticipated demand for skills; </w:t>
      </w:r>
    </w:p>
    <w:p w:rsidRPr="00581E64" w:rsidR="00D87E44" w:rsidP="00D226F4" w:rsidRDefault="00D87E44" w14:paraId="15458341" w14:textId="77777777">
      <w:pPr>
        <w:numPr>
          <w:ilvl w:val="0"/>
          <w:numId w:val="59"/>
        </w:numPr>
        <w:pBdr>
          <w:top w:val="nil"/>
          <w:left w:val="nil"/>
          <w:bottom w:val="nil"/>
          <w:right w:val="nil"/>
          <w:between w:val="nil"/>
        </w:pBdr>
        <w:spacing w:line="259" w:lineRule="auto"/>
        <w:ind w:left="360"/>
        <w:jc w:val="both"/>
        <w:rPr>
          <w:rFonts w:eastAsia="Times New Roman"/>
          <w:noProof/>
          <w:color w:val="000000"/>
          <w:lang w:val="en-IE" w:eastAsia="en-GB"/>
        </w:rPr>
      </w:pPr>
      <w:r w:rsidRPr="00FF1320">
        <w:rPr>
          <w:color w:val="000000" w:themeColor="text1"/>
          <w:lang w:val="en-IE"/>
        </w:rPr>
        <w:t xml:space="preserve">creating by 31 December 2023 a database of reskilling and upskilling courses which shall increase the offer of retraining courses and improve matching of supply and demand; the database shall comprise both reskilling programmes certified according to the Employment Act, but also courses offered by vocational schools and higher education institutions; </w:t>
      </w:r>
    </w:p>
    <w:p w:rsidRPr="00581E64" w:rsidR="00D87E44" w:rsidP="00D226F4" w:rsidRDefault="00D87E44" w14:paraId="15458342" w14:textId="77777777">
      <w:pPr>
        <w:numPr>
          <w:ilvl w:val="0"/>
          <w:numId w:val="59"/>
        </w:numPr>
        <w:pBdr>
          <w:top w:val="nil"/>
          <w:left w:val="nil"/>
          <w:bottom w:val="nil"/>
          <w:right w:val="nil"/>
          <w:between w:val="nil"/>
        </w:pBdr>
        <w:spacing w:line="259" w:lineRule="auto"/>
        <w:ind w:left="360"/>
        <w:jc w:val="both"/>
        <w:rPr>
          <w:rFonts w:eastAsia="Times New Roman"/>
          <w:noProof/>
          <w:color w:val="000000"/>
          <w:lang w:val="en-IE" w:eastAsia="en-GB"/>
        </w:rPr>
      </w:pPr>
      <w:r w:rsidRPr="00581E64">
        <w:rPr>
          <w:noProof/>
          <w:color w:val="000000" w:themeColor="text1"/>
          <w:lang w:val="en-IE"/>
        </w:rPr>
        <w:t>a legislative amendment, by 31 December 202</w:t>
      </w:r>
      <w:r w:rsidRPr="00581E64">
        <w:rPr>
          <w:rFonts w:eastAsia="Times New Roman"/>
          <w:noProof/>
          <w:color w:val="000000" w:themeColor="text1"/>
          <w:lang w:val="en-IE" w:eastAsia="en-GB"/>
        </w:rPr>
        <w:t>5</w:t>
      </w:r>
      <w:r w:rsidRPr="00581E64">
        <w:rPr>
          <w:noProof/>
          <w:color w:val="000000" w:themeColor="text1"/>
          <w:lang w:val="en-IE"/>
        </w:rPr>
        <w:t xml:space="preserve">, to improve how retraining courses organised by the Labour Office are matched to jobseekers and to better target support to these </w:t>
      </w:r>
      <w:r w:rsidRPr="00581E64">
        <w:rPr>
          <w:noProof/>
          <w:lang w:val="en-IE"/>
        </w:rPr>
        <w:t xml:space="preserve">vulnerable groups (for example, especially the low-skilled, excluded persons or at risk of social exclusion). </w:t>
      </w:r>
    </w:p>
    <w:p w:rsidRPr="00FE48E2" w:rsidR="00D87E44" w:rsidP="00D226F4" w:rsidRDefault="00D87E44" w14:paraId="15458343" w14:textId="77777777">
      <w:pPr>
        <w:spacing w:line="240" w:lineRule="auto"/>
        <w:jc w:val="both"/>
        <w:rPr>
          <w:rFonts w:eastAsia="Times New Roman"/>
          <w:noProof/>
          <w:lang w:val="en-IE" w:eastAsia="en-GB"/>
        </w:rPr>
      </w:pPr>
      <w:r w:rsidRPr="472A1676" w:rsidDel="009928E4">
        <w:rPr>
          <w:rFonts w:eastAsia="Times New Roman"/>
          <w:noProof/>
          <w:lang w:val="en-IE" w:eastAsia="en-GB"/>
        </w:rPr>
        <w:t>The reform measures shall be completed by 31 December 2025.</w:t>
      </w:r>
      <w:r w:rsidRPr="472A1676">
        <w:rPr>
          <w:rFonts w:eastAsia="Times New Roman"/>
          <w:noProof/>
          <w:lang w:val="en-IE" w:eastAsia="en-GB"/>
        </w:rPr>
        <w:t xml:space="preserve"> </w:t>
      </w:r>
    </w:p>
    <w:p w:rsidRPr="003050DB" w:rsidR="00D87E44" w:rsidP="00D226F4" w:rsidRDefault="00D87E44" w14:paraId="15458344" w14:textId="77777777">
      <w:pPr>
        <w:spacing w:line="240" w:lineRule="auto"/>
        <w:jc w:val="both"/>
        <w:rPr>
          <w:rFonts w:eastAsia="Times New Roman"/>
          <w:noProof/>
          <w:szCs w:val="24"/>
          <w:lang w:val="en-IE" w:eastAsia="en-GB"/>
        </w:rPr>
      </w:pPr>
      <w:r w:rsidRPr="003050DB">
        <w:rPr>
          <w:rFonts w:eastAsia="Times New Roman"/>
          <w:b/>
          <w:noProof/>
          <w:szCs w:val="24"/>
          <w:lang w:val="en-IE" w:eastAsia="en-GB"/>
        </w:rPr>
        <w:t>Reform 2: Ensuring sustainable financing of childcare facilities</w:t>
      </w:r>
    </w:p>
    <w:p w:rsidRPr="003050DB" w:rsidR="00D87E44" w:rsidP="00D226F4" w:rsidRDefault="00D87E44" w14:paraId="15458345" w14:textId="77777777">
      <w:pPr>
        <w:spacing w:line="240" w:lineRule="auto"/>
        <w:jc w:val="both"/>
        <w:rPr>
          <w:rFonts w:eastAsia="Times New Roman"/>
          <w:noProof/>
          <w:lang w:val="en-IE" w:eastAsia="en-GB"/>
        </w:rPr>
      </w:pPr>
      <w:r w:rsidRPr="003050DB">
        <w:rPr>
          <w:rFonts w:eastAsia="Times New Roman"/>
          <w:noProof/>
          <w:lang w:val="en-IE" w:eastAsia="en-GB"/>
        </w:rPr>
        <w:t xml:space="preserve">The objective of this measure is to foster the availability of affordable childcare for children below three in order to facilitate return of parents, in particular mothers, to work after parental leave. The reform shall consist of an amendment of the law on pre-school care, which shall ensure stable </w:t>
      </w:r>
      <w:r w:rsidRPr="003050DB">
        <w:rPr>
          <w:rFonts w:eastAsia="Times New Roman"/>
          <w:noProof/>
          <w:lang w:val="en-IE" w:eastAsia="en-GB"/>
        </w:rPr>
        <w:lastRenderedPageBreak/>
        <w:t>financing of facilities for children below three years of age. The legislative amendment shall also aim at ensuring access to affordable childcare for children below three in all regions of Czechia.</w:t>
      </w:r>
    </w:p>
    <w:p w:rsidRPr="003050DB" w:rsidR="00D87E44" w:rsidP="00D226F4" w:rsidRDefault="00D87E44" w14:paraId="15458346" w14:textId="77777777">
      <w:pPr>
        <w:spacing w:line="240" w:lineRule="auto"/>
        <w:jc w:val="both"/>
        <w:rPr>
          <w:rFonts w:eastAsia="Times New Roman"/>
          <w:noProof/>
          <w:szCs w:val="24"/>
          <w:lang w:val="en-IE" w:eastAsia="en-GB"/>
        </w:rPr>
      </w:pPr>
      <w:r w:rsidRPr="003050DB">
        <w:rPr>
          <w:rFonts w:eastAsia="Times New Roman"/>
          <w:noProof/>
          <w:szCs w:val="24"/>
          <w:lang w:val="en-IE" w:eastAsia="en-GB"/>
        </w:rPr>
        <w:t>The reform shall be completed by 31 December 2023.</w:t>
      </w:r>
    </w:p>
    <w:p w:rsidR="00D87E44" w:rsidRDefault="00D87E44" w14:paraId="15458347" w14:textId="77777777">
      <w:pPr>
        <w:spacing w:before="0" w:after="160" w:line="259" w:lineRule="auto"/>
        <w:rPr>
          <w:rFonts w:eastAsia="Times New Roman"/>
          <w:b/>
          <w:noProof/>
          <w:szCs w:val="24"/>
          <w:lang w:val="en-IE" w:eastAsia="en-GB"/>
        </w:rPr>
      </w:pPr>
      <w:r>
        <w:rPr>
          <w:rFonts w:eastAsia="Times New Roman"/>
          <w:b/>
          <w:noProof/>
          <w:szCs w:val="24"/>
          <w:lang w:val="en-IE" w:eastAsia="en-GB"/>
        </w:rPr>
        <w:br w:type="page"/>
      </w:r>
    </w:p>
    <w:p w:rsidRPr="003050DB" w:rsidR="00D87E44" w:rsidP="00D226F4" w:rsidRDefault="00D87E44" w14:paraId="15458348" w14:textId="77777777">
      <w:pPr>
        <w:spacing w:line="240" w:lineRule="auto"/>
        <w:jc w:val="both"/>
        <w:rPr>
          <w:rFonts w:eastAsia="Times New Roman"/>
          <w:b/>
          <w:noProof/>
          <w:szCs w:val="24"/>
          <w:lang w:val="en-IE" w:eastAsia="en-GB"/>
        </w:rPr>
      </w:pPr>
      <w:r w:rsidRPr="003050DB">
        <w:rPr>
          <w:rFonts w:eastAsia="Times New Roman"/>
          <w:b/>
          <w:noProof/>
          <w:szCs w:val="24"/>
          <w:lang w:val="en-IE" w:eastAsia="en-GB"/>
        </w:rPr>
        <w:lastRenderedPageBreak/>
        <w:t>Reform 3: Reform of long-term care</w:t>
      </w:r>
    </w:p>
    <w:p w:rsidRPr="003050DB" w:rsidR="00D87E44" w:rsidP="00D226F4" w:rsidRDefault="00D87E44" w14:paraId="15458349" w14:textId="77777777">
      <w:pPr>
        <w:spacing w:line="240" w:lineRule="auto"/>
        <w:jc w:val="both"/>
        <w:rPr>
          <w:rFonts w:eastAsia="Times New Roman"/>
          <w:noProof/>
          <w:lang w:val="en-IE" w:eastAsia="en-GB"/>
        </w:rPr>
      </w:pPr>
      <w:r w:rsidRPr="003050DB">
        <w:rPr>
          <w:rFonts w:eastAsia="Times New Roman"/>
          <w:noProof/>
          <w:lang w:val="en-IE" w:eastAsia="en-GB"/>
        </w:rPr>
        <w:t xml:space="preserve">The reform aims at addressing the challenge of fragmented governance and financing of long-term care and a low proportion of community-based and </w:t>
      </w:r>
      <w:r w:rsidRPr="003050DB">
        <w:rPr>
          <w:rFonts w:eastAsia="Times New Roman"/>
          <w:noProof/>
          <w:lang w:val="en-IE" w:eastAsia="en-GB"/>
        </w:rPr>
        <w:t>home-based services in Czechia. The measure consists of a legislative reform, which shall aim at integrating health and social long-term care, ensure a stable system of adequate financing of quality long-term services, provide incentives for community-based and home-based care, allow access of private providers and improve supervision of social care. By 31 December 2022, a system for mapping social and long-term needs is expected to be established and an action plan for deinstitutionalisation is expected to</w:t>
      </w:r>
      <w:r w:rsidRPr="003050DB">
        <w:rPr>
          <w:rFonts w:eastAsia="Times New Roman"/>
          <w:noProof/>
          <w:lang w:val="en-IE" w:eastAsia="en-GB"/>
        </w:rPr>
        <w:t xml:space="preserve"> be adopted. </w:t>
      </w:r>
    </w:p>
    <w:p w:rsidRPr="003050DB" w:rsidR="00D87E44" w:rsidP="00D226F4" w:rsidRDefault="00D87E44" w14:paraId="1545834A" w14:textId="77777777">
      <w:pPr>
        <w:spacing w:line="240" w:lineRule="auto"/>
        <w:jc w:val="both"/>
        <w:rPr>
          <w:rFonts w:eastAsia="Times New Roman"/>
          <w:noProof/>
          <w:lang w:val="en-IE" w:eastAsia="en-GB"/>
        </w:rPr>
      </w:pPr>
      <w:r w:rsidRPr="003050DB">
        <w:rPr>
          <w:rFonts w:eastAsia="Times New Roman"/>
          <w:noProof/>
          <w:lang w:val="en-IE" w:eastAsia="en-GB"/>
        </w:rPr>
        <w:t>The reform shall be completed by 31 December 2023.</w:t>
      </w:r>
    </w:p>
    <w:p w:rsidRPr="003050DB" w:rsidR="00D87E44" w:rsidP="00D226F4" w:rsidRDefault="00D87E44" w14:paraId="1545834B" w14:textId="77777777">
      <w:pPr>
        <w:spacing w:line="240" w:lineRule="auto"/>
        <w:jc w:val="both"/>
        <w:rPr>
          <w:rFonts w:eastAsia="Times New Roman"/>
          <w:b/>
          <w:noProof/>
          <w:szCs w:val="24"/>
          <w:lang w:val="en-IE" w:eastAsia="en-GB"/>
        </w:rPr>
      </w:pPr>
      <w:r w:rsidRPr="003050DB">
        <w:rPr>
          <w:rFonts w:eastAsia="Times New Roman"/>
          <w:b/>
          <w:noProof/>
          <w:szCs w:val="24"/>
          <w:lang w:val="en-IE" w:eastAsia="en-GB"/>
        </w:rPr>
        <w:t xml:space="preserve">Reform 4: </w:t>
      </w:r>
      <w:bookmarkStart w:name="_Hlk194665646" w:id="13"/>
      <w:r w:rsidRPr="003050DB">
        <w:rPr>
          <w:rFonts w:eastAsia="Times New Roman"/>
          <w:b/>
          <w:noProof/>
          <w:szCs w:val="24"/>
          <w:lang w:val="en-IE" w:eastAsia="en-GB"/>
        </w:rPr>
        <w:t>Reform in the care of the children at risk</w:t>
      </w:r>
      <w:bookmarkEnd w:id="13"/>
      <w:r w:rsidRPr="003050DB">
        <w:rPr>
          <w:rFonts w:eastAsia="Times New Roman"/>
          <w:b/>
          <w:noProof/>
          <w:szCs w:val="24"/>
          <w:lang w:val="en-IE" w:eastAsia="en-GB"/>
        </w:rPr>
        <w:t xml:space="preserve"> </w:t>
      </w:r>
    </w:p>
    <w:p w:rsidRPr="003050DB" w:rsidR="00D87E44" w:rsidP="00D226F4" w:rsidRDefault="00D87E44" w14:paraId="1545834C" w14:textId="77777777">
      <w:pPr>
        <w:spacing w:line="240" w:lineRule="auto"/>
        <w:jc w:val="both"/>
        <w:rPr>
          <w:rFonts w:eastAsia="Times New Roman"/>
          <w:noProof/>
          <w:lang w:val="en-IE"/>
        </w:rPr>
      </w:pPr>
      <w:r w:rsidRPr="003050DB">
        <w:rPr>
          <w:rFonts w:eastAsia="Times New Roman"/>
          <w:noProof/>
          <w:lang w:val="en-IE" w:eastAsia="en-GB"/>
        </w:rPr>
        <w:t>The reform aims to improve social care services for children at risk, meaning children whose basic needs cannot be satisfied by their own families’ resources, by the Entry into force of the Amendment on the Act on Social and Legal Protection of Children and other legislation and by restricting the placement of children below the age of four in institutional care.</w:t>
      </w:r>
    </w:p>
    <w:p w:rsidRPr="00FE48E2" w:rsidR="00D87E44" w:rsidP="00D226F4" w:rsidRDefault="00D87E44" w14:paraId="1545834D" w14:textId="77777777">
      <w:pPr>
        <w:spacing w:line="240" w:lineRule="auto"/>
        <w:jc w:val="both"/>
        <w:rPr>
          <w:rFonts w:eastAsia="Times New Roman"/>
          <w:noProof/>
          <w:lang w:val="en-IE" w:eastAsia="en-GB"/>
        </w:rPr>
      </w:pPr>
      <w:r w:rsidRPr="003050DB">
        <w:rPr>
          <w:rFonts w:eastAsia="Times New Roman"/>
          <w:noProof/>
          <w:lang w:val="en-IE" w:eastAsia="en-GB"/>
        </w:rPr>
        <w:t>The reform shall be completed by 31 December 2024.</w:t>
      </w:r>
    </w:p>
    <w:p w:rsidRPr="00FE48E2" w:rsidR="00D87E44" w:rsidP="00D226F4" w:rsidRDefault="00D87E44" w14:paraId="1545834E" w14:textId="77777777">
      <w:pPr>
        <w:spacing w:line="240" w:lineRule="auto"/>
        <w:jc w:val="both"/>
        <w:rPr>
          <w:rFonts w:eastAsia="Times New Roman"/>
          <w:b/>
          <w:noProof/>
          <w:lang w:val="en-IE" w:eastAsia="en-GB"/>
        </w:rPr>
      </w:pPr>
      <w:r w:rsidRPr="02EBCE25">
        <w:rPr>
          <w:rFonts w:eastAsia="Times New Roman"/>
          <w:b/>
          <w:noProof/>
          <w:lang w:val="en-IE" w:eastAsia="en-GB"/>
        </w:rPr>
        <w:t xml:space="preserve">Investment 1: Development of labour market policies </w:t>
      </w:r>
    </w:p>
    <w:p w:rsidRPr="00FE48E2" w:rsidR="00D87E44" w:rsidP="00D226F4" w:rsidRDefault="00D87E44" w14:paraId="1545834F" w14:textId="77777777">
      <w:pPr>
        <w:spacing w:line="240" w:lineRule="auto"/>
        <w:jc w:val="both"/>
        <w:rPr>
          <w:rFonts w:eastAsia="Times New Roman"/>
          <w:noProof/>
          <w:lang w:val="en-IE" w:eastAsia="en-GB"/>
        </w:rPr>
      </w:pPr>
      <w:r w:rsidRPr="472A1676">
        <w:rPr>
          <w:rFonts w:eastAsia="Times New Roman"/>
          <w:noProof/>
          <w:lang w:val="en-IE" w:eastAsia="en-GB"/>
        </w:rPr>
        <w:t xml:space="preserve">The </w:t>
      </w:r>
      <w:r>
        <w:rPr>
          <w:rFonts w:eastAsia="Times New Roman"/>
          <w:noProof/>
          <w:lang w:val="en-IE" w:eastAsia="en-GB"/>
        </w:rPr>
        <w:t xml:space="preserve">objective of the </w:t>
      </w:r>
      <w:r w:rsidRPr="472A1676">
        <w:rPr>
          <w:rFonts w:eastAsia="Times New Roman"/>
          <w:noProof/>
          <w:lang w:val="en-IE" w:eastAsia="en-GB"/>
        </w:rPr>
        <w:t xml:space="preserve">measure </w:t>
      </w:r>
      <w:r>
        <w:rPr>
          <w:rFonts w:eastAsia="Times New Roman"/>
          <w:noProof/>
          <w:lang w:val="en-IE" w:eastAsia="en-GB"/>
        </w:rPr>
        <w:t>is</w:t>
      </w:r>
      <w:r w:rsidRPr="472A1676">
        <w:rPr>
          <w:rFonts w:eastAsia="Times New Roman"/>
          <w:noProof/>
          <w:lang w:val="en-IE" w:eastAsia="en-GB"/>
        </w:rPr>
        <w:t xml:space="preserve"> </w:t>
      </w:r>
      <w:r>
        <w:rPr>
          <w:rFonts w:eastAsia="Times New Roman"/>
          <w:noProof/>
          <w:lang w:val="en-IE" w:eastAsia="en-GB"/>
        </w:rPr>
        <w:t xml:space="preserve">to </w:t>
      </w:r>
      <w:r w:rsidRPr="472A1676">
        <w:rPr>
          <w:rFonts w:eastAsia="Times New Roman"/>
          <w:noProof/>
          <w:lang w:val="en-IE" w:eastAsia="en-GB"/>
        </w:rPr>
        <w:t>increas</w:t>
      </w:r>
      <w:r>
        <w:rPr>
          <w:rFonts w:eastAsia="Times New Roman"/>
          <w:noProof/>
          <w:lang w:val="en-IE" w:eastAsia="en-GB"/>
        </w:rPr>
        <w:t>e</w:t>
      </w:r>
      <w:r w:rsidRPr="472A1676">
        <w:rPr>
          <w:rFonts w:eastAsia="Times New Roman"/>
          <w:noProof/>
          <w:lang w:val="en-IE" w:eastAsia="en-GB"/>
        </w:rPr>
        <w:t xml:space="preserve"> the adaptability of the labour force to the changing needs of the labour market. This measure consist</w:t>
      </w:r>
      <w:r>
        <w:rPr>
          <w:rFonts w:eastAsia="Times New Roman"/>
          <w:noProof/>
          <w:lang w:val="en-IE" w:eastAsia="en-GB"/>
        </w:rPr>
        <w:t>s</w:t>
      </w:r>
      <w:r w:rsidRPr="472A1676">
        <w:rPr>
          <w:rFonts w:eastAsia="Times New Roman"/>
          <w:noProof/>
          <w:lang w:val="en-IE" w:eastAsia="en-GB"/>
        </w:rPr>
        <w:t xml:space="preserve"> </w:t>
      </w:r>
      <w:r>
        <w:rPr>
          <w:rFonts w:eastAsia="Times New Roman"/>
          <w:noProof/>
          <w:lang w:val="en-IE" w:eastAsia="en-GB"/>
        </w:rPr>
        <w:t>of</w:t>
      </w:r>
      <w:r w:rsidRPr="472A1676">
        <w:rPr>
          <w:rFonts w:eastAsia="Times New Roman"/>
          <w:noProof/>
          <w:lang w:val="en-IE" w:eastAsia="en-GB"/>
        </w:rPr>
        <w:t xml:space="preserve"> </w:t>
      </w:r>
      <w:r w:rsidRPr="0F698044">
        <w:rPr>
          <w:rFonts w:eastAsia="Times New Roman"/>
          <w:noProof/>
          <w:lang w:val="en-IE" w:eastAsia="en-GB"/>
        </w:rPr>
        <w:t>trainings</w:t>
      </w:r>
      <w:r w:rsidRPr="472A1676">
        <w:rPr>
          <w:rFonts w:eastAsia="Times New Roman"/>
          <w:noProof/>
          <w:lang w:val="en-IE" w:eastAsia="en-GB"/>
        </w:rPr>
        <w:t xml:space="preserve"> in digital skills or skills </w:t>
      </w:r>
      <w:r>
        <w:rPr>
          <w:rFonts w:eastAsia="Times New Roman"/>
          <w:noProof/>
          <w:lang w:val="en-IE" w:eastAsia="en-GB"/>
        </w:rPr>
        <w:t xml:space="preserve">needed for </w:t>
      </w:r>
      <w:r w:rsidRPr="472A1676">
        <w:rPr>
          <w:rFonts w:eastAsia="Times New Roman"/>
          <w:noProof/>
          <w:lang w:val="en-IE" w:eastAsia="en-GB"/>
        </w:rPr>
        <w:t>Industry 4.0.</w:t>
      </w:r>
    </w:p>
    <w:p w:rsidRPr="00FE48E2" w:rsidR="00D87E44" w:rsidP="00D226F4" w:rsidRDefault="00D87E44" w14:paraId="15458350" w14:textId="77777777">
      <w:pPr>
        <w:keepNext/>
        <w:spacing w:line="240" w:lineRule="auto"/>
        <w:jc w:val="both"/>
        <w:rPr>
          <w:rFonts w:eastAsia="Times New Roman"/>
          <w:noProof/>
          <w:szCs w:val="24"/>
          <w:lang w:val="en-IE" w:eastAsia="en-GB"/>
        </w:rPr>
      </w:pPr>
      <w:r w:rsidRPr="00FE48E2">
        <w:rPr>
          <w:rFonts w:eastAsia="Times New Roman"/>
          <w:b/>
          <w:noProof/>
          <w:szCs w:val="24"/>
          <w:lang w:val="en-IE" w:eastAsia="en-GB"/>
        </w:rPr>
        <w:t xml:space="preserve">Investment 2: Increasing the capacity of </w:t>
      </w:r>
      <w:r w:rsidRPr="4D16805A">
        <w:rPr>
          <w:rFonts w:eastAsia="Times New Roman"/>
          <w:b/>
          <w:bCs/>
          <w:noProof/>
          <w:lang w:val="en-IE" w:eastAsia="en-GB"/>
        </w:rPr>
        <w:t>pre-school</w:t>
      </w:r>
      <w:r w:rsidRPr="00FE48E2">
        <w:rPr>
          <w:rFonts w:eastAsia="Times New Roman"/>
          <w:b/>
          <w:noProof/>
          <w:szCs w:val="24"/>
          <w:lang w:val="en-IE" w:eastAsia="en-GB"/>
        </w:rPr>
        <w:t xml:space="preserve"> facilities</w:t>
      </w:r>
    </w:p>
    <w:p w:rsidRPr="00FE48E2" w:rsidR="00D87E44" w:rsidP="00D226F4" w:rsidRDefault="00D87E44" w14:paraId="15458351" w14:textId="77777777">
      <w:pPr>
        <w:spacing w:line="240" w:lineRule="auto"/>
        <w:jc w:val="both"/>
        <w:rPr>
          <w:rFonts w:eastAsia="Times New Roman"/>
          <w:noProof/>
          <w:lang w:val="en-IE" w:eastAsia="en-GB"/>
        </w:rPr>
      </w:pPr>
      <w:r w:rsidRPr="69BD1277">
        <w:rPr>
          <w:rFonts w:eastAsia="Times New Roman"/>
          <w:noProof/>
          <w:lang w:val="en-IE"/>
        </w:rPr>
        <w:t>The</w:t>
      </w:r>
      <w:r w:rsidRPr="472A1676">
        <w:rPr>
          <w:rFonts w:eastAsia="Times New Roman"/>
          <w:noProof/>
          <w:lang w:val="en-IE"/>
        </w:rPr>
        <w:t xml:space="preserve"> </w:t>
      </w:r>
      <w:r>
        <w:rPr>
          <w:rFonts w:eastAsia="Times New Roman"/>
          <w:noProof/>
          <w:lang w:val="en-IE"/>
        </w:rPr>
        <w:t>objective of this measure is to</w:t>
      </w:r>
      <w:r w:rsidRPr="472A1676">
        <w:rPr>
          <w:rFonts w:eastAsia="Times New Roman"/>
          <w:noProof/>
          <w:lang w:val="en-IE"/>
        </w:rPr>
        <w:t xml:space="preserve"> expand affordable </w:t>
      </w:r>
      <w:r w:rsidRPr="69BD1277">
        <w:rPr>
          <w:rFonts w:eastAsia="Times New Roman"/>
          <w:noProof/>
          <w:lang w:val="en-IE"/>
        </w:rPr>
        <w:t>childcare</w:t>
      </w:r>
      <w:r w:rsidRPr="472A1676">
        <w:rPr>
          <w:rFonts w:eastAsia="Times New Roman"/>
          <w:noProof/>
          <w:lang w:val="en-IE"/>
        </w:rPr>
        <w:t xml:space="preserve">, reduce gender inequalities, and support low-income families at risk of social exclusion and poor educational outcomes. </w:t>
      </w:r>
      <w:r w:rsidRPr="00E9729C">
        <w:rPr>
          <w:rFonts w:eastAsia="Times New Roman"/>
          <w:noProof/>
          <w:lang w:val="en-IE"/>
        </w:rPr>
        <w:t xml:space="preserve">The investment consists </w:t>
      </w:r>
      <w:r w:rsidRPr="005D19E5">
        <w:rPr>
          <w:rFonts w:eastAsia="Times New Roman"/>
          <w:noProof/>
          <w:lang w:val="en-IE"/>
        </w:rPr>
        <w:t>of</w:t>
      </w:r>
      <w:r w:rsidRPr="00E9729C">
        <w:rPr>
          <w:rFonts w:eastAsia="Times New Roman"/>
          <w:noProof/>
          <w:lang w:val="en-IE"/>
        </w:rPr>
        <w:t xml:space="preserve"> </w:t>
      </w:r>
      <w:r>
        <w:rPr>
          <w:rFonts w:eastAsia="Times New Roman"/>
          <w:noProof/>
          <w:lang w:val="en-IE"/>
        </w:rPr>
        <w:t xml:space="preserve">support for </w:t>
      </w:r>
      <w:r w:rsidRPr="00E9729C">
        <w:rPr>
          <w:rFonts w:eastAsia="Times New Roman"/>
          <w:noProof/>
          <w:lang w:val="en-IE"/>
        </w:rPr>
        <w:t xml:space="preserve">the creation </w:t>
      </w:r>
      <w:r w:rsidRPr="005D19E5">
        <w:rPr>
          <w:rFonts w:eastAsia="Times New Roman"/>
          <w:noProof/>
          <w:lang w:val="en-IE"/>
        </w:rPr>
        <w:t xml:space="preserve">of </w:t>
      </w:r>
      <w:r w:rsidRPr="00E9729C">
        <w:rPr>
          <w:rFonts w:eastAsia="Times New Roman"/>
          <w:noProof/>
          <w:lang w:val="en-IE"/>
        </w:rPr>
        <w:t>pre-school facilities</w:t>
      </w:r>
      <w:r w:rsidRPr="69BD1277">
        <w:rPr>
          <w:rFonts w:eastAsia="Times New Roman"/>
          <w:noProof/>
          <w:lang w:val="en-IE"/>
        </w:rPr>
        <w:t>.</w:t>
      </w:r>
      <w:r w:rsidRPr="00E9729C">
        <w:rPr>
          <w:rFonts w:eastAsia="Times New Roman"/>
          <w:noProof/>
          <w:lang w:val="en-IE"/>
        </w:rPr>
        <w:t xml:space="preserve"> </w:t>
      </w:r>
      <w:r w:rsidRPr="472A1676">
        <w:rPr>
          <w:rFonts w:eastAsia="Times New Roman"/>
          <w:noProof/>
          <w:lang w:val="en-IE" w:eastAsia="en-GB"/>
        </w:rPr>
        <w:t xml:space="preserve"> </w:t>
      </w:r>
    </w:p>
    <w:p w:rsidRPr="00FE48E2" w:rsidR="00D87E44" w:rsidP="00D226F4" w:rsidRDefault="00D87E44" w14:paraId="15458352" w14:textId="77777777">
      <w:pPr>
        <w:spacing w:line="240" w:lineRule="auto"/>
        <w:jc w:val="both"/>
        <w:rPr>
          <w:rFonts w:eastAsia="Times New Roman"/>
          <w:b/>
          <w:noProof/>
          <w:szCs w:val="24"/>
          <w:lang w:val="en-IE" w:eastAsia="en-GB"/>
        </w:rPr>
      </w:pPr>
      <w:r w:rsidRPr="00FF1320">
        <w:rPr>
          <w:b/>
          <w:lang w:val="en-IE"/>
        </w:rPr>
        <w:t xml:space="preserve">Investment </w:t>
      </w:r>
      <w:r w:rsidRPr="00FE48E2">
        <w:rPr>
          <w:rFonts w:eastAsia="Times New Roman"/>
          <w:b/>
          <w:noProof/>
          <w:szCs w:val="24"/>
          <w:lang w:val="en-IE" w:eastAsia="en-GB"/>
        </w:rPr>
        <w:t>3: Development and modernisation of social care infrastructure</w:t>
      </w:r>
    </w:p>
    <w:p w:rsidRPr="00FE48E2" w:rsidR="00D87E44" w:rsidP="00D226F4" w:rsidRDefault="00D87E44" w14:paraId="15458353" w14:textId="77777777">
      <w:pPr>
        <w:spacing w:line="240" w:lineRule="auto"/>
        <w:jc w:val="both"/>
        <w:rPr>
          <w:rFonts w:eastAsia="Times New Roman"/>
          <w:noProof/>
          <w:lang w:val="en-IE" w:eastAsia="en-GB"/>
        </w:rPr>
      </w:pPr>
      <w:r w:rsidRPr="472A1676">
        <w:rPr>
          <w:rFonts w:eastAsia="Times New Roman"/>
          <w:noProof/>
          <w:lang w:val="en-IE" w:eastAsia="en-GB"/>
        </w:rPr>
        <w:t xml:space="preserve">This measure aims </w:t>
      </w:r>
      <w:r>
        <w:rPr>
          <w:rFonts w:eastAsia="Times New Roman"/>
          <w:noProof/>
          <w:lang w:val="en-IE" w:eastAsia="en-GB"/>
        </w:rPr>
        <w:t>to</w:t>
      </w:r>
      <w:r w:rsidRPr="472A1676">
        <w:rPr>
          <w:rFonts w:eastAsia="Times New Roman"/>
          <w:noProof/>
          <w:lang w:val="en-IE" w:eastAsia="en-GB"/>
        </w:rPr>
        <w:t xml:space="preserve"> address the lack of social care infrastructure and the need to support the transition towards community-based social and long-term care in the Czech Republic. The investment consist</w:t>
      </w:r>
      <w:r>
        <w:rPr>
          <w:rFonts w:eastAsia="Times New Roman"/>
          <w:noProof/>
          <w:lang w:val="en-IE" w:eastAsia="en-GB"/>
        </w:rPr>
        <w:t>s</w:t>
      </w:r>
      <w:r w:rsidRPr="472A1676">
        <w:rPr>
          <w:rFonts w:eastAsia="Times New Roman"/>
          <w:noProof/>
          <w:lang w:val="en-IE" w:eastAsia="en-GB"/>
        </w:rPr>
        <w:t xml:space="preserve"> </w:t>
      </w:r>
      <w:r>
        <w:rPr>
          <w:rFonts w:eastAsia="Times New Roman"/>
          <w:noProof/>
          <w:lang w:val="en-IE" w:eastAsia="en-GB"/>
        </w:rPr>
        <w:t>of support for the construction and renovation of social care facilities.</w:t>
      </w:r>
    </w:p>
    <w:p w:rsidRPr="00FE48E2" w:rsidR="00D87E44" w:rsidDel="00F968FA" w:rsidP="00FF1320" w:rsidRDefault="00D87E44" w14:paraId="15458354" w14:textId="77777777">
      <w:pPr>
        <w:pBdr>
          <w:top w:val="nil"/>
          <w:left w:val="nil"/>
          <w:bottom w:val="nil"/>
          <w:right w:val="nil"/>
          <w:between w:val="nil"/>
        </w:pBdr>
        <w:spacing w:line="259" w:lineRule="auto"/>
        <w:jc w:val="both"/>
        <w:rPr>
          <w:rFonts w:eastAsia="Times New Roman"/>
          <w:b/>
          <w:noProof/>
          <w:color w:val="444444"/>
          <w:lang w:val="en-IE"/>
        </w:rPr>
      </w:pPr>
      <w:r w:rsidRPr="00FE48E2">
        <w:rPr>
          <w:rFonts w:eastAsia="Times New Roman"/>
          <w:b/>
          <w:noProof/>
          <w:lang w:val="en-IE" w:eastAsia="en-GB"/>
        </w:rPr>
        <w:t xml:space="preserve">Investment 4: </w:t>
      </w:r>
      <w:r w:rsidRPr="00FE48E2">
        <w:rPr>
          <w:b/>
          <w:noProof/>
          <w:lang w:val="en-IE"/>
        </w:rPr>
        <w:t>Development and modernisation of infrastructure in the field of care for children at risk</w:t>
      </w:r>
    </w:p>
    <w:p w:rsidRPr="00FE48E2" w:rsidR="00D87E44" w:rsidP="00D226F4" w:rsidRDefault="00D87E44" w14:paraId="15458355" w14:textId="77777777">
      <w:pPr>
        <w:widowControl w:val="0"/>
        <w:spacing w:line="259" w:lineRule="auto"/>
        <w:jc w:val="both"/>
        <w:rPr>
          <w:rFonts w:eastAsia="Times New Roman"/>
          <w:noProof/>
          <w:color w:val="000000" w:themeColor="text1"/>
          <w:lang w:val="en-IE" w:eastAsia="en-GB"/>
        </w:rPr>
      </w:pPr>
      <w:r w:rsidRPr="472A1676">
        <w:rPr>
          <w:noProof/>
          <w:lang w:val="en-IE"/>
        </w:rPr>
        <w:t>The</w:t>
      </w:r>
      <w:r w:rsidRPr="472A1676">
        <w:rPr>
          <w:rFonts w:eastAsia="Times New Roman"/>
          <w:noProof/>
          <w:color w:val="000000" w:themeColor="text1"/>
          <w:lang w:val="en-IE" w:eastAsia="en-GB"/>
        </w:rPr>
        <w:t xml:space="preserve"> </w:t>
      </w:r>
      <w:r>
        <w:rPr>
          <w:rFonts w:eastAsia="Times New Roman"/>
          <w:noProof/>
          <w:color w:val="000000" w:themeColor="text1"/>
          <w:lang w:val="en-IE" w:eastAsia="en-GB"/>
        </w:rPr>
        <w:t xml:space="preserve">objective of the </w:t>
      </w:r>
      <w:r w:rsidRPr="472A1676">
        <w:rPr>
          <w:rFonts w:eastAsia="Times New Roman"/>
          <w:noProof/>
          <w:color w:val="000000" w:themeColor="text1"/>
          <w:lang w:val="en-IE" w:eastAsia="en-GB"/>
        </w:rPr>
        <w:t xml:space="preserve">investment </w:t>
      </w:r>
      <w:r>
        <w:rPr>
          <w:rFonts w:eastAsia="Times New Roman"/>
          <w:noProof/>
          <w:color w:val="000000" w:themeColor="text1"/>
          <w:lang w:val="en-IE" w:eastAsia="en-GB"/>
        </w:rPr>
        <w:t xml:space="preserve">is to </w:t>
      </w:r>
      <w:r w:rsidRPr="472A1676">
        <w:rPr>
          <w:rFonts w:eastAsia="Times New Roman"/>
          <w:noProof/>
          <w:color w:val="000000" w:themeColor="text1"/>
          <w:lang w:val="en-IE" w:eastAsia="en-GB"/>
        </w:rPr>
        <w:t xml:space="preserve">address the </w:t>
      </w:r>
      <w:r w:rsidRPr="472A1676">
        <w:rPr>
          <w:noProof/>
          <w:lang w:val="en-IE"/>
        </w:rPr>
        <w:t xml:space="preserve">insufficient </w:t>
      </w:r>
      <w:r w:rsidRPr="472A1676">
        <w:rPr>
          <w:rFonts w:eastAsia="Times New Roman"/>
          <w:noProof/>
          <w:lang w:val="en-IE" w:eastAsia="en-GB"/>
        </w:rPr>
        <w:t xml:space="preserve">social </w:t>
      </w:r>
      <w:r w:rsidRPr="472A1676">
        <w:rPr>
          <w:noProof/>
          <w:lang w:val="en-IE"/>
        </w:rPr>
        <w:t xml:space="preserve">care infrastructure for children at risk and to support the process of transition to community-based care in the Czech Republic. The investment consists </w:t>
      </w:r>
      <w:r>
        <w:rPr>
          <w:noProof/>
          <w:lang w:val="en-IE"/>
        </w:rPr>
        <w:t>of</w:t>
      </w:r>
      <w:r w:rsidRPr="472A1676">
        <w:rPr>
          <w:noProof/>
          <w:lang w:val="en-IE"/>
        </w:rPr>
        <w:t xml:space="preserve"> the provision of social care infrastructure for children at risk through the </w:t>
      </w:r>
      <w:r w:rsidRPr="472A1676">
        <w:rPr>
          <w:rFonts w:eastAsia="Times New Roman"/>
          <w:noProof/>
          <w:color w:val="000000" w:themeColor="text1"/>
          <w:lang w:val="en-IE" w:eastAsia="en-GB"/>
        </w:rPr>
        <w:t>renovation</w:t>
      </w:r>
      <w:r w:rsidRPr="472A1676">
        <w:rPr>
          <w:noProof/>
          <w:lang w:val="en-IE"/>
        </w:rPr>
        <w:t xml:space="preserve"> of existing buildings</w:t>
      </w:r>
      <w:r w:rsidRPr="472A1676">
        <w:rPr>
          <w:rFonts w:eastAsia="Times New Roman"/>
          <w:noProof/>
          <w:color w:val="000000" w:themeColor="text1"/>
          <w:lang w:val="en-IE" w:eastAsia="en-GB"/>
        </w:rPr>
        <w:t>, building of new facilities and/or purchase of facilities or housing units.</w:t>
      </w:r>
    </w:p>
    <w:p w:rsidRPr="00FE48E2" w:rsidR="00D87E44" w:rsidP="00D226F4" w:rsidRDefault="00D87E44" w14:paraId="15458356" w14:textId="77777777">
      <w:pPr>
        <w:widowControl w:val="0"/>
        <w:spacing w:line="259" w:lineRule="auto"/>
        <w:jc w:val="both"/>
        <w:rPr>
          <w:rFonts w:eastAsia="Times New Roman"/>
          <w:noProof/>
          <w:lang w:val="en-IE"/>
        </w:rPr>
        <w:sectPr w:rsidRPr="00FE48E2" w:rsidR="00C16C1F" w:rsidSect="00D226F4">
          <w:headerReference w:type="even" r:id="R24f40aabbb1a4fa5"/>
          <w:headerReference w:type="default" r:id="Ra3c43ab581964b9a"/>
          <w:footerReference w:type="even" r:id="R315095766afe44a5"/>
          <w:footerReference w:type="default" r:id="R590c21f0b17d466e"/>
          <w:headerReference w:type="first" r:id="Rcceebbe8f8204327"/>
          <w:footerReference w:type="first" r:id="Rc7428f6eddf04d4f"/>
          <w:pgSz w:w="11907" w:h="16839"/>
          <w:pgMar w:top="1134" w:right="1134" w:bottom="1134" w:left="1134" w:header="567" w:footer="567" w:gutter="0"/>
          <w:cols w:space="720"/>
          <w:docGrid w:linePitch="326"/>
        </w:sectPr>
      </w:pPr>
    </w:p>
    <w:p w:rsidRPr="00FE48E2" w:rsidR="00D87E44" w:rsidP="00D226F4" w:rsidRDefault="00D87E44" w14:paraId="15458357" w14:textId="77777777">
      <w:pPr>
        <w:pBdr>
          <w:top w:val="nil"/>
          <w:left w:val="nil"/>
          <w:bottom w:val="nil"/>
          <w:right w:val="nil"/>
          <w:between w:val="nil"/>
        </w:pBdr>
        <w:tabs>
          <w:tab w:val="left" w:pos="993"/>
        </w:tabs>
        <w:spacing w:line="240" w:lineRule="auto"/>
        <w:jc w:val="both"/>
        <w:rPr>
          <w:rFonts w:eastAsia="Times New Roman"/>
          <w:b/>
          <w:bCs/>
          <w:noProof/>
          <w:color w:val="000000"/>
          <w:u w:val="single"/>
          <w:lang w:val="en-IE" w:eastAsia="en-GB"/>
        </w:rPr>
      </w:pPr>
      <w:r w:rsidRPr="1B282876">
        <w:rPr>
          <w:rFonts w:eastAsia="Times New Roman"/>
          <w:b/>
          <w:bCs/>
          <w:noProof/>
          <w:color w:val="000000" w:themeColor="text1"/>
          <w:u w:val="single"/>
          <w:lang w:val="en-IE" w:eastAsia="en-GB"/>
        </w:rPr>
        <w:lastRenderedPageBreak/>
        <w:t xml:space="preserve">T.2. Milestones, targets, indicators, and timetable for monitoring and implementation for non-repayable financial support </w:t>
      </w:r>
    </w:p>
    <w:tbl>
      <w:tblPr>
        <w:tblW w:w="15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10"/>
        <w:gridCol w:w="1703"/>
        <w:gridCol w:w="1077"/>
        <w:gridCol w:w="1701"/>
        <w:gridCol w:w="1276"/>
        <w:gridCol w:w="1077"/>
        <w:gridCol w:w="1077"/>
        <w:gridCol w:w="850"/>
        <w:gridCol w:w="1134"/>
        <w:gridCol w:w="1500"/>
        <w:gridCol w:w="3853"/>
      </w:tblGrid>
      <w:tr w:rsidRPr="00FE48E2" w:rsidR="00E3458A" w:rsidTr="4A45BCA2" w14:paraId="15458360" w14:textId="77777777">
        <w:trPr>
          <w:trHeight w:val="300"/>
          <w:tblHeader/>
          <w:jc w:val="center"/>
        </w:trPr>
        <w:tc>
          <w:tcPr>
            <w:tcW w:w="710" w:type="dxa"/>
            <w:vMerge w:val="restart"/>
            <w:shd w:val="clear" w:color="auto" w:fill="BDD7EE"/>
            <w:vAlign w:val="center"/>
          </w:tcPr>
          <w:p w:rsidRPr="00FE48E2" w:rsidR="00D87E44" w:rsidRDefault="00D87E44" w14:paraId="15458358" w14:textId="77777777">
            <w:pPr>
              <w:spacing w:line="240" w:lineRule="auto"/>
              <w:jc w:val="center"/>
              <w:rPr>
                <w:noProof/>
                <w:sz w:val="18"/>
                <w:szCs w:val="18"/>
                <w:lang w:val="en-IE"/>
              </w:rPr>
            </w:pPr>
            <w:r w:rsidRPr="00FE48E2">
              <w:rPr>
                <w:b/>
                <w:noProof/>
                <w:sz w:val="18"/>
                <w:szCs w:val="18"/>
                <w:lang w:val="en-IE"/>
              </w:rPr>
              <w:t>Seq. Num.</w:t>
            </w:r>
          </w:p>
        </w:tc>
        <w:tc>
          <w:tcPr>
            <w:tcW w:w="1703" w:type="dxa"/>
            <w:vMerge w:val="restart"/>
            <w:shd w:val="clear" w:color="auto" w:fill="BDD7EE"/>
            <w:vAlign w:val="center"/>
          </w:tcPr>
          <w:p w:rsidRPr="00FE48E2" w:rsidR="00D87E44" w:rsidRDefault="00D87E44" w14:paraId="15458359" w14:textId="77777777">
            <w:pPr>
              <w:spacing w:line="240" w:lineRule="auto"/>
              <w:jc w:val="center"/>
              <w:rPr>
                <w:noProof/>
                <w:sz w:val="18"/>
                <w:szCs w:val="18"/>
                <w:lang w:val="en-IE"/>
              </w:rPr>
            </w:pPr>
            <w:r w:rsidRPr="00FE48E2">
              <w:rPr>
                <w:rFonts w:eastAsia="Times New Roman"/>
                <w:b/>
                <w:noProof/>
                <w:sz w:val="18"/>
                <w:szCs w:val="18"/>
                <w:lang w:val="en-IE"/>
              </w:rPr>
              <w:t>Related measure (Reform or Investment)</w:t>
            </w:r>
          </w:p>
        </w:tc>
        <w:tc>
          <w:tcPr>
            <w:tcW w:w="1077" w:type="dxa"/>
            <w:vMerge w:val="restart"/>
            <w:shd w:val="clear" w:color="auto" w:fill="BDD7EE"/>
            <w:vAlign w:val="center"/>
          </w:tcPr>
          <w:p w:rsidRPr="00FE48E2" w:rsidR="00D87E44" w:rsidRDefault="00D87E44" w14:paraId="1545835A"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701" w:type="dxa"/>
            <w:vMerge w:val="restart"/>
            <w:shd w:val="clear" w:color="auto" w:fill="BDD7EE"/>
            <w:vAlign w:val="center"/>
          </w:tcPr>
          <w:p w:rsidRPr="00FE48E2" w:rsidR="00D87E44" w:rsidRDefault="00D87E44" w14:paraId="1545835B"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276" w:type="dxa"/>
            <w:vMerge w:val="restart"/>
            <w:shd w:val="clear" w:color="auto" w:fill="BDD7EE"/>
            <w:vAlign w:val="center"/>
          </w:tcPr>
          <w:p w:rsidRPr="00FE48E2" w:rsidR="00D87E44" w:rsidRDefault="00D87E44" w14:paraId="1545835C"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3004" w:type="dxa"/>
            <w:gridSpan w:val="3"/>
            <w:shd w:val="clear" w:color="auto" w:fill="BDD7EE"/>
            <w:vAlign w:val="center"/>
          </w:tcPr>
          <w:p w:rsidRPr="00FE48E2" w:rsidR="00D87E44" w:rsidRDefault="00D87E44" w14:paraId="1545835D"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2634" w:type="dxa"/>
            <w:gridSpan w:val="2"/>
            <w:shd w:val="clear" w:color="auto" w:fill="BDD7EE"/>
            <w:vAlign w:val="center"/>
          </w:tcPr>
          <w:p w:rsidRPr="00FE48E2" w:rsidR="00D87E44" w:rsidRDefault="00D87E44" w14:paraId="1545835E"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3853" w:type="dxa"/>
            <w:vMerge w:val="restart"/>
            <w:shd w:val="clear" w:color="auto" w:fill="BDD7EE"/>
            <w:vAlign w:val="center"/>
          </w:tcPr>
          <w:p w:rsidRPr="00FE48E2" w:rsidR="00D87E44" w:rsidRDefault="00D87E44" w14:paraId="1545835F"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4A45BCA2" w14:paraId="1545836C" w14:textId="77777777">
        <w:trPr>
          <w:trHeight w:val="300"/>
          <w:tblHeader/>
          <w:jc w:val="center"/>
        </w:trPr>
        <w:tc>
          <w:tcPr>
            <w:tcW w:w="710" w:type="dxa"/>
            <w:vMerge/>
            <w:vAlign w:val="center"/>
          </w:tcPr>
          <w:p w:rsidRPr="00FE48E2" w:rsidR="00D87E44" w:rsidRDefault="00D87E44" w14:paraId="15458361" w14:textId="77777777">
            <w:pPr>
              <w:spacing w:line="240" w:lineRule="auto"/>
              <w:jc w:val="center"/>
              <w:rPr>
                <w:noProof/>
                <w:sz w:val="18"/>
                <w:szCs w:val="18"/>
                <w:lang w:val="en-IE"/>
              </w:rPr>
            </w:pPr>
          </w:p>
        </w:tc>
        <w:tc>
          <w:tcPr>
            <w:tcW w:w="1703" w:type="dxa"/>
            <w:vMerge/>
            <w:vAlign w:val="center"/>
          </w:tcPr>
          <w:p w:rsidRPr="00FE48E2" w:rsidR="00D87E44" w:rsidRDefault="00D87E44" w14:paraId="15458362" w14:textId="77777777">
            <w:pPr>
              <w:spacing w:line="240" w:lineRule="auto"/>
              <w:jc w:val="center"/>
              <w:rPr>
                <w:noProof/>
                <w:sz w:val="18"/>
                <w:szCs w:val="18"/>
                <w:lang w:val="en-IE"/>
              </w:rPr>
            </w:pPr>
          </w:p>
        </w:tc>
        <w:tc>
          <w:tcPr>
            <w:tcW w:w="1077" w:type="dxa"/>
            <w:vMerge/>
            <w:vAlign w:val="center"/>
          </w:tcPr>
          <w:p w:rsidRPr="00FE48E2" w:rsidR="00D87E44" w:rsidRDefault="00D87E44" w14:paraId="15458363" w14:textId="77777777">
            <w:pPr>
              <w:spacing w:line="240" w:lineRule="auto"/>
              <w:jc w:val="center"/>
              <w:rPr>
                <w:noProof/>
                <w:sz w:val="18"/>
                <w:szCs w:val="18"/>
                <w:lang w:val="en-IE"/>
              </w:rPr>
            </w:pPr>
          </w:p>
        </w:tc>
        <w:tc>
          <w:tcPr>
            <w:tcW w:w="1701" w:type="dxa"/>
            <w:vMerge/>
            <w:vAlign w:val="center"/>
          </w:tcPr>
          <w:p w:rsidRPr="00FE48E2" w:rsidR="00D87E44" w:rsidRDefault="00D87E44" w14:paraId="15458364" w14:textId="77777777">
            <w:pPr>
              <w:spacing w:line="240" w:lineRule="auto"/>
              <w:jc w:val="center"/>
              <w:rPr>
                <w:noProof/>
                <w:sz w:val="18"/>
                <w:szCs w:val="18"/>
                <w:lang w:val="en-IE"/>
              </w:rPr>
            </w:pPr>
          </w:p>
        </w:tc>
        <w:tc>
          <w:tcPr>
            <w:tcW w:w="1276" w:type="dxa"/>
            <w:vMerge/>
            <w:vAlign w:val="center"/>
          </w:tcPr>
          <w:p w:rsidRPr="00FE48E2" w:rsidR="00D87E44" w:rsidRDefault="00D87E44" w14:paraId="15458365" w14:textId="77777777">
            <w:pPr>
              <w:spacing w:line="240" w:lineRule="auto"/>
              <w:jc w:val="center"/>
              <w:rPr>
                <w:noProof/>
                <w:sz w:val="18"/>
                <w:szCs w:val="18"/>
                <w:lang w:val="en-IE"/>
              </w:rPr>
            </w:pPr>
          </w:p>
        </w:tc>
        <w:tc>
          <w:tcPr>
            <w:tcW w:w="1077" w:type="dxa"/>
            <w:shd w:val="clear" w:color="auto" w:fill="BDD7EE"/>
            <w:vAlign w:val="center"/>
          </w:tcPr>
          <w:p w:rsidRPr="00C86F28" w:rsidR="00D87E44" w:rsidRDefault="00D87E44" w14:paraId="15458366" w14:textId="77777777">
            <w:pPr>
              <w:spacing w:line="240" w:lineRule="auto"/>
              <w:jc w:val="center"/>
              <w:rPr>
                <w:noProof/>
                <w:sz w:val="18"/>
                <w:szCs w:val="18"/>
                <w:lang w:val="en-IE"/>
              </w:rPr>
            </w:pPr>
            <w:r w:rsidRPr="00C86F28">
              <w:rPr>
                <w:rFonts w:eastAsia="Times New Roman"/>
                <w:b/>
                <w:noProof/>
                <w:sz w:val="18"/>
                <w:szCs w:val="18"/>
                <w:lang w:val="en-IE"/>
              </w:rPr>
              <w:t>Unit of measure</w:t>
            </w:r>
          </w:p>
        </w:tc>
        <w:tc>
          <w:tcPr>
            <w:tcW w:w="1077" w:type="dxa"/>
            <w:shd w:val="clear" w:color="auto" w:fill="BDD7EE"/>
            <w:vAlign w:val="center"/>
          </w:tcPr>
          <w:p w:rsidRPr="00C86F28" w:rsidR="00D87E44" w:rsidRDefault="00D87E44" w14:paraId="15458367" w14:textId="77777777">
            <w:pPr>
              <w:spacing w:line="240" w:lineRule="auto"/>
              <w:jc w:val="center"/>
              <w:rPr>
                <w:noProof/>
                <w:sz w:val="18"/>
                <w:szCs w:val="18"/>
                <w:lang w:val="en-IE"/>
              </w:rPr>
            </w:pPr>
            <w:r w:rsidRPr="00C86F28">
              <w:rPr>
                <w:rFonts w:eastAsia="Times New Roman"/>
                <w:b/>
                <w:noProof/>
                <w:sz w:val="18"/>
                <w:szCs w:val="18"/>
                <w:lang w:val="en-IE"/>
              </w:rPr>
              <w:t>Baseline</w:t>
            </w:r>
          </w:p>
        </w:tc>
        <w:tc>
          <w:tcPr>
            <w:tcW w:w="850" w:type="dxa"/>
            <w:shd w:val="clear" w:color="auto" w:fill="BDD7EE"/>
            <w:vAlign w:val="center"/>
          </w:tcPr>
          <w:p w:rsidRPr="00C86F28" w:rsidR="00D87E44" w:rsidRDefault="00D87E44" w14:paraId="15458368" w14:textId="77777777">
            <w:pPr>
              <w:spacing w:line="240" w:lineRule="auto"/>
              <w:jc w:val="center"/>
              <w:rPr>
                <w:noProof/>
                <w:sz w:val="18"/>
                <w:szCs w:val="18"/>
                <w:lang w:val="en-IE"/>
              </w:rPr>
            </w:pPr>
            <w:r w:rsidRPr="00C86F28">
              <w:rPr>
                <w:rFonts w:eastAsia="Times New Roman"/>
                <w:b/>
                <w:noProof/>
                <w:sz w:val="18"/>
                <w:szCs w:val="18"/>
                <w:lang w:val="en-IE"/>
              </w:rPr>
              <w:t>Goal</w:t>
            </w:r>
          </w:p>
        </w:tc>
        <w:tc>
          <w:tcPr>
            <w:tcW w:w="1134" w:type="dxa"/>
            <w:shd w:val="clear" w:color="auto" w:fill="BDD7EE"/>
            <w:vAlign w:val="center"/>
          </w:tcPr>
          <w:p w:rsidRPr="00C86F28" w:rsidR="00D87E44" w:rsidRDefault="00D87E44" w14:paraId="15458369" w14:textId="77777777">
            <w:pPr>
              <w:spacing w:line="240" w:lineRule="auto"/>
              <w:jc w:val="center"/>
              <w:rPr>
                <w:noProof/>
                <w:sz w:val="18"/>
                <w:szCs w:val="18"/>
                <w:lang w:val="en-IE"/>
              </w:rPr>
            </w:pPr>
            <w:r w:rsidRPr="00C86F28">
              <w:rPr>
                <w:rFonts w:eastAsia="Times New Roman"/>
                <w:b/>
                <w:noProof/>
                <w:sz w:val="18"/>
                <w:szCs w:val="18"/>
                <w:lang w:val="en-IE"/>
              </w:rPr>
              <w:t>Quarter</w:t>
            </w:r>
          </w:p>
        </w:tc>
        <w:tc>
          <w:tcPr>
            <w:tcW w:w="1500" w:type="dxa"/>
            <w:shd w:val="clear" w:color="auto" w:fill="BDD7EE"/>
            <w:vAlign w:val="center"/>
          </w:tcPr>
          <w:p w:rsidRPr="00C86F28" w:rsidR="00D87E44" w:rsidRDefault="00D87E44" w14:paraId="1545836A" w14:textId="77777777">
            <w:pPr>
              <w:spacing w:line="240" w:lineRule="auto"/>
              <w:jc w:val="center"/>
              <w:rPr>
                <w:noProof/>
                <w:sz w:val="18"/>
                <w:szCs w:val="18"/>
                <w:lang w:val="en-IE"/>
              </w:rPr>
            </w:pPr>
            <w:r w:rsidRPr="00C86F28">
              <w:rPr>
                <w:rFonts w:eastAsia="Times New Roman"/>
                <w:b/>
                <w:noProof/>
                <w:sz w:val="18"/>
                <w:szCs w:val="18"/>
                <w:lang w:val="en-IE"/>
              </w:rPr>
              <w:t>Year</w:t>
            </w:r>
          </w:p>
        </w:tc>
        <w:tc>
          <w:tcPr>
            <w:tcW w:w="3853" w:type="dxa"/>
            <w:vMerge/>
            <w:vAlign w:val="center"/>
          </w:tcPr>
          <w:p w:rsidRPr="00FE48E2" w:rsidR="00D87E44" w:rsidRDefault="00D87E44" w14:paraId="1545836B" w14:textId="77777777">
            <w:pPr>
              <w:spacing w:line="240" w:lineRule="auto"/>
              <w:jc w:val="center"/>
              <w:rPr>
                <w:noProof/>
                <w:sz w:val="18"/>
                <w:szCs w:val="18"/>
                <w:lang w:val="en-IE"/>
              </w:rPr>
            </w:pPr>
          </w:p>
        </w:tc>
      </w:tr>
      <w:tr w:rsidRPr="00FE48E2" w:rsidR="00E3458A" w:rsidTr="4A45BCA2" w14:paraId="1545837B" w14:textId="77777777">
        <w:trPr>
          <w:trHeight w:val="300"/>
          <w:jc w:val="center"/>
        </w:trPr>
        <w:tc>
          <w:tcPr>
            <w:tcW w:w="710" w:type="dxa"/>
            <w:shd w:val="clear" w:color="auto" w:fill="C6EFCE"/>
          </w:tcPr>
          <w:p w:rsidRPr="003050DB" w:rsidR="00D87E44" w:rsidRDefault="00D87E44" w14:paraId="1545836D"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184</w:t>
            </w:r>
          </w:p>
        </w:tc>
        <w:tc>
          <w:tcPr>
            <w:tcW w:w="1703" w:type="dxa"/>
            <w:shd w:val="clear" w:color="auto" w:fill="C6EFCE"/>
          </w:tcPr>
          <w:p w:rsidRPr="003050DB" w:rsidR="00D87E44" w:rsidRDefault="00D87E44" w14:paraId="1545836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Reform 1: Development of labour market policies</w:t>
            </w:r>
          </w:p>
          <w:p w:rsidRPr="003050DB" w:rsidR="00D87E44" w:rsidRDefault="00D87E44" w14:paraId="1545836F"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7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Milestone</w:t>
            </w:r>
          </w:p>
          <w:p w:rsidRPr="003050DB" w:rsidR="00D87E44" w:rsidRDefault="00D87E44" w14:paraId="15458371" w14:textId="77777777">
            <w:pPr>
              <w:spacing w:before="0" w:after="0" w:line="240" w:lineRule="auto"/>
              <w:rPr>
                <w:rFonts w:eastAsia="Times New Roman"/>
                <w:noProof/>
                <w:color w:val="004300"/>
                <w:sz w:val="18"/>
                <w:szCs w:val="18"/>
                <w:lang w:val="en-IE" w:eastAsia="en-GB"/>
              </w:rPr>
            </w:pPr>
          </w:p>
        </w:tc>
        <w:tc>
          <w:tcPr>
            <w:tcW w:w="1701" w:type="dxa"/>
            <w:shd w:val="clear" w:color="auto" w:fill="C6EFCE"/>
          </w:tcPr>
          <w:p w:rsidRPr="003050DB" w:rsidR="00D87E44" w:rsidRDefault="00D87E44" w14:paraId="15458372"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Establishment of the tripartite Re-skilling and Upskilling Committee </w:t>
            </w:r>
          </w:p>
          <w:p w:rsidRPr="003050DB" w:rsidR="00D87E44" w:rsidRDefault="00D87E44" w14:paraId="15458373" w14:textId="77777777">
            <w:pPr>
              <w:spacing w:before="0" w:after="0" w:line="240" w:lineRule="auto"/>
              <w:rPr>
                <w:rFonts w:eastAsia="Times New Roman"/>
                <w:noProof/>
                <w:color w:val="004300"/>
                <w:sz w:val="18"/>
                <w:szCs w:val="18"/>
                <w:lang w:val="en-IE" w:eastAsia="en-GB"/>
              </w:rPr>
            </w:pPr>
          </w:p>
        </w:tc>
        <w:tc>
          <w:tcPr>
            <w:tcW w:w="1276" w:type="dxa"/>
            <w:shd w:val="clear" w:color="auto" w:fill="C6EFCE"/>
          </w:tcPr>
          <w:p w:rsidRPr="003050DB" w:rsidR="00D87E44" w:rsidRDefault="00D87E44" w14:paraId="15458374"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Entry into force of a decree establishing a permanent Reskilling and Upskilling Committee of the Council of Economic and Social Agreement (tripartite)</w:t>
            </w:r>
          </w:p>
        </w:tc>
        <w:tc>
          <w:tcPr>
            <w:tcW w:w="1077" w:type="dxa"/>
            <w:shd w:val="clear" w:color="auto" w:fill="C6EFCE"/>
          </w:tcPr>
          <w:p w:rsidRPr="003050DB" w:rsidR="00D87E44" w:rsidRDefault="00D87E44" w14:paraId="15458375"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76"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77"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78"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Q1</w:t>
            </w:r>
          </w:p>
        </w:tc>
        <w:tc>
          <w:tcPr>
            <w:tcW w:w="1500" w:type="dxa"/>
            <w:shd w:val="clear" w:color="auto" w:fill="C6EFCE"/>
          </w:tcPr>
          <w:p w:rsidRPr="003050DB" w:rsidR="00D87E44" w:rsidRDefault="00D87E44" w14:paraId="15458379"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2022</w:t>
            </w:r>
          </w:p>
        </w:tc>
        <w:tc>
          <w:tcPr>
            <w:tcW w:w="3853" w:type="dxa"/>
            <w:shd w:val="clear" w:color="auto" w:fill="C6EFCE"/>
          </w:tcPr>
          <w:p w:rsidRPr="003050DB" w:rsidR="00D87E44" w:rsidRDefault="00D87E44" w14:paraId="1545837A" w14:textId="77777777">
            <w:pPr>
              <w:spacing w:before="0" w:after="0" w:line="259" w:lineRule="auto"/>
              <w:contextualSpacing/>
              <w:rPr>
                <w:rFonts w:eastAsia="Times New Roman"/>
                <w:noProof/>
                <w:color w:val="004300"/>
                <w:sz w:val="18"/>
                <w:szCs w:val="18"/>
                <w:lang w:val="en-IE" w:eastAsia="en-GB"/>
              </w:rPr>
            </w:pPr>
            <w:r w:rsidRPr="003050DB">
              <w:rPr>
                <w:rFonts w:eastAsia="Times New Roman"/>
                <w:noProof/>
                <w:color w:val="004300"/>
                <w:sz w:val="18"/>
                <w:szCs w:val="18"/>
                <w:lang w:val="en-IE" w:eastAsia="en-GB"/>
              </w:rPr>
              <w:t>The Reskilling and Upskilling Committee shall coordinate development of life-long learning in line with the actual and anticipated demand for skills. It shall consist of the representatives of the Ministry of Labour and Social Affairs, Ministry of Education, Youth and Sports, employers’ associations and trade unions</w:t>
            </w:r>
          </w:p>
        </w:tc>
      </w:tr>
      <w:tr w:rsidRPr="00FE48E2" w:rsidR="00E3458A" w:rsidTr="4A45BCA2" w14:paraId="1545838B" w14:textId="77777777">
        <w:trPr>
          <w:trHeight w:val="300"/>
          <w:jc w:val="center"/>
        </w:trPr>
        <w:tc>
          <w:tcPr>
            <w:tcW w:w="710" w:type="dxa"/>
            <w:shd w:val="clear" w:color="auto" w:fill="C6EFCE"/>
          </w:tcPr>
          <w:p w:rsidRPr="003050DB" w:rsidR="00D87E44" w:rsidRDefault="00D87E44" w14:paraId="1545837C"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185</w:t>
            </w:r>
          </w:p>
        </w:tc>
        <w:tc>
          <w:tcPr>
            <w:tcW w:w="1703" w:type="dxa"/>
            <w:shd w:val="clear" w:color="auto" w:fill="C6EFCE"/>
          </w:tcPr>
          <w:p w:rsidRPr="003050DB" w:rsidR="00D87E44" w:rsidRDefault="00D87E44" w14:paraId="1545837D"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Reform 1: Development of labour market policies</w:t>
            </w:r>
          </w:p>
        </w:tc>
        <w:tc>
          <w:tcPr>
            <w:tcW w:w="1077" w:type="dxa"/>
            <w:shd w:val="clear" w:color="auto" w:fill="C6EFCE"/>
          </w:tcPr>
          <w:p w:rsidRPr="003050DB" w:rsidR="00D87E44" w:rsidRDefault="00D87E44" w14:paraId="1545837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Milestone</w:t>
            </w:r>
          </w:p>
        </w:tc>
        <w:tc>
          <w:tcPr>
            <w:tcW w:w="1701" w:type="dxa"/>
            <w:shd w:val="clear" w:color="auto" w:fill="C6EFCE"/>
          </w:tcPr>
          <w:p w:rsidRPr="003050DB" w:rsidR="00D87E44" w:rsidRDefault="00D87E44" w14:paraId="1545837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Entry into force of the amended Employment Act </w:t>
            </w:r>
          </w:p>
          <w:p w:rsidRPr="003050DB" w:rsidR="00D87E44" w:rsidRDefault="00D87E44" w14:paraId="1545838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 </w:t>
            </w:r>
          </w:p>
        </w:tc>
        <w:tc>
          <w:tcPr>
            <w:tcW w:w="1276" w:type="dxa"/>
            <w:shd w:val="clear" w:color="auto" w:fill="C6EFCE"/>
          </w:tcPr>
          <w:p w:rsidRPr="003050DB" w:rsidR="00D87E44" w:rsidRDefault="00D87E44" w14:paraId="15458381"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Provision in the amended Employment Act indicating the entry into force of the amended Employment Act</w:t>
            </w:r>
          </w:p>
        </w:tc>
        <w:tc>
          <w:tcPr>
            <w:tcW w:w="1077" w:type="dxa"/>
            <w:shd w:val="clear" w:color="auto" w:fill="C6EFCE"/>
          </w:tcPr>
          <w:p w:rsidRPr="003050DB" w:rsidR="00D87E44" w:rsidRDefault="00D87E44" w14:paraId="15458382"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83"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84"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85"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Q4</w:t>
            </w:r>
          </w:p>
        </w:tc>
        <w:tc>
          <w:tcPr>
            <w:tcW w:w="1500" w:type="dxa"/>
            <w:shd w:val="clear" w:color="auto" w:fill="C6EFCE"/>
          </w:tcPr>
          <w:p w:rsidRPr="003050DB" w:rsidR="00D87E44" w:rsidRDefault="00D87E44" w14:paraId="15458386"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2024</w:t>
            </w:r>
          </w:p>
        </w:tc>
        <w:tc>
          <w:tcPr>
            <w:tcW w:w="3853" w:type="dxa"/>
            <w:shd w:val="clear" w:color="auto" w:fill="C6EFCE"/>
          </w:tcPr>
          <w:p w:rsidRPr="003050DB" w:rsidR="00D87E44" w:rsidRDefault="00D87E44" w14:paraId="15458387" w14:textId="77777777">
            <w:pPr>
              <w:spacing w:before="0" w:after="0" w:line="240" w:lineRule="auto"/>
              <w:rPr>
                <w:noProof/>
                <w:color w:val="006100"/>
                <w:sz w:val="18"/>
                <w:szCs w:val="18"/>
                <w:lang w:val="en-IE"/>
              </w:rPr>
            </w:pPr>
            <w:r w:rsidRPr="003050DB">
              <w:rPr>
                <w:rFonts w:eastAsia="Times New Roman"/>
                <w:noProof/>
                <w:color w:val="004300"/>
                <w:sz w:val="18"/>
                <w:szCs w:val="18"/>
                <w:lang w:val="en-IE" w:eastAsia="en-GB"/>
              </w:rPr>
              <w:t>The</w:t>
            </w:r>
            <w:r w:rsidRPr="003050DB">
              <w:rPr>
                <w:noProof/>
                <w:color w:val="006100"/>
                <w:sz w:val="18"/>
                <w:szCs w:val="18"/>
                <w:lang w:val="en-IE"/>
              </w:rPr>
              <w:t xml:space="preserve"> law shall:</w:t>
            </w:r>
          </w:p>
          <w:p w:rsidRPr="003050DB" w:rsidR="00D87E44" w:rsidP="00D226F4" w:rsidRDefault="00D87E44" w14:paraId="15458388" w14:textId="77777777">
            <w:pPr>
              <w:numPr>
                <w:ilvl w:val="0"/>
                <w:numId w:val="60"/>
              </w:numPr>
              <w:spacing w:after="0" w:line="259" w:lineRule="auto"/>
              <w:rPr>
                <w:noProof/>
                <w:color w:val="006100"/>
                <w:sz w:val="18"/>
                <w:szCs w:val="18"/>
                <w:lang w:val="en-IE"/>
              </w:rPr>
            </w:pPr>
            <w:r w:rsidRPr="003050DB">
              <w:rPr>
                <w:noProof/>
                <w:color w:val="006100"/>
                <w:sz w:val="18"/>
                <w:szCs w:val="18"/>
                <w:lang w:val="en-IE"/>
              </w:rPr>
              <w:t>Provide a definition of people with special needs disadvantaged in the labour market</w:t>
            </w:r>
          </w:p>
          <w:p w:rsidRPr="003050DB" w:rsidR="00D87E44" w:rsidP="00D226F4" w:rsidRDefault="00D87E44" w14:paraId="15458389" w14:textId="77777777">
            <w:pPr>
              <w:numPr>
                <w:ilvl w:val="0"/>
                <w:numId w:val="60"/>
              </w:numPr>
              <w:spacing w:after="0" w:line="259" w:lineRule="auto"/>
              <w:rPr>
                <w:noProof/>
                <w:color w:val="006100"/>
                <w:sz w:val="18"/>
                <w:szCs w:val="18"/>
                <w:lang w:val="en-IE"/>
              </w:rPr>
            </w:pPr>
            <w:r w:rsidRPr="003050DB">
              <w:rPr>
                <w:noProof/>
                <w:color w:val="006100"/>
                <w:sz w:val="18"/>
                <w:szCs w:val="18"/>
                <w:lang w:val="en-IE"/>
              </w:rPr>
              <w:t xml:space="preserve">better target support to these </w:t>
            </w:r>
            <w:r w:rsidRPr="003050DB">
              <w:rPr>
                <w:noProof/>
                <w:color w:val="006100"/>
                <w:sz w:val="18"/>
                <w:szCs w:val="18"/>
                <w:lang w:val="en-IE"/>
              </w:rPr>
              <w:t>vulnerable groups (for example,  especially the low-skilled , excluded persons or at risk of social exclusion)</w:t>
            </w:r>
          </w:p>
          <w:p w:rsidRPr="003050DB" w:rsidR="00D87E44" w:rsidP="00D226F4" w:rsidRDefault="00D87E44" w14:paraId="1545838A" w14:textId="77777777">
            <w:pPr>
              <w:numPr>
                <w:ilvl w:val="0"/>
                <w:numId w:val="60"/>
              </w:numPr>
              <w:spacing w:after="240" w:line="259" w:lineRule="auto"/>
              <w:rPr>
                <w:noProof/>
                <w:color w:val="006100"/>
                <w:sz w:val="18"/>
                <w:szCs w:val="18"/>
                <w:lang w:val="en-IE"/>
              </w:rPr>
            </w:pPr>
            <w:r w:rsidRPr="003050DB">
              <w:rPr>
                <w:noProof/>
                <w:color w:val="006100"/>
                <w:sz w:val="18"/>
                <w:szCs w:val="18"/>
                <w:lang w:val="en-IE"/>
              </w:rPr>
              <w:t>improve the matching of retraining courses organised by the Labour Office to jobseekers</w:t>
            </w:r>
          </w:p>
        </w:tc>
      </w:tr>
      <w:tr w:rsidRPr="00FE48E2" w:rsidR="00E3458A" w:rsidTr="4A45BCA2" w14:paraId="15458397" w14:textId="77777777">
        <w:trPr>
          <w:trHeight w:val="300"/>
          <w:jc w:val="center"/>
        </w:trPr>
        <w:tc>
          <w:tcPr>
            <w:tcW w:w="710" w:type="dxa"/>
            <w:shd w:val="clear" w:color="auto" w:fill="C6EFCE"/>
          </w:tcPr>
          <w:p w:rsidRPr="003050DB" w:rsidR="00D87E44" w:rsidRDefault="00D87E44" w14:paraId="1545838C"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186</w:t>
            </w:r>
          </w:p>
        </w:tc>
        <w:tc>
          <w:tcPr>
            <w:tcW w:w="1703" w:type="dxa"/>
            <w:shd w:val="clear" w:color="auto" w:fill="C6EFCE"/>
          </w:tcPr>
          <w:p w:rsidRPr="003050DB" w:rsidR="00D87E44" w:rsidRDefault="00D87E44" w14:paraId="1545838D"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Reform 1: Development of labour market </w:t>
            </w:r>
            <w:r w:rsidRPr="003050DB">
              <w:rPr>
                <w:rFonts w:eastAsia="Times New Roman"/>
                <w:noProof/>
                <w:color w:val="004300"/>
                <w:sz w:val="18"/>
                <w:szCs w:val="18"/>
                <w:lang w:val="en-IE" w:eastAsia="en-GB"/>
              </w:rPr>
              <w:t>policies</w:t>
            </w:r>
          </w:p>
        </w:tc>
        <w:tc>
          <w:tcPr>
            <w:tcW w:w="1077" w:type="dxa"/>
            <w:shd w:val="clear" w:color="auto" w:fill="C6EFCE"/>
          </w:tcPr>
          <w:p w:rsidRPr="003050DB" w:rsidR="00D87E44" w:rsidRDefault="00D87E44" w14:paraId="1545838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Milestone </w:t>
            </w:r>
          </w:p>
        </w:tc>
        <w:tc>
          <w:tcPr>
            <w:tcW w:w="1701" w:type="dxa"/>
            <w:shd w:val="clear" w:color="auto" w:fill="C6EFCE"/>
          </w:tcPr>
          <w:p w:rsidRPr="003050DB" w:rsidR="00D87E44" w:rsidRDefault="00D87E44" w14:paraId="1545838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Database of reskilling and upskilling courses</w:t>
            </w:r>
          </w:p>
        </w:tc>
        <w:tc>
          <w:tcPr>
            <w:tcW w:w="1276" w:type="dxa"/>
            <w:shd w:val="clear" w:color="auto" w:fill="C6EFCE"/>
          </w:tcPr>
          <w:p w:rsidRPr="003050DB" w:rsidR="00D87E44" w:rsidRDefault="00D87E44" w14:paraId="1545839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Public database of upskilling and reskilling courses put in operation</w:t>
            </w:r>
          </w:p>
        </w:tc>
        <w:tc>
          <w:tcPr>
            <w:tcW w:w="1077" w:type="dxa"/>
            <w:shd w:val="clear" w:color="auto" w:fill="C6EFCE"/>
          </w:tcPr>
          <w:p w:rsidRPr="003050DB" w:rsidR="00D87E44" w:rsidRDefault="00D87E44" w14:paraId="15458391"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92"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93"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94"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Q4</w:t>
            </w:r>
          </w:p>
        </w:tc>
        <w:tc>
          <w:tcPr>
            <w:tcW w:w="1500" w:type="dxa"/>
            <w:shd w:val="clear" w:color="auto" w:fill="C6EFCE"/>
          </w:tcPr>
          <w:p w:rsidRPr="003050DB" w:rsidR="00D87E44" w:rsidRDefault="00D87E44" w14:paraId="15458395"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2023</w:t>
            </w:r>
          </w:p>
        </w:tc>
        <w:tc>
          <w:tcPr>
            <w:tcW w:w="3853" w:type="dxa"/>
            <w:shd w:val="clear" w:color="auto" w:fill="C6EFCE"/>
          </w:tcPr>
          <w:p w:rsidRPr="003050DB" w:rsidR="00D87E44" w:rsidRDefault="00D87E44" w14:paraId="15458396" w14:textId="77777777">
            <w:pPr>
              <w:spacing w:after="0" w:line="259" w:lineRule="auto"/>
              <w:contextualSpacing/>
              <w:rPr>
                <w:i/>
                <w:noProof/>
                <w:color w:val="006100"/>
                <w:sz w:val="18"/>
                <w:szCs w:val="18"/>
                <w:lang w:val="en-IE" w:eastAsia="cs-CZ"/>
              </w:rPr>
            </w:pPr>
            <w:r w:rsidRPr="003050DB">
              <w:rPr>
                <w:noProof/>
                <w:color w:val="006100"/>
                <w:sz w:val="18"/>
                <w:szCs w:val="18"/>
                <w:lang w:val="en-IE"/>
              </w:rPr>
              <w:t>The database shall comprise upskilling and reskilling programmes certified according to the Employment Act (provided by the Labour Office) as well as courses offered by vocational schools, higher education institutions and other providers</w:t>
            </w:r>
          </w:p>
        </w:tc>
      </w:tr>
      <w:tr w:rsidRPr="00FE48E2" w:rsidR="00E3458A" w:rsidTr="4A45BCA2" w14:paraId="154583A4" w14:textId="77777777">
        <w:trPr>
          <w:trHeight w:val="300"/>
          <w:jc w:val="center"/>
        </w:trPr>
        <w:tc>
          <w:tcPr>
            <w:tcW w:w="710" w:type="dxa"/>
            <w:shd w:val="clear" w:color="auto" w:fill="C6EFCE"/>
          </w:tcPr>
          <w:p w:rsidRPr="00EF5287" w:rsidR="00D87E44" w:rsidRDefault="00D87E44" w14:paraId="15458398"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187</w:t>
            </w:r>
          </w:p>
        </w:tc>
        <w:tc>
          <w:tcPr>
            <w:tcW w:w="1703" w:type="dxa"/>
            <w:shd w:val="clear" w:color="auto" w:fill="C6EFCE"/>
          </w:tcPr>
          <w:p w:rsidRPr="00EF5287" w:rsidR="00D87E44" w:rsidRDefault="00D87E44" w14:paraId="15458399"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Investment 1: Development of labour market policies</w:t>
            </w:r>
          </w:p>
        </w:tc>
        <w:tc>
          <w:tcPr>
            <w:tcW w:w="1077" w:type="dxa"/>
            <w:shd w:val="clear" w:color="auto" w:fill="C6EFCE"/>
          </w:tcPr>
          <w:p w:rsidRPr="00EF5287" w:rsidR="00D87E44" w:rsidRDefault="00D87E44" w14:paraId="1545839A"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Target</w:t>
            </w:r>
          </w:p>
          <w:p w:rsidRPr="00EF5287" w:rsidR="00D87E44" w:rsidRDefault="00D87E44" w14:paraId="1545839B" w14:textId="77777777">
            <w:pPr>
              <w:spacing w:before="0" w:after="0" w:line="240" w:lineRule="auto"/>
              <w:rPr>
                <w:rFonts w:eastAsia="Times New Roman"/>
                <w:noProof/>
                <w:color w:val="004300"/>
                <w:sz w:val="18"/>
                <w:szCs w:val="18"/>
                <w:lang w:val="en-IE" w:eastAsia="en-GB"/>
              </w:rPr>
            </w:pPr>
          </w:p>
        </w:tc>
        <w:tc>
          <w:tcPr>
            <w:tcW w:w="1701" w:type="dxa"/>
            <w:shd w:val="clear" w:color="auto" w:fill="C6EFCE"/>
          </w:tcPr>
          <w:p w:rsidRPr="00EF5287" w:rsidR="00D87E44" w:rsidRDefault="00D87E44" w14:paraId="1545839C" w14:textId="77777777">
            <w:pPr>
              <w:spacing w:before="0" w:after="0" w:line="240" w:lineRule="auto"/>
              <w:rPr>
                <w:rFonts w:eastAsia="Times New Roman"/>
                <w:noProof/>
                <w:color w:val="004300"/>
                <w:sz w:val="18"/>
                <w:szCs w:val="18"/>
                <w:lang w:val="en-IE" w:eastAsia="en-GB"/>
              </w:rPr>
            </w:pPr>
            <w:r w:rsidRPr="472A1676">
              <w:rPr>
                <w:rFonts w:eastAsia="Times New Roman"/>
                <w:noProof/>
                <w:color w:val="004300"/>
                <w:sz w:val="18"/>
                <w:szCs w:val="18"/>
                <w:lang w:val="en-IE" w:eastAsia="en-GB"/>
              </w:rPr>
              <w:t xml:space="preserve">Number of </w:t>
            </w:r>
            <w:r w:rsidRPr="34A10BCF">
              <w:rPr>
                <w:rFonts w:eastAsia="Times New Roman"/>
                <w:noProof/>
                <w:color w:val="004300"/>
                <w:sz w:val="18"/>
                <w:szCs w:val="18"/>
                <w:lang w:val="en-IE" w:eastAsia="en-GB"/>
              </w:rPr>
              <w:t xml:space="preserve">training certificates </w:t>
            </w:r>
          </w:p>
        </w:tc>
        <w:tc>
          <w:tcPr>
            <w:tcW w:w="1276" w:type="dxa"/>
            <w:shd w:val="clear" w:color="auto" w:fill="C6EFCE"/>
          </w:tcPr>
          <w:p w:rsidRPr="00EF5287" w:rsidR="00D87E44" w:rsidRDefault="00D87E44" w14:paraId="1545839D"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EF5287" w:rsidR="00D87E44" w:rsidRDefault="00D87E44" w14:paraId="1545839E"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Number</w:t>
            </w:r>
          </w:p>
        </w:tc>
        <w:tc>
          <w:tcPr>
            <w:tcW w:w="1077" w:type="dxa"/>
            <w:shd w:val="clear" w:color="auto" w:fill="C6EFCE"/>
          </w:tcPr>
          <w:p w:rsidRPr="00EF5287" w:rsidR="00D87E44" w:rsidRDefault="00D87E44" w14:paraId="1545839F"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0</w:t>
            </w:r>
          </w:p>
        </w:tc>
        <w:tc>
          <w:tcPr>
            <w:tcW w:w="850" w:type="dxa"/>
            <w:shd w:val="clear" w:color="auto" w:fill="C6EFCE"/>
          </w:tcPr>
          <w:p w:rsidRPr="00EF5287" w:rsidR="00D87E44" w:rsidRDefault="00D87E44" w14:paraId="154583A0"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130 000</w:t>
            </w:r>
          </w:p>
        </w:tc>
        <w:tc>
          <w:tcPr>
            <w:tcW w:w="1134" w:type="dxa"/>
            <w:shd w:val="clear" w:color="auto" w:fill="C6EFCE"/>
          </w:tcPr>
          <w:p w:rsidRPr="00EF5287" w:rsidR="00D87E44" w:rsidRDefault="00D87E44" w14:paraId="154583A1"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Q4</w:t>
            </w:r>
          </w:p>
        </w:tc>
        <w:tc>
          <w:tcPr>
            <w:tcW w:w="1500" w:type="dxa"/>
            <w:shd w:val="clear" w:color="auto" w:fill="C6EFCE"/>
          </w:tcPr>
          <w:p w:rsidRPr="00EF5287" w:rsidR="00D87E44" w:rsidRDefault="00D87E44" w14:paraId="154583A2" w14:textId="77777777">
            <w:pPr>
              <w:spacing w:before="0" w:after="0" w:line="240" w:lineRule="auto"/>
              <w:rPr>
                <w:rFonts w:eastAsia="Times New Roman"/>
                <w:noProof/>
                <w:color w:val="004300"/>
                <w:sz w:val="18"/>
                <w:szCs w:val="18"/>
                <w:lang w:val="en-IE" w:eastAsia="en-GB"/>
              </w:rPr>
            </w:pPr>
            <w:r w:rsidRPr="09EB54F2">
              <w:rPr>
                <w:rFonts w:eastAsia="Times New Roman"/>
                <w:noProof/>
                <w:color w:val="004300"/>
                <w:sz w:val="18"/>
                <w:szCs w:val="18"/>
                <w:lang w:val="en-IE" w:eastAsia="en-GB"/>
              </w:rPr>
              <w:t>2025</w:t>
            </w:r>
          </w:p>
        </w:tc>
        <w:tc>
          <w:tcPr>
            <w:tcW w:w="3853" w:type="dxa"/>
            <w:shd w:val="clear" w:color="auto" w:fill="C6EFCE"/>
          </w:tcPr>
          <w:p w:rsidRPr="009D11CB" w:rsidR="00D87E44" w:rsidRDefault="00D87E44" w14:paraId="154583A3" w14:textId="77777777">
            <w:pPr>
              <w:pBdr>
                <w:top w:val="nil"/>
                <w:left w:val="nil"/>
                <w:bottom w:val="nil"/>
                <w:right w:val="nil"/>
                <w:between w:val="nil"/>
              </w:pBdr>
              <w:spacing w:before="0" w:after="0" w:line="240" w:lineRule="auto"/>
              <w:rPr>
                <w:noProof/>
                <w:color w:val="006100"/>
                <w:sz w:val="18"/>
                <w:szCs w:val="18"/>
                <w:lang w:val="en-IE"/>
              </w:rPr>
            </w:pPr>
            <w:r w:rsidRPr="09EB54F2">
              <w:rPr>
                <w:noProof/>
                <w:color w:val="006100"/>
                <w:sz w:val="18"/>
                <w:szCs w:val="18"/>
                <w:lang w:val="en-IE"/>
              </w:rPr>
              <w:t xml:space="preserve">At least 130 000 </w:t>
            </w:r>
            <w:r>
              <w:rPr>
                <w:noProof/>
                <w:color w:val="006100"/>
                <w:sz w:val="18"/>
                <w:szCs w:val="18"/>
                <w:lang w:val="en-IE"/>
              </w:rPr>
              <w:t xml:space="preserve">training certificates </w:t>
            </w:r>
            <w:r w:rsidRPr="09EB54F2">
              <w:rPr>
                <w:noProof/>
                <w:color w:val="006100"/>
                <w:sz w:val="18"/>
                <w:szCs w:val="18"/>
                <w:lang w:val="en-IE"/>
              </w:rPr>
              <w:t>in digital skills or skills needed for Industry 4.0</w:t>
            </w:r>
            <w:r>
              <w:rPr>
                <w:noProof/>
                <w:color w:val="006100"/>
                <w:sz w:val="18"/>
                <w:szCs w:val="18"/>
                <w:lang w:val="en-IE"/>
              </w:rPr>
              <w:t xml:space="preserve"> shall be issued.</w:t>
            </w:r>
          </w:p>
        </w:tc>
      </w:tr>
      <w:tr w:rsidRPr="00FE48E2" w:rsidR="00E3458A" w:rsidTr="4A45BCA2" w14:paraId="154583B0" w14:textId="77777777">
        <w:trPr>
          <w:trHeight w:val="300"/>
          <w:jc w:val="center"/>
        </w:trPr>
        <w:tc>
          <w:tcPr>
            <w:tcW w:w="710" w:type="dxa"/>
            <w:shd w:val="clear" w:color="auto" w:fill="C6EFCE"/>
          </w:tcPr>
          <w:p w:rsidRPr="00EF5287" w:rsidR="00D87E44" w:rsidRDefault="00D87E44" w14:paraId="154583A5"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lastRenderedPageBreak/>
              <w:t>188</w:t>
            </w:r>
          </w:p>
        </w:tc>
        <w:tc>
          <w:tcPr>
            <w:tcW w:w="1703" w:type="dxa"/>
            <w:shd w:val="clear" w:color="auto" w:fill="C6EFCE"/>
          </w:tcPr>
          <w:p w:rsidRPr="00EF5287" w:rsidR="00D87E44" w:rsidRDefault="00D87E44" w14:paraId="154583A6"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Reform 1: </w:t>
            </w:r>
            <w:r w:rsidRPr="00EF5287">
              <w:rPr>
                <w:rFonts w:eastAsia="Times New Roman"/>
                <w:noProof/>
                <w:color w:val="004300"/>
                <w:sz w:val="18"/>
                <w:szCs w:val="18"/>
                <w:lang w:val="en-IE" w:eastAsia="en-GB"/>
              </w:rPr>
              <w:t>Development of labour market policies</w:t>
            </w:r>
          </w:p>
        </w:tc>
        <w:tc>
          <w:tcPr>
            <w:tcW w:w="1077" w:type="dxa"/>
            <w:shd w:val="clear" w:color="auto" w:fill="C6EFCE"/>
          </w:tcPr>
          <w:p w:rsidRPr="00EF5287" w:rsidR="00D87E44" w:rsidRDefault="00D87E44" w14:paraId="154583A7"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Target</w:t>
            </w:r>
          </w:p>
        </w:tc>
        <w:tc>
          <w:tcPr>
            <w:tcW w:w="1701" w:type="dxa"/>
            <w:shd w:val="clear" w:color="auto" w:fill="C6EFCE"/>
          </w:tcPr>
          <w:p w:rsidRPr="00EF5287" w:rsidR="00D87E44" w:rsidRDefault="00D87E44" w14:paraId="154583A8" w14:textId="77777777">
            <w:pPr>
              <w:spacing w:before="0" w:after="0" w:line="240" w:lineRule="auto"/>
              <w:rPr>
                <w:rFonts w:eastAsia="Times New Roman"/>
                <w:noProof/>
                <w:color w:val="004300"/>
                <w:sz w:val="18"/>
                <w:szCs w:val="18"/>
                <w:lang w:val="en-IE" w:eastAsia="en-GB"/>
              </w:rPr>
            </w:pPr>
            <w:r w:rsidRPr="472A1676">
              <w:rPr>
                <w:rFonts w:eastAsia="Times New Roman"/>
                <w:noProof/>
                <w:color w:val="004300"/>
                <w:sz w:val="18"/>
                <w:szCs w:val="18"/>
                <w:lang w:val="en-IE" w:eastAsia="en-GB"/>
              </w:rPr>
              <w:t>Number of regional training centres equipped</w:t>
            </w:r>
          </w:p>
        </w:tc>
        <w:tc>
          <w:tcPr>
            <w:tcW w:w="1276" w:type="dxa"/>
            <w:shd w:val="clear" w:color="auto" w:fill="C6EFCE"/>
          </w:tcPr>
          <w:p w:rsidRPr="00EF5287" w:rsidR="00D87E44" w:rsidRDefault="00D87E44" w14:paraId="154583A9"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EF5287" w:rsidR="00D87E44" w:rsidRDefault="00D87E44" w14:paraId="154583AA"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Number </w:t>
            </w:r>
          </w:p>
        </w:tc>
        <w:tc>
          <w:tcPr>
            <w:tcW w:w="1077" w:type="dxa"/>
            <w:shd w:val="clear" w:color="auto" w:fill="C6EFCE"/>
          </w:tcPr>
          <w:p w:rsidRPr="00EF5287" w:rsidR="00D87E44" w:rsidRDefault="00D87E44" w14:paraId="154583AB"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0</w:t>
            </w:r>
          </w:p>
        </w:tc>
        <w:tc>
          <w:tcPr>
            <w:tcW w:w="850" w:type="dxa"/>
            <w:shd w:val="clear" w:color="auto" w:fill="C6EFCE"/>
          </w:tcPr>
          <w:p w:rsidRPr="00EF5287" w:rsidR="00D87E44" w:rsidRDefault="00D87E44" w14:paraId="154583AC"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14</w:t>
            </w:r>
          </w:p>
        </w:tc>
        <w:tc>
          <w:tcPr>
            <w:tcW w:w="1134" w:type="dxa"/>
            <w:shd w:val="clear" w:color="auto" w:fill="C6EFCE"/>
          </w:tcPr>
          <w:p w:rsidRPr="00EF5287" w:rsidR="00D87E44" w:rsidRDefault="00D87E44" w14:paraId="154583AD"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Q4</w:t>
            </w:r>
          </w:p>
        </w:tc>
        <w:tc>
          <w:tcPr>
            <w:tcW w:w="1500" w:type="dxa"/>
            <w:shd w:val="clear" w:color="auto" w:fill="C6EFCE"/>
          </w:tcPr>
          <w:p w:rsidRPr="00EF5287" w:rsidR="00D87E44" w:rsidRDefault="00D87E44" w14:paraId="154583AE"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2025</w:t>
            </w:r>
          </w:p>
        </w:tc>
        <w:tc>
          <w:tcPr>
            <w:tcW w:w="3853" w:type="dxa"/>
            <w:shd w:val="clear" w:color="auto" w:fill="C6EFCE"/>
          </w:tcPr>
          <w:p w:rsidRPr="00FE48E2" w:rsidR="00D87E44" w:rsidRDefault="00D87E44" w14:paraId="154583AF" w14:textId="77777777">
            <w:pPr>
              <w:spacing w:before="0" w:after="0" w:line="240" w:lineRule="auto"/>
              <w:rPr>
                <w:noProof/>
                <w:color w:val="006100"/>
                <w:sz w:val="18"/>
                <w:szCs w:val="18"/>
                <w:lang w:val="en-IE" w:eastAsia="cs-CZ"/>
              </w:rPr>
            </w:pPr>
            <w:r w:rsidRPr="472A1676">
              <w:rPr>
                <w:noProof/>
                <w:color w:val="006100"/>
                <w:sz w:val="18"/>
                <w:szCs w:val="18"/>
                <w:lang w:val="en-IE"/>
              </w:rPr>
              <w:t xml:space="preserve">At least 14 training centres shall be equipped . </w:t>
            </w:r>
          </w:p>
        </w:tc>
      </w:tr>
      <w:tr w:rsidRPr="00FE48E2" w:rsidR="00E3458A" w:rsidTr="4A45BCA2" w14:paraId="154583BE" w14:textId="77777777">
        <w:trPr>
          <w:trHeight w:val="300"/>
          <w:jc w:val="center"/>
        </w:trPr>
        <w:tc>
          <w:tcPr>
            <w:tcW w:w="710" w:type="dxa"/>
            <w:shd w:val="clear" w:color="auto" w:fill="C6EFCE"/>
          </w:tcPr>
          <w:p w:rsidRPr="00EF5287" w:rsidR="00D87E44" w:rsidRDefault="00D87E44" w14:paraId="154583B1"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190</w:t>
            </w:r>
          </w:p>
        </w:tc>
        <w:tc>
          <w:tcPr>
            <w:tcW w:w="1703" w:type="dxa"/>
            <w:shd w:val="clear" w:color="auto" w:fill="C6EFCE"/>
          </w:tcPr>
          <w:p w:rsidRPr="00EF5287" w:rsidR="00D87E44" w:rsidRDefault="00D87E44" w14:paraId="154583B2"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Investment 2: Increasing the capacity of pre-school facilities</w:t>
            </w:r>
          </w:p>
        </w:tc>
        <w:tc>
          <w:tcPr>
            <w:tcW w:w="1077" w:type="dxa"/>
            <w:shd w:val="clear" w:color="auto" w:fill="C6EFCE"/>
          </w:tcPr>
          <w:p w:rsidRPr="00EF5287" w:rsidR="00D87E44" w:rsidRDefault="00D87E44" w14:paraId="154583B3"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Target</w:t>
            </w:r>
          </w:p>
        </w:tc>
        <w:tc>
          <w:tcPr>
            <w:tcW w:w="1701" w:type="dxa"/>
            <w:shd w:val="clear" w:color="auto" w:fill="C6EFCE"/>
          </w:tcPr>
          <w:p w:rsidRPr="00EF5287" w:rsidR="00D87E44" w:rsidRDefault="00D87E44" w14:paraId="154583B4"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Number of new pre-school facilities </w:t>
            </w:r>
          </w:p>
        </w:tc>
        <w:tc>
          <w:tcPr>
            <w:tcW w:w="1276" w:type="dxa"/>
            <w:shd w:val="clear" w:color="auto" w:fill="C6EFCE"/>
          </w:tcPr>
          <w:p w:rsidRPr="00EF5287" w:rsidR="00D87E44" w:rsidRDefault="00D87E44" w14:paraId="154583B5"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EF5287" w:rsidR="00D87E44" w:rsidRDefault="00D87E44" w14:paraId="154583B6"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Number </w:t>
            </w:r>
          </w:p>
        </w:tc>
        <w:tc>
          <w:tcPr>
            <w:tcW w:w="1077" w:type="dxa"/>
            <w:shd w:val="clear" w:color="auto" w:fill="C6EFCE"/>
          </w:tcPr>
          <w:p w:rsidRPr="00EF5287" w:rsidR="00D87E44" w:rsidRDefault="00D87E44" w14:paraId="154583B7"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0</w:t>
            </w:r>
          </w:p>
        </w:tc>
        <w:tc>
          <w:tcPr>
            <w:tcW w:w="850" w:type="dxa"/>
            <w:shd w:val="clear" w:color="auto" w:fill="C6EFCE"/>
          </w:tcPr>
          <w:p w:rsidRPr="00EF5287" w:rsidR="00D87E44" w:rsidRDefault="00D87E44" w14:paraId="154583B8"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5</w:t>
            </w:r>
            <w:r>
              <w:rPr>
                <w:rFonts w:eastAsia="Times New Roman"/>
                <w:noProof/>
                <w:color w:val="004300"/>
                <w:sz w:val="18"/>
                <w:szCs w:val="18"/>
                <w:lang w:val="en-IE" w:eastAsia="en-GB"/>
              </w:rPr>
              <w:t>0</w:t>
            </w:r>
            <w:r w:rsidRPr="00EF5287">
              <w:rPr>
                <w:rFonts w:eastAsia="Times New Roman"/>
                <w:noProof/>
                <w:color w:val="004300"/>
                <w:sz w:val="18"/>
                <w:szCs w:val="18"/>
                <w:lang w:val="en-IE" w:eastAsia="en-GB"/>
              </w:rPr>
              <w:t xml:space="preserve">8 </w:t>
            </w:r>
          </w:p>
        </w:tc>
        <w:tc>
          <w:tcPr>
            <w:tcW w:w="1134" w:type="dxa"/>
            <w:shd w:val="clear" w:color="auto" w:fill="C6EFCE"/>
          </w:tcPr>
          <w:p w:rsidRPr="00EF5287" w:rsidR="00D87E44" w:rsidRDefault="00D87E44" w14:paraId="154583B9"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 Q2</w:t>
            </w:r>
          </w:p>
        </w:tc>
        <w:tc>
          <w:tcPr>
            <w:tcW w:w="1500" w:type="dxa"/>
            <w:shd w:val="clear" w:color="auto" w:fill="C6EFCE"/>
          </w:tcPr>
          <w:p w:rsidRPr="00EF5287" w:rsidR="00D87E44" w:rsidRDefault="00D87E44" w14:paraId="154583BA"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2026</w:t>
            </w:r>
          </w:p>
        </w:tc>
        <w:tc>
          <w:tcPr>
            <w:tcW w:w="3853" w:type="dxa"/>
            <w:shd w:val="clear" w:color="auto" w:fill="C6EFCE"/>
          </w:tcPr>
          <w:p w:rsidRPr="00AB4BBB" w:rsidR="00D87E44" w:rsidRDefault="00D87E44" w14:paraId="154583BB" w14:textId="77777777">
            <w:pPr>
              <w:spacing w:before="0" w:after="0" w:line="240" w:lineRule="auto"/>
              <w:rPr>
                <w:noProof/>
                <w:color w:val="006100"/>
                <w:sz w:val="18"/>
                <w:szCs w:val="18"/>
                <w:lang w:val="en-IE"/>
              </w:rPr>
            </w:pPr>
            <w:r w:rsidRPr="6B6C28E6">
              <w:rPr>
                <w:noProof/>
                <w:color w:val="006100"/>
                <w:sz w:val="18"/>
                <w:szCs w:val="18"/>
                <w:lang w:val="en-IE"/>
              </w:rPr>
              <w:t>508</w:t>
            </w:r>
            <w:r w:rsidRPr="472A1676">
              <w:rPr>
                <w:noProof/>
                <w:color w:val="006100"/>
                <w:sz w:val="18"/>
                <w:szCs w:val="18"/>
                <w:lang w:val="en-IE"/>
              </w:rPr>
              <w:t xml:space="preserve"> </w:t>
            </w:r>
            <w:r>
              <w:rPr>
                <w:noProof/>
                <w:color w:val="006100"/>
                <w:sz w:val="18"/>
                <w:szCs w:val="18"/>
                <w:lang w:val="en-IE"/>
              </w:rPr>
              <w:t>pre-school facilities</w:t>
            </w:r>
            <w:r w:rsidRPr="472A1676">
              <w:rPr>
                <w:noProof/>
                <w:color w:val="006100"/>
                <w:sz w:val="18"/>
                <w:szCs w:val="18"/>
                <w:lang w:val="en-IE"/>
              </w:rPr>
              <w:t xml:space="preserve"> shall be </w:t>
            </w:r>
            <w:r>
              <w:rPr>
                <w:noProof/>
                <w:color w:val="006100"/>
                <w:sz w:val="18"/>
                <w:szCs w:val="18"/>
                <w:lang w:val="en-IE"/>
              </w:rPr>
              <w:t>built</w:t>
            </w:r>
            <w:r w:rsidRPr="472A1676">
              <w:rPr>
                <w:noProof/>
                <w:color w:val="006100"/>
                <w:sz w:val="18"/>
                <w:szCs w:val="18"/>
                <w:lang w:val="en-IE"/>
              </w:rPr>
              <w:t xml:space="preserve"> or renovated.</w:t>
            </w:r>
            <w:r w:rsidRPr="472A1676">
              <w:rPr>
                <w:noProof/>
                <w:lang w:val="en-US"/>
              </w:rPr>
              <w:t xml:space="preserve"> </w:t>
            </w:r>
          </w:p>
          <w:p w:rsidRPr="00FE48E2" w:rsidR="00D87E44" w:rsidRDefault="00D87E44" w14:paraId="154583BC" w14:textId="77777777">
            <w:pPr>
              <w:pBdr>
                <w:top w:val="nil"/>
                <w:left w:val="nil"/>
                <w:bottom w:val="nil"/>
                <w:right w:val="nil"/>
                <w:between w:val="nil"/>
              </w:pBdr>
              <w:spacing w:after="0" w:line="259" w:lineRule="auto"/>
              <w:ind w:left="720"/>
              <w:rPr>
                <w:noProof/>
                <w:color w:val="006100"/>
                <w:sz w:val="18"/>
                <w:szCs w:val="18"/>
                <w:lang w:val="en-IE"/>
              </w:rPr>
            </w:pPr>
          </w:p>
          <w:p w:rsidRPr="00A35A62" w:rsidR="00D87E44" w:rsidRDefault="00D87E44" w14:paraId="154583BD" w14:textId="77777777">
            <w:pPr>
              <w:spacing w:after="0" w:line="240" w:lineRule="auto"/>
              <w:rPr>
                <w:noProof/>
                <w:sz w:val="18"/>
                <w:szCs w:val="18"/>
                <w:lang w:val="en-IE"/>
              </w:rPr>
            </w:pPr>
            <w:r w:rsidRPr="000F4DBF" w:rsidDel="00D670C9">
              <w:rPr>
                <w:noProof/>
                <w:color w:val="006100"/>
                <w:sz w:val="18"/>
                <w:szCs w:val="18"/>
                <w:lang w:val="en-IE"/>
              </w:rPr>
              <w:t>.</w:t>
            </w:r>
          </w:p>
        </w:tc>
      </w:tr>
      <w:tr w:rsidRPr="00FE48E2" w:rsidR="00E3458A" w:rsidTr="4A45BCA2" w14:paraId="154583CC" w14:textId="77777777">
        <w:trPr>
          <w:trHeight w:val="300"/>
          <w:jc w:val="center"/>
        </w:trPr>
        <w:tc>
          <w:tcPr>
            <w:tcW w:w="710" w:type="dxa"/>
            <w:shd w:val="clear" w:color="auto" w:fill="C6EFCE"/>
          </w:tcPr>
          <w:p w:rsidRPr="003050DB" w:rsidR="00D87E44" w:rsidRDefault="00D87E44" w14:paraId="154583B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192</w:t>
            </w:r>
          </w:p>
        </w:tc>
        <w:tc>
          <w:tcPr>
            <w:tcW w:w="1703" w:type="dxa"/>
            <w:shd w:val="clear" w:color="auto" w:fill="C6EFCE"/>
          </w:tcPr>
          <w:p w:rsidRPr="003050DB" w:rsidR="00D87E44" w:rsidRDefault="00D87E44" w14:paraId="154583C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Reform 2: Ensuring sustainability of financing of childcare facilities </w:t>
            </w:r>
          </w:p>
        </w:tc>
        <w:tc>
          <w:tcPr>
            <w:tcW w:w="1077" w:type="dxa"/>
            <w:shd w:val="clear" w:color="auto" w:fill="C6EFCE"/>
          </w:tcPr>
          <w:p w:rsidRPr="003050DB" w:rsidR="00D87E44" w:rsidRDefault="00D87E44" w14:paraId="154583C1"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Milestone </w:t>
            </w:r>
          </w:p>
        </w:tc>
        <w:tc>
          <w:tcPr>
            <w:tcW w:w="1701" w:type="dxa"/>
            <w:shd w:val="clear" w:color="auto" w:fill="C6EFCE"/>
          </w:tcPr>
          <w:p w:rsidRPr="003050DB" w:rsidR="00D87E44" w:rsidRDefault="00D87E44" w14:paraId="154583C2"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Entry into force of the law on childcare (amendment to Act No 247/2014 on the provision of childcare services in a child group) </w:t>
            </w:r>
          </w:p>
        </w:tc>
        <w:tc>
          <w:tcPr>
            <w:tcW w:w="1276" w:type="dxa"/>
            <w:shd w:val="clear" w:color="auto" w:fill="C6EFCE"/>
          </w:tcPr>
          <w:p w:rsidRPr="003050DB" w:rsidR="00D87E44" w:rsidRDefault="00D87E44" w14:paraId="154583C3"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Provision in the law on childcare (amendment to Act No 247/2014 on the provision of childcare services in a child group) indicating the entry into force of the law</w:t>
            </w:r>
          </w:p>
        </w:tc>
        <w:tc>
          <w:tcPr>
            <w:tcW w:w="1077" w:type="dxa"/>
            <w:shd w:val="clear" w:color="auto" w:fill="C6EFCE"/>
          </w:tcPr>
          <w:p w:rsidRPr="003050DB" w:rsidR="00D87E44" w:rsidRDefault="00D87E44" w14:paraId="154583C4"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C5"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C6"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C7"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  Q4</w:t>
            </w:r>
          </w:p>
        </w:tc>
        <w:tc>
          <w:tcPr>
            <w:tcW w:w="1500" w:type="dxa"/>
            <w:shd w:val="clear" w:color="auto" w:fill="C6EFCE"/>
          </w:tcPr>
          <w:p w:rsidRPr="003050DB" w:rsidR="00D87E44" w:rsidRDefault="00D87E44" w14:paraId="154583C8"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2023</w:t>
            </w:r>
          </w:p>
        </w:tc>
        <w:tc>
          <w:tcPr>
            <w:tcW w:w="3853" w:type="dxa"/>
            <w:shd w:val="clear" w:color="auto" w:fill="C6EFCE"/>
          </w:tcPr>
          <w:p w:rsidRPr="003050DB" w:rsidR="00D87E44" w:rsidRDefault="00D87E44" w14:paraId="154583C9"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The law on pre-school childcare (amendment to Act No 247/2014 on the provision of childcare services in a child group) shall </w:t>
            </w:r>
          </w:p>
          <w:p w:rsidRPr="003050DB" w:rsidR="00D87E44" w:rsidP="00D226F4" w:rsidRDefault="00D87E44" w14:paraId="154583CA" w14:textId="77777777">
            <w:pPr>
              <w:numPr>
                <w:ilvl w:val="0"/>
                <w:numId w:val="61"/>
              </w:numPr>
              <w:pBdr>
                <w:top w:val="nil"/>
                <w:left w:val="nil"/>
                <w:bottom w:val="nil"/>
                <w:right w:val="nil"/>
                <w:between w:val="nil"/>
              </w:pBdr>
              <w:spacing w:before="0" w:after="0" w:line="259"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ensure stable financing of pre-school facilities for children below three years of age </w:t>
            </w:r>
          </w:p>
          <w:p w:rsidRPr="003050DB" w:rsidR="00D87E44" w:rsidP="00D226F4" w:rsidRDefault="00D87E44" w14:paraId="154583CB" w14:textId="77777777">
            <w:pPr>
              <w:numPr>
                <w:ilvl w:val="0"/>
                <w:numId w:val="61"/>
              </w:numPr>
              <w:spacing w:before="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aim at ensuring access to affordable childcare for children below three years of age in all regions.</w:t>
            </w:r>
          </w:p>
        </w:tc>
      </w:tr>
      <w:tr w:rsidRPr="00FE48E2" w:rsidR="00E3458A" w:rsidTr="4A45BCA2" w14:paraId="154583DF" w14:textId="77777777">
        <w:trPr>
          <w:trHeight w:val="300"/>
          <w:jc w:val="center"/>
        </w:trPr>
        <w:tc>
          <w:tcPr>
            <w:tcW w:w="710" w:type="dxa"/>
            <w:shd w:val="clear" w:color="auto" w:fill="C6EFCE"/>
          </w:tcPr>
          <w:p w:rsidRPr="003050DB" w:rsidR="00D87E44" w:rsidRDefault="00D87E44" w14:paraId="154583CD"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193</w:t>
            </w:r>
          </w:p>
        </w:tc>
        <w:tc>
          <w:tcPr>
            <w:tcW w:w="1703" w:type="dxa"/>
            <w:shd w:val="clear" w:color="auto" w:fill="C6EFCE"/>
          </w:tcPr>
          <w:p w:rsidRPr="003050DB" w:rsidR="00D87E44" w:rsidRDefault="00D87E44" w14:paraId="154583C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Reform 3: Reform of long-term care</w:t>
            </w:r>
          </w:p>
        </w:tc>
        <w:tc>
          <w:tcPr>
            <w:tcW w:w="1077" w:type="dxa"/>
            <w:shd w:val="clear" w:color="auto" w:fill="C6EFCE"/>
          </w:tcPr>
          <w:p w:rsidRPr="003050DB" w:rsidR="00D87E44" w:rsidRDefault="00D87E44" w14:paraId="154583C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Milestone </w:t>
            </w:r>
          </w:p>
        </w:tc>
        <w:tc>
          <w:tcPr>
            <w:tcW w:w="1701" w:type="dxa"/>
            <w:shd w:val="clear" w:color="auto" w:fill="C6EFCE"/>
          </w:tcPr>
          <w:p w:rsidRPr="003050DB" w:rsidR="00D87E44" w:rsidRDefault="00D87E44" w14:paraId="154583D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Entry into force of the law on long-term care</w:t>
            </w:r>
          </w:p>
        </w:tc>
        <w:tc>
          <w:tcPr>
            <w:tcW w:w="1276" w:type="dxa"/>
            <w:shd w:val="clear" w:color="auto" w:fill="C6EFCE"/>
          </w:tcPr>
          <w:p w:rsidRPr="003050DB" w:rsidR="00D87E44" w:rsidRDefault="00D87E44" w14:paraId="154583D1"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Provision in the law on long-term care indicating the entry into force of the law</w:t>
            </w:r>
          </w:p>
        </w:tc>
        <w:tc>
          <w:tcPr>
            <w:tcW w:w="1077" w:type="dxa"/>
            <w:shd w:val="clear" w:color="auto" w:fill="C6EFCE"/>
          </w:tcPr>
          <w:p w:rsidRPr="003050DB" w:rsidR="00D87E44" w:rsidRDefault="00D87E44" w14:paraId="154583D2"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D3"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D4"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D5"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 Q4</w:t>
            </w:r>
          </w:p>
        </w:tc>
        <w:tc>
          <w:tcPr>
            <w:tcW w:w="1500" w:type="dxa"/>
            <w:shd w:val="clear" w:color="auto" w:fill="C6EFCE"/>
          </w:tcPr>
          <w:p w:rsidRPr="003050DB" w:rsidR="00D87E44" w:rsidRDefault="00D87E44" w14:paraId="154583D6"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2023</w:t>
            </w:r>
          </w:p>
        </w:tc>
        <w:tc>
          <w:tcPr>
            <w:tcW w:w="3853" w:type="dxa"/>
            <w:shd w:val="clear" w:color="auto" w:fill="C6EFCE"/>
          </w:tcPr>
          <w:p w:rsidRPr="003050DB" w:rsidR="00D87E44" w:rsidRDefault="00D87E44" w14:paraId="154583D7" w14:textId="77777777">
            <w:pPr>
              <w:spacing w:before="0" w:after="0" w:line="240" w:lineRule="auto"/>
              <w:rPr>
                <w:noProof/>
                <w:color w:val="006100"/>
                <w:sz w:val="18"/>
                <w:szCs w:val="18"/>
                <w:lang w:val="en-IE"/>
              </w:rPr>
            </w:pPr>
            <w:r w:rsidRPr="003050DB">
              <w:rPr>
                <w:noProof/>
                <w:color w:val="006100"/>
                <w:sz w:val="18"/>
                <w:szCs w:val="18"/>
                <w:lang w:val="en-IE"/>
              </w:rPr>
              <w:t xml:space="preserve">The law on long-term care shall </w:t>
            </w:r>
          </w:p>
          <w:p w:rsidRPr="003050DB" w:rsidR="00D87E44" w:rsidP="00D226F4" w:rsidRDefault="00D87E44" w14:paraId="154583D8" w14:textId="77777777">
            <w:pPr>
              <w:numPr>
                <w:ilvl w:val="0"/>
                <w:numId w:val="62"/>
              </w:numPr>
              <w:pBdr>
                <w:top w:val="nil"/>
                <w:left w:val="nil"/>
                <w:bottom w:val="nil"/>
                <w:right w:val="nil"/>
                <w:between w:val="nil"/>
              </w:pBdr>
              <w:spacing w:after="0" w:line="259" w:lineRule="auto"/>
              <w:rPr>
                <w:noProof/>
                <w:color w:val="006100"/>
                <w:sz w:val="18"/>
                <w:szCs w:val="18"/>
                <w:lang w:val="en-IE"/>
              </w:rPr>
            </w:pPr>
            <w:r w:rsidRPr="003050DB">
              <w:rPr>
                <w:noProof/>
                <w:color w:val="006100"/>
                <w:sz w:val="18"/>
                <w:szCs w:val="18"/>
                <w:lang w:val="en-IE"/>
              </w:rPr>
              <w:t xml:space="preserve">aim at integrating health and social long-term care; </w:t>
            </w:r>
          </w:p>
          <w:p w:rsidRPr="003050DB" w:rsidR="00D87E44" w:rsidP="00D226F4" w:rsidRDefault="00D87E44" w14:paraId="154583D9" w14:textId="77777777">
            <w:pPr>
              <w:numPr>
                <w:ilvl w:val="0"/>
                <w:numId w:val="62"/>
              </w:numPr>
              <w:pBdr>
                <w:top w:val="nil"/>
                <w:left w:val="nil"/>
                <w:bottom w:val="nil"/>
                <w:right w:val="nil"/>
                <w:between w:val="nil"/>
              </w:pBdr>
              <w:spacing w:after="0" w:line="259" w:lineRule="auto"/>
              <w:rPr>
                <w:noProof/>
                <w:color w:val="006100"/>
                <w:sz w:val="18"/>
                <w:szCs w:val="18"/>
                <w:lang w:val="en-IE"/>
              </w:rPr>
            </w:pPr>
            <w:r w:rsidRPr="003050DB">
              <w:rPr>
                <w:noProof/>
                <w:color w:val="006100"/>
                <w:sz w:val="18"/>
                <w:szCs w:val="18"/>
                <w:lang w:val="en-IE"/>
              </w:rPr>
              <w:t>ensure high quality standards for all types of long-term care services;</w:t>
            </w:r>
          </w:p>
          <w:p w:rsidRPr="003050DB" w:rsidR="00D87E44" w:rsidP="00D226F4" w:rsidRDefault="00D87E44" w14:paraId="154583DA" w14:textId="77777777">
            <w:pPr>
              <w:numPr>
                <w:ilvl w:val="0"/>
                <w:numId w:val="62"/>
              </w:numPr>
              <w:pBdr>
                <w:top w:val="nil"/>
                <w:left w:val="nil"/>
                <w:bottom w:val="nil"/>
                <w:right w:val="nil"/>
                <w:between w:val="nil"/>
              </w:pBdr>
              <w:spacing w:after="0" w:line="259" w:lineRule="auto"/>
              <w:rPr>
                <w:noProof/>
                <w:color w:val="006100"/>
                <w:sz w:val="18"/>
                <w:szCs w:val="18"/>
                <w:lang w:val="en-IE"/>
              </w:rPr>
            </w:pPr>
            <w:r w:rsidRPr="003050DB">
              <w:rPr>
                <w:noProof/>
                <w:color w:val="006100"/>
                <w:sz w:val="18"/>
                <w:szCs w:val="18"/>
                <w:lang w:val="en-IE"/>
              </w:rPr>
              <w:t>promote community-based care and home care ensuring independent living in natural environment ;</w:t>
            </w:r>
          </w:p>
          <w:p w:rsidRPr="003050DB" w:rsidR="00D87E44" w:rsidP="00D226F4" w:rsidRDefault="00D87E44" w14:paraId="154583DB" w14:textId="77777777">
            <w:pPr>
              <w:numPr>
                <w:ilvl w:val="0"/>
                <w:numId w:val="62"/>
              </w:numPr>
              <w:pBdr>
                <w:top w:val="nil"/>
                <w:left w:val="nil"/>
                <w:bottom w:val="nil"/>
                <w:right w:val="nil"/>
                <w:between w:val="nil"/>
              </w:pBdr>
              <w:spacing w:after="0" w:line="259" w:lineRule="auto"/>
              <w:rPr>
                <w:noProof/>
                <w:color w:val="006100"/>
                <w:sz w:val="18"/>
                <w:szCs w:val="18"/>
                <w:lang w:val="en-IE"/>
              </w:rPr>
            </w:pPr>
            <w:r w:rsidRPr="003050DB">
              <w:rPr>
                <w:noProof/>
                <w:color w:val="006100"/>
                <w:sz w:val="18"/>
                <w:szCs w:val="18"/>
                <w:lang w:val="en-IE"/>
              </w:rPr>
              <w:t>ensure a stable system of adequate financing of the long-term care services, including for community-based and home care;</w:t>
            </w:r>
          </w:p>
          <w:p w:rsidRPr="003050DB" w:rsidR="00D87E44" w:rsidP="00D226F4" w:rsidRDefault="00D87E44" w14:paraId="154583DC" w14:textId="77777777">
            <w:pPr>
              <w:numPr>
                <w:ilvl w:val="0"/>
                <w:numId w:val="62"/>
              </w:numPr>
              <w:pBdr>
                <w:top w:val="nil"/>
                <w:left w:val="nil"/>
                <w:bottom w:val="nil"/>
                <w:right w:val="nil"/>
                <w:between w:val="nil"/>
              </w:pBdr>
              <w:spacing w:after="0" w:line="259" w:lineRule="auto"/>
              <w:rPr>
                <w:i/>
                <w:noProof/>
                <w:color w:val="006100"/>
                <w:sz w:val="18"/>
                <w:szCs w:val="18"/>
                <w:lang w:val="en-IE" w:eastAsia="cs-CZ"/>
              </w:rPr>
            </w:pPr>
            <w:bookmarkStart w:name="_Hlk210645989" w:id="14"/>
            <w:r w:rsidRPr="003050DB">
              <w:rPr>
                <w:noProof/>
                <w:color w:val="006100"/>
                <w:sz w:val="18"/>
                <w:szCs w:val="18"/>
                <w:lang w:val="en-IE"/>
              </w:rPr>
              <w:t>define rules on monitoring of quality of care, requirements for the staff (including qualifications) and equipment;</w:t>
            </w:r>
          </w:p>
          <w:bookmarkEnd w:id="14"/>
          <w:p w:rsidRPr="003050DB" w:rsidR="00D87E44" w:rsidP="00D226F4" w:rsidRDefault="00D87E44" w14:paraId="154583DD" w14:textId="77777777">
            <w:pPr>
              <w:numPr>
                <w:ilvl w:val="0"/>
                <w:numId w:val="62"/>
              </w:numPr>
              <w:pBdr>
                <w:top w:val="nil"/>
                <w:left w:val="nil"/>
                <w:bottom w:val="nil"/>
                <w:right w:val="nil"/>
                <w:between w:val="nil"/>
              </w:pBdr>
              <w:spacing w:after="0" w:line="259" w:lineRule="auto"/>
              <w:rPr>
                <w:i/>
                <w:iCs/>
                <w:noProof/>
                <w:color w:val="006100"/>
                <w:sz w:val="18"/>
                <w:szCs w:val="18"/>
                <w:lang w:val="en-IE" w:eastAsia="cs-CZ"/>
              </w:rPr>
            </w:pPr>
            <w:r w:rsidRPr="003050DB">
              <w:rPr>
                <w:noProof/>
                <w:color w:val="006100"/>
                <w:sz w:val="18"/>
                <w:szCs w:val="18"/>
                <w:lang w:val="en-IE"/>
              </w:rPr>
              <w:lastRenderedPageBreak/>
              <w:t>allow for access of private LTC providers while applying the same rules and quality standards to all providers.</w:t>
            </w:r>
          </w:p>
          <w:p w:rsidRPr="003050DB" w:rsidR="00D87E44" w:rsidRDefault="00D87E44" w14:paraId="154583DE" w14:textId="77777777">
            <w:pPr>
              <w:pBdr>
                <w:top w:val="nil"/>
                <w:left w:val="nil"/>
                <w:bottom w:val="nil"/>
                <w:right w:val="nil"/>
                <w:between w:val="nil"/>
              </w:pBdr>
              <w:spacing w:after="0" w:line="259" w:lineRule="auto"/>
              <w:rPr>
                <w:iCs/>
                <w:noProof/>
                <w:color w:val="006100"/>
                <w:sz w:val="18"/>
                <w:szCs w:val="18"/>
                <w:lang w:val="en-IE" w:eastAsia="cs-CZ"/>
              </w:rPr>
            </w:pPr>
            <w:r w:rsidRPr="003050DB">
              <w:rPr>
                <w:iCs/>
                <w:noProof/>
                <w:color w:val="006100"/>
                <w:sz w:val="18"/>
                <w:szCs w:val="18"/>
                <w:lang w:val="en-IE" w:eastAsia="cs-CZ"/>
              </w:rPr>
              <w:t>A transitional period may apply, based on appropriate justifications. This transitional period shall start with the publication of the act in the Official Journal and shall be linked to technical or technological constraints.</w:t>
            </w:r>
          </w:p>
        </w:tc>
      </w:tr>
      <w:tr w:rsidRPr="00FE48E2" w:rsidR="00E3458A" w:rsidTr="4A45BCA2" w14:paraId="154583EF" w14:textId="77777777">
        <w:trPr>
          <w:trHeight w:val="300"/>
          <w:jc w:val="center"/>
        </w:trPr>
        <w:tc>
          <w:tcPr>
            <w:tcW w:w="710" w:type="dxa"/>
            <w:shd w:val="clear" w:color="auto" w:fill="C6EFCE"/>
          </w:tcPr>
          <w:p w:rsidRPr="003050DB" w:rsidR="00D87E44" w:rsidRDefault="00D87E44" w14:paraId="154583E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lastRenderedPageBreak/>
              <w:t>273</w:t>
            </w:r>
          </w:p>
        </w:tc>
        <w:tc>
          <w:tcPr>
            <w:tcW w:w="1703" w:type="dxa"/>
            <w:shd w:val="clear" w:color="auto" w:fill="C6EFCE"/>
          </w:tcPr>
          <w:p w:rsidRPr="003050DB" w:rsidR="00D87E44" w:rsidRDefault="00D87E44" w14:paraId="154583E1"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Investment 3: Development and modernisation of social care infrastructure</w:t>
            </w:r>
          </w:p>
        </w:tc>
        <w:tc>
          <w:tcPr>
            <w:tcW w:w="1077" w:type="dxa"/>
            <w:shd w:val="clear" w:color="auto" w:fill="C6EFCE"/>
          </w:tcPr>
          <w:p w:rsidRPr="003050DB" w:rsidR="00D87E44" w:rsidRDefault="00D87E44" w14:paraId="154583E2"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Milestone</w:t>
            </w:r>
          </w:p>
        </w:tc>
        <w:tc>
          <w:tcPr>
            <w:tcW w:w="1701" w:type="dxa"/>
            <w:shd w:val="clear" w:color="auto" w:fill="C6EFCE"/>
          </w:tcPr>
          <w:p w:rsidRPr="003050DB" w:rsidR="00D87E44" w:rsidRDefault="00D87E44" w14:paraId="154583E3"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Amendment of Social Services Act concerning complaints</w:t>
            </w:r>
          </w:p>
        </w:tc>
        <w:tc>
          <w:tcPr>
            <w:tcW w:w="1276" w:type="dxa"/>
            <w:shd w:val="clear" w:color="auto" w:fill="C6EFCE"/>
          </w:tcPr>
          <w:p w:rsidRPr="003050DB" w:rsidR="00D87E44" w:rsidRDefault="00D87E44" w14:paraId="154583E4"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Amended Social Services Act </w:t>
            </w:r>
          </w:p>
        </w:tc>
        <w:tc>
          <w:tcPr>
            <w:tcW w:w="1077" w:type="dxa"/>
            <w:shd w:val="clear" w:color="auto" w:fill="C6EFCE"/>
          </w:tcPr>
          <w:p w:rsidRPr="003050DB" w:rsidR="00D87E44" w:rsidRDefault="00D87E44" w14:paraId="154583E5"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3E6"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3E7"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3E8"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Q4</w:t>
            </w:r>
          </w:p>
        </w:tc>
        <w:tc>
          <w:tcPr>
            <w:tcW w:w="1500" w:type="dxa"/>
            <w:shd w:val="clear" w:color="auto" w:fill="C6EFCE"/>
          </w:tcPr>
          <w:p w:rsidRPr="003050DB" w:rsidR="00D87E44" w:rsidRDefault="00D87E44" w14:paraId="154583E9"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2024</w:t>
            </w:r>
          </w:p>
        </w:tc>
        <w:tc>
          <w:tcPr>
            <w:tcW w:w="3853" w:type="dxa"/>
            <w:shd w:val="clear" w:color="auto" w:fill="C6EFCE"/>
          </w:tcPr>
          <w:p w:rsidRPr="003050DB" w:rsidR="00D87E44" w:rsidRDefault="00D87E44" w14:paraId="154583EA" w14:textId="77777777">
            <w:pPr>
              <w:spacing w:before="0" w:after="0" w:line="240" w:lineRule="auto"/>
              <w:rPr>
                <w:rFonts w:eastAsia="Times New Roman"/>
                <w:noProof/>
                <w:color w:val="006100"/>
                <w:sz w:val="18"/>
                <w:szCs w:val="18"/>
                <w:lang w:val="en-IE"/>
              </w:rPr>
            </w:pPr>
            <w:r w:rsidRPr="003050DB">
              <w:rPr>
                <w:noProof/>
                <w:color w:val="006100"/>
                <w:sz w:val="18"/>
                <w:szCs w:val="18"/>
                <w:lang w:val="en-IE"/>
              </w:rPr>
              <w:t>The Social Services Act shall be amended, the amendment shall enter into forceand establish a social service complaint mechanism ensuring at least that:</w:t>
            </w:r>
          </w:p>
          <w:p w:rsidRPr="003050DB" w:rsidR="00D87E44" w:rsidP="00FF1320" w:rsidRDefault="00D87E44" w14:paraId="154583EB" w14:textId="77777777">
            <w:pPr>
              <w:pStyle w:val="ListParagraph"/>
              <w:numPr>
                <w:ilvl w:val="0"/>
                <w:numId w:val="63"/>
              </w:numPr>
              <w:spacing w:after="160" w:line="240" w:lineRule="auto"/>
              <w:rPr>
                <w:noProof/>
                <w:color w:val="006100"/>
                <w:sz w:val="18"/>
                <w:szCs w:val="18"/>
                <w:lang w:val="en-IE"/>
              </w:rPr>
            </w:pPr>
            <w:r w:rsidRPr="00E3458A">
              <w:rPr>
                <w:color w:val="006100"/>
                <w:sz w:val="18"/>
                <w:lang w:val="en-IE"/>
              </w:rPr>
              <w:t>Clients, client’s legal guardians and family members have the right to submit complaints concerning social services to their provider.</w:t>
            </w:r>
          </w:p>
          <w:p w:rsidRPr="00E3458A" w:rsidR="00D87E44" w:rsidP="00FF1320" w:rsidRDefault="00D87E44" w14:paraId="154583EC" w14:textId="77777777">
            <w:pPr>
              <w:pStyle w:val="ListParagraph"/>
              <w:numPr>
                <w:ilvl w:val="0"/>
                <w:numId w:val="63"/>
              </w:numPr>
              <w:spacing w:after="160" w:line="240" w:lineRule="auto"/>
              <w:rPr>
                <w:color w:val="006100"/>
                <w:sz w:val="18"/>
                <w:lang w:val="en-IE"/>
              </w:rPr>
            </w:pPr>
            <w:r w:rsidRPr="00E3458A">
              <w:rPr>
                <w:color w:val="006100"/>
                <w:sz w:val="18"/>
                <w:lang w:val="en-IE"/>
              </w:rPr>
              <w:t>Complainants have the right to be informed how the complaint was resolved.</w:t>
            </w:r>
          </w:p>
          <w:p w:rsidRPr="00E3458A" w:rsidR="00D87E44" w:rsidP="00FF1320" w:rsidRDefault="00D87E44" w14:paraId="154583ED" w14:textId="77777777">
            <w:pPr>
              <w:pStyle w:val="ListParagraph"/>
              <w:numPr>
                <w:ilvl w:val="0"/>
                <w:numId w:val="63"/>
              </w:numPr>
              <w:spacing w:after="160" w:line="240" w:lineRule="auto"/>
              <w:rPr>
                <w:color w:val="006100"/>
                <w:sz w:val="18"/>
                <w:lang w:val="en-IE"/>
              </w:rPr>
            </w:pPr>
            <w:r w:rsidRPr="00E3458A">
              <w:rPr>
                <w:color w:val="006100"/>
                <w:sz w:val="18"/>
                <w:lang w:val="en-IE"/>
              </w:rPr>
              <w:t>Complainants have the right to appeal to a body independent of the service provider; and the body shall consider the appeals on both merit and process.</w:t>
            </w:r>
          </w:p>
          <w:p w:rsidRPr="00E3458A" w:rsidR="00D87E44" w:rsidP="00FF1320" w:rsidRDefault="00D87E44" w14:paraId="154583EE" w14:textId="77777777">
            <w:pPr>
              <w:pStyle w:val="ListParagraph"/>
              <w:numPr>
                <w:ilvl w:val="0"/>
                <w:numId w:val="63"/>
              </w:numPr>
              <w:spacing w:after="160" w:line="240" w:lineRule="auto"/>
              <w:rPr>
                <w:color w:val="006100"/>
                <w:sz w:val="18"/>
                <w:lang w:val="en-IE"/>
              </w:rPr>
            </w:pPr>
            <w:r w:rsidRPr="00E3458A">
              <w:rPr>
                <w:color w:val="006100"/>
                <w:sz w:val="18"/>
                <w:lang w:val="en-IE"/>
              </w:rPr>
              <w:t xml:space="preserve">Service providers as well as the relevant appeal body or bodies shall keep a record of the complaints received. </w:t>
            </w:r>
          </w:p>
        </w:tc>
      </w:tr>
      <w:tr w:rsidRPr="00FE48E2" w:rsidR="00E3458A" w:rsidTr="4A45BCA2" w14:paraId="154583FD" w14:textId="77777777">
        <w:trPr>
          <w:trHeight w:val="300"/>
          <w:jc w:val="center"/>
        </w:trPr>
        <w:tc>
          <w:tcPr>
            <w:tcW w:w="710" w:type="dxa"/>
            <w:shd w:val="clear" w:color="auto" w:fill="C6EFCE"/>
          </w:tcPr>
          <w:p w:rsidRPr="00EF5287" w:rsidR="00D87E44" w:rsidRDefault="00D87E44" w14:paraId="154583F0"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195</w:t>
            </w:r>
          </w:p>
        </w:tc>
        <w:tc>
          <w:tcPr>
            <w:tcW w:w="1703" w:type="dxa"/>
            <w:shd w:val="clear" w:color="auto" w:fill="C6EFCE"/>
          </w:tcPr>
          <w:p w:rsidRPr="00EF5287" w:rsidR="00D87E44" w:rsidRDefault="00D87E44" w14:paraId="154583F1"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Investment 3: </w:t>
            </w:r>
            <w:r w:rsidRPr="00EF5287">
              <w:rPr>
                <w:rFonts w:eastAsia="Times New Roman"/>
                <w:noProof/>
                <w:color w:val="004300"/>
                <w:sz w:val="18"/>
                <w:szCs w:val="18"/>
                <w:lang w:val="en-IE" w:eastAsia="en-GB"/>
              </w:rPr>
              <w:t>Development and modernisation of social care infrastructure</w:t>
            </w:r>
          </w:p>
        </w:tc>
        <w:tc>
          <w:tcPr>
            <w:tcW w:w="1077" w:type="dxa"/>
            <w:shd w:val="clear" w:color="auto" w:fill="C6EFCE"/>
          </w:tcPr>
          <w:p w:rsidRPr="00EF5287" w:rsidR="00D87E44" w:rsidRDefault="00D87E44" w14:paraId="154583F2"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Target</w:t>
            </w:r>
          </w:p>
        </w:tc>
        <w:tc>
          <w:tcPr>
            <w:tcW w:w="1701" w:type="dxa"/>
            <w:shd w:val="clear" w:color="auto" w:fill="C6EFCE"/>
          </w:tcPr>
          <w:p w:rsidRPr="00EF5287" w:rsidR="00D87E44" w:rsidRDefault="00D87E44" w14:paraId="154583F3"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Number of community-based residential, outpatient, outreach, prevention and counselling facilities constructed or re</w:t>
            </w:r>
            <w:r>
              <w:rPr>
                <w:rFonts w:eastAsia="Times New Roman"/>
                <w:noProof/>
                <w:color w:val="004300"/>
                <w:sz w:val="18"/>
                <w:szCs w:val="18"/>
                <w:lang w:val="en-IE" w:eastAsia="en-GB"/>
              </w:rPr>
              <w:t>novated</w:t>
            </w:r>
          </w:p>
        </w:tc>
        <w:tc>
          <w:tcPr>
            <w:tcW w:w="1276" w:type="dxa"/>
            <w:shd w:val="clear" w:color="auto" w:fill="C6EFCE"/>
          </w:tcPr>
          <w:p w:rsidRPr="00EF5287" w:rsidR="00D87E44" w:rsidRDefault="00D87E44" w14:paraId="154583F4"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EF5287" w:rsidR="00D87E44" w:rsidRDefault="00D87E44" w14:paraId="154583F5"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Number of facilities</w:t>
            </w:r>
          </w:p>
        </w:tc>
        <w:tc>
          <w:tcPr>
            <w:tcW w:w="1077" w:type="dxa"/>
            <w:shd w:val="clear" w:color="auto" w:fill="C6EFCE"/>
          </w:tcPr>
          <w:p w:rsidRPr="00EF5287" w:rsidR="00D87E44" w:rsidRDefault="00D87E44" w14:paraId="154583F6" w14:textId="77777777">
            <w:pPr>
              <w:spacing w:before="0" w:after="0" w:line="240" w:lineRule="auto"/>
              <w:rPr>
                <w:rFonts w:eastAsia="Times New Roman"/>
                <w:noProof/>
                <w:color w:val="004300"/>
                <w:sz w:val="18"/>
                <w:szCs w:val="18"/>
                <w:lang w:val="en-IE" w:eastAsia="en-GB"/>
              </w:rPr>
            </w:pPr>
            <w:r>
              <w:rPr>
                <w:rFonts w:eastAsia="Times New Roman"/>
                <w:noProof/>
                <w:color w:val="004300"/>
                <w:sz w:val="18"/>
                <w:szCs w:val="18"/>
                <w:lang w:val="en-IE" w:eastAsia="en-GB"/>
              </w:rPr>
              <w:t xml:space="preserve"> 0</w:t>
            </w:r>
          </w:p>
        </w:tc>
        <w:tc>
          <w:tcPr>
            <w:tcW w:w="850" w:type="dxa"/>
            <w:shd w:val="clear" w:color="auto" w:fill="C6EFCE"/>
          </w:tcPr>
          <w:p w:rsidRPr="00EF5287" w:rsidR="00D87E44" w:rsidRDefault="00D87E44" w14:paraId="154583F7"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200</w:t>
            </w:r>
          </w:p>
        </w:tc>
        <w:tc>
          <w:tcPr>
            <w:tcW w:w="1134" w:type="dxa"/>
            <w:shd w:val="clear" w:color="auto" w:fill="C6EFCE"/>
          </w:tcPr>
          <w:p w:rsidRPr="00EF5287" w:rsidR="00D87E44" w:rsidRDefault="00D87E44" w14:paraId="154583F8"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 xml:space="preserve">  Q2</w:t>
            </w:r>
          </w:p>
        </w:tc>
        <w:tc>
          <w:tcPr>
            <w:tcW w:w="1500" w:type="dxa"/>
            <w:shd w:val="clear" w:color="auto" w:fill="C6EFCE"/>
          </w:tcPr>
          <w:p w:rsidRPr="00EF5287" w:rsidR="00D87E44" w:rsidRDefault="00D87E44" w14:paraId="154583F9" w14:textId="77777777">
            <w:pPr>
              <w:spacing w:before="0" w:after="0" w:line="240" w:lineRule="auto"/>
              <w:rPr>
                <w:rFonts w:eastAsia="Times New Roman"/>
                <w:noProof/>
                <w:color w:val="004300"/>
                <w:sz w:val="18"/>
                <w:szCs w:val="18"/>
                <w:lang w:val="en-IE" w:eastAsia="en-GB"/>
              </w:rPr>
            </w:pPr>
            <w:r w:rsidRPr="00EF5287">
              <w:rPr>
                <w:rFonts w:eastAsia="Times New Roman"/>
                <w:noProof/>
                <w:color w:val="004300"/>
                <w:sz w:val="18"/>
                <w:szCs w:val="18"/>
                <w:lang w:val="en-IE" w:eastAsia="en-GB"/>
              </w:rPr>
              <w:t>2026</w:t>
            </w:r>
          </w:p>
        </w:tc>
        <w:tc>
          <w:tcPr>
            <w:tcW w:w="3853" w:type="dxa"/>
            <w:shd w:val="clear" w:color="auto" w:fill="C6EFCE"/>
          </w:tcPr>
          <w:p w:rsidRPr="00FE48E2" w:rsidR="00D87E44" w:rsidRDefault="00D87E44" w14:paraId="154583FA" w14:textId="77777777">
            <w:pPr>
              <w:spacing w:before="0" w:after="0" w:line="240" w:lineRule="auto"/>
              <w:rPr>
                <w:noProof/>
                <w:color w:val="006100"/>
                <w:sz w:val="18"/>
                <w:szCs w:val="18"/>
                <w:lang w:val="en-IE"/>
              </w:rPr>
            </w:pPr>
            <w:r w:rsidRPr="57DC4355">
              <w:rPr>
                <w:noProof/>
                <w:color w:val="006100"/>
                <w:sz w:val="18"/>
                <w:szCs w:val="18"/>
                <w:lang w:val="en-IE"/>
              </w:rPr>
              <w:t xml:space="preserve">At </w:t>
            </w:r>
            <w:r w:rsidRPr="003050DB">
              <w:rPr>
                <w:noProof/>
                <w:color w:val="006100"/>
                <w:sz w:val="18"/>
                <w:szCs w:val="18"/>
                <w:lang w:val="en-IE"/>
              </w:rPr>
              <w:t>least 200</w:t>
            </w:r>
            <w:r w:rsidRPr="57DC4355">
              <w:rPr>
                <w:noProof/>
                <w:color w:val="006100"/>
                <w:sz w:val="18"/>
                <w:szCs w:val="18"/>
                <w:lang w:val="en-IE"/>
              </w:rPr>
              <w:t xml:space="preserve"> facilities shall be c</w:t>
            </w:r>
            <w:r w:rsidRPr="69BD1277">
              <w:rPr>
                <w:noProof/>
                <w:color w:val="006100"/>
                <w:sz w:val="18"/>
                <w:szCs w:val="18"/>
                <w:lang w:val="en-IE"/>
              </w:rPr>
              <w:t>onstructed</w:t>
            </w:r>
            <w:r>
              <w:rPr>
                <w:noProof/>
                <w:color w:val="006100"/>
                <w:sz w:val="18"/>
                <w:szCs w:val="18"/>
                <w:lang w:val="en-IE"/>
              </w:rPr>
              <w:t xml:space="preserve"> or renovated</w:t>
            </w:r>
            <w:r w:rsidRPr="57DC4355">
              <w:rPr>
                <w:noProof/>
                <w:color w:val="006100"/>
                <w:sz w:val="18"/>
                <w:szCs w:val="18"/>
                <w:lang w:val="en-IE"/>
              </w:rPr>
              <w:t>.</w:t>
            </w:r>
          </w:p>
          <w:p w:rsidRPr="00560B8D" w:rsidR="00D87E44" w:rsidRDefault="00D87E44" w14:paraId="154583FB" w14:textId="77777777">
            <w:pPr>
              <w:spacing w:after="0" w:line="252" w:lineRule="auto"/>
              <w:rPr>
                <w:rFonts w:eastAsia="Times New Roman"/>
                <w:noProof/>
                <w:sz w:val="18"/>
                <w:szCs w:val="18"/>
                <w:lang w:val="en-IE"/>
              </w:rPr>
            </w:pPr>
            <w:r w:rsidRPr="4A45BCA2">
              <w:rPr>
                <w:noProof/>
                <w:color w:val="006100"/>
                <w:sz w:val="18"/>
                <w:szCs w:val="18"/>
                <w:lang w:val="en-IE"/>
              </w:rPr>
              <w:t xml:space="preserve">An internal methodology for social services inspection shall be issued. </w:t>
            </w:r>
            <w:r w:rsidRPr="4A45BCA2">
              <w:rPr>
                <w:noProof/>
                <w:color w:val="006100"/>
                <w:sz w:val="18"/>
                <w:szCs w:val="18"/>
                <w:lang w:val="en-IE"/>
              </w:rPr>
              <w:t xml:space="preserve">The methodology shall prescribe the UN Convention on the Rights of Persons with Disabilities as one of the sources of requirements to be checked by inspectors. </w:t>
            </w:r>
          </w:p>
          <w:p w:rsidRPr="00B40D80" w:rsidR="00D87E44" w:rsidRDefault="00D87E44" w14:paraId="154583FC" w14:textId="77777777">
            <w:pPr>
              <w:spacing w:after="0" w:line="252" w:lineRule="auto"/>
              <w:rPr>
                <w:noProof/>
                <w:color w:val="006100"/>
                <w:sz w:val="18"/>
                <w:szCs w:val="18"/>
                <w:lang w:val="en-IE"/>
              </w:rPr>
            </w:pPr>
            <w:r w:rsidRPr="00B40D80">
              <w:rPr>
                <w:noProof/>
                <w:color w:val="006100"/>
                <w:sz w:val="18"/>
                <w:szCs w:val="18"/>
                <w:lang w:val="en-IE"/>
              </w:rPr>
              <w:lastRenderedPageBreak/>
              <w:t xml:space="preserve">Furthermore, social services provided in 30 </w:t>
            </w:r>
            <w:r w:rsidRPr="69BD1277">
              <w:rPr>
                <w:noProof/>
                <w:color w:val="006100"/>
                <w:sz w:val="18"/>
                <w:szCs w:val="18"/>
                <w:lang w:val="en-IE"/>
              </w:rPr>
              <w:t>pre-existing facilities</w:t>
            </w:r>
            <w:r w:rsidRPr="00B40D80">
              <w:rPr>
                <w:noProof/>
                <w:color w:val="006100"/>
                <w:sz w:val="18"/>
                <w:szCs w:val="18"/>
                <w:lang w:val="en-IE"/>
              </w:rPr>
              <w:t xml:space="preserve"> with a capacity of more than 25 persons shall be inspected</w:t>
            </w:r>
            <w:r w:rsidRPr="43066662">
              <w:rPr>
                <w:noProof/>
                <w:color w:val="006100"/>
                <w:sz w:val="18"/>
                <w:szCs w:val="18"/>
                <w:lang w:val="en-IE"/>
              </w:rPr>
              <w:t xml:space="preserve"> after the new inspection methodology shall be </w:t>
            </w:r>
            <w:r w:rsidRPr="7B20CC4F">
              <w:rPr>
                <w:noProof/>
                <w:color w:val="006100"/>
                <w:sz w:val="18"/>
                <w:szCs w:val="18"/>
                <w:lang w:val="en-IE"/>
              </w:rPr>
              <w:t>issued.</w:t>
            </w:r>
            <w:r w:rsidRPr="00B40D80">
              <w:rPr>
                <w:noProof/>
                <w:color w:val="006100"/>
                <w:sz w:val="18"/>
                <w:szCs w:val="18"/>
                <w:lang w:val="en-IE"/>
              </w:rPr>
              <w:t xml:space="preserve"> </w:t>
            </w:r>
          </w:p>
        </w:tc>
      </w:tr>
      <w:tr w:rsidRPr="00FE48E2" w:rsidR="00E3458A" w:rsidTr="4A45BCA2" w14:paraId="1545840B" w14:textId="77777777">
        <w:trPr>
          <w:trHeight w:val="300"/>
          <w:jc w:val="center"/>
        </w:trPr>
        <w:tc>
          <w:tcPr>
            <w:tcW w:w="710" w:type="dxa"/>
            <w:shd w:val="clear" w:color="auto" w:fill="C6EFCE"/>
          </w:tcPr>
          <w:p w:rsidRPr="003050DB" w:rsidR="00D87E44" w:rsidRDefault="00D87E44" w14:paraId="154583F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lastRenderedPageBreak/>
              <w:t>196</w:t>
            </w:r>
          </w:p>
        </w:tc>
        <w:tc>
          <w:tcPr>
            <w:tcW w:w="1703" w:type="dxa"/>
            <w:shd w:val="clear" w:color="auto" w:fill="C6EFCE"/>
          </w:tcPr>
          <w:p w:rsidRPr="003050DB" w:rsidR="00D87E44" w:rsidRDefault="00D87E44" w14:paraId="154583F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Investment 3: Development and modernisation of social care infrastructure</w:t>
            </w:r>
          </w:p>
        </w:tc>
        <w:tc>
          <w:tcPr>
            <w:tcW w:w="1077" w:type="dxa"/>
            <w:shd w:val="clear" w:color="auto" w:fill="C6EFCE"/>
          </w:tcPr>
          <w:p w:rsidRPr="003050DB" w:rsidR="00D87E44" w:rsidRDefault="00D87E44" w14:paraId="1545840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Target </w:t>
            </w:r>
          </w:p>
        </w:tc>
        <w:tc>
          <w:tcPr>
            <w:tcW w:w="1701" w:type="dxa"/>
            <w:shd w:val="clear" w:color="auto" w:fill="C6EFCE"/>
          </w:tcPr>
          <w:p w:rsidRPr="003050DB" w:rsidR="00D87E44" w:rsidRDefault="00D87E44" w14:paraId="15458401"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T1: Number of low-emission vehicles purchased for providers of social </w:t>
            </w:r>
            <w:r w:rsidRPr="003050DB">
              <w:rPr>
                <w:rFonts w:eastAsia="Times New Roman"/>
                <w:noProof/>
                <w:color w:val="004300"/>
                <w:sz w:val="18"/>
                <w:szCs w:val="18"/>
                <w:lang w:val="en-IE" w:eastAsia="en-GB"/>
              </w:rPr>
              <w:t>prevention, counselling</w:t>
            </w:r>
            <w:r w:rsidRPr="003050DB" w:rsidDel="00516D21">
              <w:rPr>
                <w:rFonts w:eastAsia="Times New Roman"/>
                <w:noProof/>
                <w:color w:val="004300"/>
                <w:sz w:val="18"/>
                <w:szCs w:val="18"/>
                <w:lang w:val="en-IE" w:eastAsia="en-GB"/>
              </w:rPr>
              <w:t xml:space="preserve"> </w:t>
            </w:r>
            <w:r w:rsidRPr="003050DB">
              <w:rPr>
                <w:rFonts w:eastAsia="Times New Roman"/>
                <w:noProof/>
                <w:color w:val="004300"/>
                <w:sz w:val="18"/>
                <w:szCs w:val="18"/>
                <w:lang w:val="en-IE" w:eastAsia="en-GB"/>
              </w:rPr>
              <w:t>or home-care services</w:t>
            </w:r>
          </w:p>
        </w:tc>
        <w:tc>
          <w:tcPr>
            <w:tcW w:w="1276" w:type="dxa"/>
            <w:shd w:val="clear" w:color="auto" w:fill="C6EFCE"/>
          </w:tcPr>
          <w:p w:rsidRPr="003050DB" w:rsidR="00D87E44" w:rsidRDefault="00D87E44" w14:paraId="15458402"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403"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Number </w:t>
            </w:r>
          </w:p>
        </w:tc>
        <w:tc>
          <w:tcPr>
            <w:tcW w:w="1077" w:type="dxa"/>
            <w:shd w:val="clear" w:color="auto" w:fill="C6EFCE"/>
          </w:tcPr>
          <w:p w:rsidRPr="003050DB" w:rsidR="00D87E44" w:rsidRDefault="00D87E44" w14:paraId="15458404"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0</w:t>
            </w:r>
          </w:p>
        </w:tc>
        <w:tc>
          <w:tcPr>
            <w:tcW w:w="850" w:type="dxa"/>
            <w:shd w:val="clear" w:color="auto" w:fill="C6EFCE"/>
          </w:tcPr>
          <w:p w:rsidRPr="003050DB" w:rsidR="00D87E44" w:rsidRDefault="00D87E44" w14:paraId="15458405"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251</w:t>
            </w:r>
          </w:p>
        </w:tc>
        <w:tc>
          <w:tcPr>
            <w:tcW w:w="1134" w:type="dxa"/>
            <w:shd w:val="clear" w:color="auto" w:fill="C6EFCE"/>
          </w:tcPr>
          <w:p w:rsidRPr="003050DB" w:rsidR="00D87E44" w:rsidRDefault="00D87E44" w14:paraId="15458406"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  Q4</w:t>
            </w:r>
          </w:p>
        </w:tc>
        <w:tc>
          <w:tcPr>
            <w:tcW w:w="1500" w:type="dxa"/>
            <w:shd w:val="clear" w:color="auto" w:fill="C6EFCE"/>
          </w:tcPr>
          <w:p w:rsidRPr="003050DB" w:rsidR="00D87E44" w:rsidRDefault="00D87E44" w14:paraId="15458407"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2024</w:t>
            </w:r>
          </w:p>
        </w:tc>
        <w:tc>
          <w:tcPr>
            <w:tcW w:w="3853" w:type="dxa"/>
            <w:shd w:val="clear" w:color="auto" w:fill="C6EFCE"/>
          </w:tcPr>
          <w:p w:rsidRPr="003050DB" w:rsidR="00D87E44" w:rsidRDefault="00D87E44" w14:paraId="15458408" w14:textId="77777777">
            <w:pPr>
              <w:spacing w:before="0" w:after="0" w:line="240" w:lineRule="auto"/>
              <w:rPr>
                <w:noProof/>
                <w:color w:val="006100"/>
                <w:sz w:val="18"/>
                <w:szCs w:val="18"/>
                <w:lang w:val="en-IE"/>
              </w:rPr>
            </w:pPr>
            <w:r w:rsidRPr="003050DB">
              <w:rPr>
                <w:noProof/>
                <w:color w:val="006100"/>
                <w:sz w:val="18"/>
                <w:szCs w:val="18"/>
                <w:lang w:val="en-IE"/>
              </w:rPr>
              <w:t xml:space="preserve">At least 251 low-emission vehicles shall be purchased, of which: </w:t>
            </w:r>
          </w:p>
          <w:p w:rsidRPr="003050DB" w:rsidR="00D87E44" w:rsidP="00D226F4" w:rsidRDefault="00D87E44" w14:paraId="15458409" w14:textId="77777777">
            <w:pPr>
              <w:numPr>
                <w:ilvl w:val="0"/>
                <w:numId w:val="64"/>
              </w:numPr>
              <w:pBdr>
                <w:top w:val="nil"/>
                <w:left w:val="nil"/>
                <w:bottom w:val="nil"/>
                <w:right w:val="nil"/>
                <w:between w:val="nil"/>
              </w:pBdr>
              <w:spacing w:after="0" w:line="259" w:lineRule="auto"/>
              <w:rPr>
                <w:noProof/>
                <w:color w:val="006100"/>
                <w:sz w:val="18"/>
                <w:szCs w:val="18"/>
                <w:lang w:val="en-IE" w:eastAsia="cs-CZ"/>
              </w:rPr>
            </w:pPr>
            <w:r w:rsidRPr="003050DB">
              <w:rPr>
                <w:noProof/>
                <w:color w:val="006100"/>
                <w:sz w:val="18"/>
                <w:szCs w:val="18"/>
                <w:lang w:val="en-IE"/>
              </w:rPr>
              <w:t xml:space="preserve">at least 100 battery-electric cars </w:t>
            </w:r>
          </w:p>
          <w:p w:rsidRPr="003050DB" w:rsidR="00D87E44" w:rsidP="00D226F4" w:rsidRDefault="00D87E44" w14:paraId="1545840A" w14:textId="77777777">
            <w:pPr>
              <w:numPr>
                <w:ilvl w:val="0"/>
                <w:numId w:val="64"/>
              </w:numPr>
              <w:pBdr>
                <w:top w:val="nil"/>
                <w:left w:val="nil"/>
                <w:bottom w:val="nil"/>
                <w:right w:val="nil"/>
                <w:between w:val="nil"/>
              </w:pBdr>
              <w:spacing w:after="0" w:line="259" w:lineRule="auto"/>
              <w:rPr>
                <w:noProof/>
                <w:color w:val="006100"/>
                <w:sz w:val="18"/>
                <w:szCs w:val="18"/>
                <w:lang w:val="en-IE" w:eastAsia="cs-CZ"/>
              </w:rPr>
            </w:pPr>
            <w:r w:rsidRPr="003050DB">
              <w:rPr>
                <w:noProof/>
                <w:color w:val="006100"/>
                <w:sz w:val="18"/>
                <w:szCs w:val="18"/>
                <w:lang w:val="en-IE"/>
              </w:rPr>
              <w:t xml:space="preserve">at most 151 plug-in hybrid cars </w:t>
            </w:r>
          </w:p>
        </w:tc>
      </w:tr>
      <w:tr w:rsidRPr="00FE48E2" w:rsidR="00E3458A" w:rsidTr="4A45BCA2" w14:paraId="1545841C" w14:textId="77777777">
        <w:trPr>
          <w:trHeight w:val="300"/>
          <w:jc w:val="center"/>
        </w:trPr>
        <w:tc>
          <w:tcPr>
            <w:tcW w:w="710" w:type="dxa"/>
            <w:shd w:val="clear" w:color="auto" w:fill="C6EFCE"/>
          </w:tcPr>
          <w:p w:rsidRPr="003050DB" w:rsidR="00D87E44" w:rsidRDefault="00D87E44" w14:paraId="1545840C"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274</w:t>
            </w:r>
          </w:p>
        </w:tc>
        <w:tc>
          <w:tcPr>
            <w:tcW w:w="1703" w:type="dxa"/>
            <w:shd w:val="clear" w:color="auto" w:fill="C6EFCE"/>
          </w:tcPr>
          <w:p w:rsidRPr="003050DB" w:rsidR="00D87E44" w:rsidRDefault="00D87E44" w14:paraId="1545840D"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 xml:space="preserve">Investment 4: Development and </w:t>
            </w:r>
            <w:r w:rsidRPr="003050DB">
              <w:rPr>
                <w:rFonts w:eastAsia="Times New Roman"/>
                <w:noProof/>
                <w:color w:val="004300"/>
                <w:sz w:val="18"/>
                <w:szCs w:val="18"/>
                <w:lang w:val="en-IE" w:eastAsia="en-GB"/>
              </w:rPr>
              <w:t>modernisation of infrastructure in the field of care for children at risk</w:t>
            </w:r>
          </w:p>
        </w:tc>
        <w:tc>
          <w:tcPr>
            <w:tcW w:w="1077" w:type="dxa"/>
            <w:shd w:val="clear" w:color="auto" w:fill="C6EFCE"/>
          </w:tcPr>
          <w:p w:rsidRPr="003050DB" w:rsidR="00D87E44" w:rsidRDefault="00D87E44" w14:paraId="1545840E"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Milestone</w:t>
            </w:r>
          </w:p>
        </w:tc>
        <w:tc>
          <w:tcPr>
            <w:tcW w:w="1701" w:type="dxa"/>
            <w:shd w:val="clear" w:color="auto" w:fill="C6EFCE"/>
          </w:tcPr>
          <w:p w:rsidRPr="003050DB" w:rsidR="00D87E44" w:rsidRDefault="00D87E44" w14:paraId="1545840F"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Call for projects published for housing for children at risk</w:t>
            </w:r>
          </w:p>
        </w:tc>
        <w:tc>
          <w:tcPr>
            <w:tcW w:w="1276" w:type="dxa"/>
            <w:shd w:val="clear" w:color="auto" w:fill="C6EFCE"/>
          </w:tcPr>
          <w:p w:rsidRPr="003050DB" w:rsidR="00D87E44" w:rsidRDefault="00D87E44" w14:paraId="15458410"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Call</w:t>
            </w:r>
          </w:p>
        </w:tc>
        <w:tc>
          <w:tcPr>
            <w:tcW w:w="1077" w:type="dxa"/>
            <w:shd w:val="clear" w:color="auto" w:fill="C6EFCE"/>
          </w:tcPr>
          <w:p w:rsidRPr="003050DB" w:rsidR="00D87E44" w:rsidRDefault="00D87E44" w14:paraId="15458411"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3050DB" w:rsidR="00D87E44" w:rsidRDefault="00D87E44" w14:paraId="15458412"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3050DB" w:rsidR="00D87E44" w:rsidRDefault="00D87E44" w14:paraId="15458413"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3050DB" w:rsidR="00D87E44" w:rsidRDefault="00D87E44" w14:paraId="15458414"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Q1</w:t>
            </w:r>
          </w:p>
        </w:tc>
        <w:tc>
          <w:tcPr>
            <w:tcW w:w="1500" w:type="dxa"/>
            <w:shd w:val="clear" w:color="auto" w:fill="C6EFCE"/>
          </w:tcPr>
          <w:p w:rsidRPr="003050DB" w:rsidR="00D87E44" w:rsidRDefault="00D87E44" w14:paraId="15458415" w14:textId="77777777">
            <w:pPr>
              <w:spacing w:before="0" w:after="0" w:line="240" w:lineRule="auto"/>
              <w:rPr>
                <w:rFonts w:eastAsia="Times New Roman"/>
                <w:noProof/>
                <w:color w:val="004300"/>
                <w:sz w:val="18"/>
                <w:szCs w:val="18"/>
                <w:lang w:val="en-IE" w:eastAsia="en-GB"/>
              </w:rPr>
            </w:pPr>
            <w:r w:rsidRPr="003050DB">
              <w:rPr>
                <w:rFonts w:eastAsia="Times New Roman"/>
                <w:noProof/>
                <w:color w:val="004300"/>
                <w:sz w:val="18"/>
                <w:szCs w:val="18"/>
                <w:lang w:val="en-IE" w:eastAsia="en-GB"/>
              </w:rPr>
              <w:t>2024</w:t>
            </w:r>
          </w:p>
        </w:tc>
        <w:tc>
          <w:tcPr>
            <w:tcW w:w="3853" w:type="dxa"/>
            <w:shd w:val="clear" w:color="auto" w:fill="C6EFCE"/>
          </w:tcPr>
          <w:p w:rsidRPr="003050DB" w:rsidR="00D87E44" w:rsidRDefault="00D87E44" w14:paraId="15458416" w14:textId="77777777">
            <w:pPr>
              <w:spacing w:before="0" w:after="0" w:line="240" w:lineRule="auto"/>
              <w:rPr>
                <w:rFonts w:eastAsia="Times New Roman"/>
                <w:noProof/>
                <w:color w:val="006100"/>
                <w:sz w:val="18"/>
                <w:szCs w:val="18"/>
                <w:lang w:val="en-IE"/>
              </w:rPr>
            </w:pPr>
            <w:r w:rsidRPr="003050DB">
              <w:rPr>
                <w:rFonts w:eastAsia="Times New Roman"/>
                <w:noProof/>
                <w:color w:val="006100"/>
                <w:sz w:val="18"/>
                <w:szCs w:val="18"/>
                <w:lang w:val="en-IE"/>
              </w:rPr>
              <w:t xml:space="preserve">At least one call for projects shall be published for the acquisition of housing for children at risk. </w:t>
            </w:r>
          </w:p>
          <w:p w:rsidRPr="003050DB" w:rsidR="00D87E44" w:rsidRDefault="00D87E44" w14:paraId="15458417" w14:textId="77777777">
            <w:pPr>
              <w:spacing w:line="240" w:lineRule="auto"/>
              <w:rPr>
                <w:rFonts w:eastAsia="Times New Roman"/>
                <w:noProof/>
                <w:color w:val="006100"/>
                <w:sz w:val="18"/>
                <w:szCs w:val="18"/>
                <w:lang w:val="en-IE"/>
              </w:rPr>
            </w:pPr>
            <w:r w:rsidRPr="003050DB">
              <w:rPr>
                <w:rFonts w:eastAsia="Times New Roman"/>
                <w:noProof/>
                <w:color w:val="006100"/>
                <w:sz w:val="18"/>
                <w:szCs w:val="18"/>
                <w:lang w:val="en-IE"/>
              </w:rPr>
              <w:t xml:space="preserve">The relevant call(s) shall require that: </w:t>
            </w:r>
          </w:p>
          <w:p w:rsidRPr="003050DB" w:rsidR="00D87E44" w:rsidP="00D226F4" w:rsidRDefault="00D87E44" w14:paraId="15458418" w14:textId="77777777">
            <w:pPr>
              <w:pStyle w:val="ListParagraph"/>
              <w:numPr>
                <w:ilvl w:val="0"/>
                <w:numId w:val="65"/>
              </w:numPr>
              <w:spacing w:after="0" w:line="240" w:lineRule="auto"/>
              <w:rPr>
                <w:rFonts w:eastAsia="Times New Roman"/>
                <w:noProof/>
                <w:color w:val="006100"/>
                <w:sz w:val="18"/>
                <w:szCs w:val="18"/>
                <w:lang w:val="en-IE"/>
              </w:rPr>
            </w:pPr>
            <w:r w:rsidRPr="00E3458A">
              <w:rPr>
                <w:color w:val="006100"/>
                <w:sz w:val="18"/>
                <w:lang w:val="en-IE"/>
              </w:rPr>
              <w:t>Each housing unit shall not be larger than 200m2 and shall have bedrooms designed for at most two children.</w:t>
            </w:r>
          </w:p>
          <w:p w:rsidRPr="003050DB" w:rsidR="00D87E44" w:rsidP="00D226F4" w:rsidRDefault="00D87E44" w14:paraId="15458419" w14:textId="77777777">
            <w:pPr>
              <w:pStyle w:val="ListParagraph"/>
              <w:numPr>
                <w:ilvl w:val="0"/>
                <w:numId w:val="65"/>
              </w:numPr>
              <w:spacing w:after="0" w:line="240" w:lineRule="auto"/>
              <w:rPr>
                <w:rFonts w:eastAsia="Times New Roman"/>
                <w:noProof/>
                <w:color w:val="006100"/>
                <w:sz w:val="18"/>
                <w:szCs w:val="18"/>
                <w:lang w:val="en-IE"/>
              </w:rPr>
            </w:pPr>
            <w:r w:rsidRPr="00E3458A">
              <w:rPr>
                <w:color w:val="006100"/>
                <w:sz w:val="18"/>
                <w:lang w:val="en-IE"/>
              </w:rPr>
              <w:t>Bedrooms designed for two children shall not be smaller than 12.25m2 and bedrooms designed for one child shall not be smaller than 8m2.</w:t>
            </w:r>
          </w:p>
          <w:p w:rsidRPr="003050DB" w:rsidR="00D87E44" w:rsidP="00D226F4" w:rsidRDefault="00D87E44" w14:paraId="1545841A" w14:textId="77777777">
            <w:pPr>
              <w:pStyle w:val="ListParagraph"/>
              <w:numPr>
                <w:ilvl w:val="0"/>
                <w:numId w:val="65"/>
              </w:numPr>
              <w:spacing w:after="0" w:line="240" w:lineRule="auto"/>
              <w:rPr>
                <w:rFonts w:eastAsia="Times New Roman"/>
                <w:noProof/>
                <w:color w:val="006100"/>
                <w:sz w:val="18"/>
                <w:szCs w:val="18"/>
                <w:lang w:val="en-IE"/>
              </w:rPr>
            </w:pPr>
            <w:r w:rsidRPr="00E3458A">
              <w:rPr>
                <w:color w:val="006100"/>
                <w:sz w:val="18"/>
                <w:lang w:val="en-IE"/>
              </w:rPr>
              <w:t>The housing units shall be used by children at risk within at most 12 months since their purchase.</w:t>
            </w:r>
          </w:p>
          <w:p w:rsidRPr="003050DB" w:rsidR="00D87E44" w:rsidP="00FF1320" w:rsidRDefault="00D87E44" w14:paraId="1545841B" w14:textId="77777777">
            <w:pPr>
              <w:pStyle w:val="ListParagraph"/>
              <w:numPr>
                <w:ilvl w:val="0"/>
                <w:numId w:val="65"/>
              </w:numPr>
              <w:spacing w:after="160" w:line="240" w:lineRule="auto"/>
              <w:rPr>
                <w:rFonts w:eastAsia="Times New Roman"/>
                <w:noProof/>
                <w:color w:val="006100"/>
                <w:sz w:val="18"/>
                <w:szCs w:val="18"/>
                <w:lang w:val="en-IE"/>
              </w:rPr>
            </w:pPr>
            <w:r w:rsidRPr="00E3458A">
              <w:rPr>
                <w:color w:val="006100"/>
                <w:sz w:val="18"/>
                <w:lang w:val="en-IE"/>
              </w:rPr>
              <w:t>The housing units shall be used for social purposes for at least 10 years.</w:t>
            </w:r>
          </w:p>
        </w:tc>
      </w:tr>
      <w:tr w:rsidR="00E3458A" w:rsidTr="4A45BCA2" w14:paraId="1545842D" w14:textId="77777777">
        <w:trPr>
          <w:trHeight w:val="300"/>
          <w:jc w:val="center"/>
        </w:trPr>
        <w:tc>
          <w:tcPr>
            <w:tcW w:w="710" w:type="dxa"/>
            <w:shd w:val="clear" w:color="auto" w:fill="C6EFCE"/>
          </w:tcPr>
          <w:p w:rsidRPr="00D9276C" w:rsidR="00D87E44" w:rsidRDefault="00D87E44" w14:paraId="1545841D"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275</w:t>
            </w:r>
          </w:p>
        </w:tc>
        <w:tc>
          <w:tcPr>
            <w:tcW w:w="1703" w:type="dxa"/>
            <w:shd w:val="clear" w:color="auto" w:fill="C6EFCE"/>
          </w:tcPr>
          <w:p w:rsidRPr="00D9276C" w:rsidR="00D87E44" w:rsidRDefault="00D87E44" w14:paraId="1545841E"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Investment 4: Development and modernisation of infrastructure in the field of care for children at risk</w:t>
            </w:r>
          </w:p>
        </w:tc>
        <w:tc>
          <w:tcPr>
            <w:tcW w:w="1077" w:type="dxa"/>
            <w:shd w:val="clear" w:color="auto" w:fill="C6EFCE"/>
          </w:tcPr>
          <w:p w:rsidRPr="00D9276C" w:rsidR="00D87E44" w:rsidRDefault="00D87E44" w14:paraId="1545841F"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Milestone</w:t>
            </w:r>
          </w:p>
        </w:tc>
        <w:tc>
          <w:tcPr>
            <w:tcW w:w="1701" w:type="dxa"/>
            <w:shd w:val="clear" w:color="auto" w:fill="C6EFCE"/>
          </w:tcPr>
          <w:p w:rsidRPr="00D9276C" w:rsidR="00D87E44" w:rsidRDefault="00D87E44" w14:paraId="15458420"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Call for projects published for facilities for children at risk</w:t>
            </w:r>
          </w:p>
        </w:tc>
        <w:tc>
          <w:tcPr>
            <w:tcW w:w="1276" w:type="dxa"/>
            <w:shd w:val="clear" w:color="auto" w:fill="C6EFCE"/>
          </w:tcPr>
          <w:p w:rsidRPr="00D9276C" w:rsidR="00D87E44" w:rsidRDefault="00D87E44" w14:paraId="15458421"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 xml:space="preserve">Call for </w:t>
            </w:r>
            <w:r w:rsidRPr="00D9276C">
              <w:rPr>
                <w:rFonts w:eastAsia="Times New Roman"/>
                <w:noProof/>
                <w:color w:val="004300"/>
                <w:sz w:val="18"/>
                <w:szCs w:val="18"/>
                <w:lang w:val="en-IE" w:eastAsia="en-GB"/>
              </w:rPr>
              <w:t>projects</w:t>
            </w:r>
          </w:p>
        </w:tc>
        <w:tc>
          <w:tcPr>
            <w:tcW w:w="1077" w:type="dxa"/>
            <w:shd w:val="clear" w:color="auto" w:fill="C6EFCE"/>
          </w:tcPr>
          <w:p w:rsidRPr="00D9276C" w:rsidR="00D87E44" w:rsidRDefault="00D87E44" w14:paraId="15458422"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D9276C" w:rsidR="00D87E44" w:rsidRDefault="00D87E44" w14:paraId="15458423"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D9276C" w:rsidR="00D87E44" w:rsidRDefault="00D87E44" w14:paraId="15458424"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D9276C" w:rsidR="00D87E44" w:rsidRDefault="00D87E44" w14:paraId="15458425"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Q1</w:t>
            </w:r>
          </w:p>
        </w:tc>
        <w:tc>
          <w:tcPr>
            <w:tcW w:w="1500" w:type="dxa"/>
            <w:shd w:val="clear" w:color="auto" w:fill="C6EFCE"/>
          </w:tcPr>
          <w:p w:rsidRPr="00D9276C" w:rsidR="00D87E44" w:rsidRDefault="00D87E44" w14:paraId="15458426"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2024</w:t>
            </w:r>
          </w:p>
        </w:tc>
        <w:tc>
          <w:tcPr>
            <w:tcW w:w="3853" w:type="dxa"/>
            <w:shd w:val="clear" w:color="auto" w:fill="C6EFCE"/>
          </w:tcPr>
          <w:p w:rsidRPr="00D9276C" w:rsidR="00D87E44" w:rsidRDefault="00D87E44" w14:paraId="15458427"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At least one call for projects shall be published for acquiring, renovating or building facilities for children at risk. The relevant call(s) shall require that:</w:t>
            </w:r>
          </w:p>
          <w:p w:rsidRPr="00E3458A" w:rsidR="00D87E44" w:rsidP="00D226F4" w:rsidRDefault="00D87E44" w14:paraId="15458428" w14:textId="77777777">
            <w:pPr>
              <w:pStyle w:val="ListParagraph"/>
              <w:numPr>
                <w:ilvl w:val="0"/>
                <w:numId w:val="66"/>
              </w:numPr>
              <w:spacing w:after="0" w:line="240" w:lineRule="auto"/>
              <w:rPr>
                <w:color w:val="006100"/>
                <w:sz w:val="18"/>
                <w:lang w:val="en-IE"/>
              </w:rPr>
            </w:pPr>
            <w:r w:rsidRPr="00E3458A">
              <w:rPr>
                <w:color w:val="006100"/>
                <w:sz w:val="18"/>
                <w:lang w:val="en-IE"/>
              </w:rPr>
              <w:t>Each facility shall consist of at most three apartments, each apartment shall be designed for at most six children and per each apartment, at most.</w:t>
            </w:r>
          </w:p>
          <w:p w:rsidRPr="00E3458A" w:rsidR="00D87E44" w:rsidP="00D226F4" w:rsidRDefault="00D87E44" w14:paraId="15458429" w14:textId="77777777">
            <w:pPr>
              <w:pStyle w:val="ListParagraph"/>
              <w:numPr>
                <w:ilvl w:val="0"/>
                <w:numId w:val="66"/>
              </w:numPr>
              <w:spacing w:after="0" w:line="240" w:lineRule="auto"/>
              <w:rPr>
                <w:color w:val="006100"/>
                <w:sz w:val="18"/>
                <w:lang w:val="en-IE"/>
              </w:rPr>
            </w:pPr>
            <w:r w:rsidRPr="00E3458A">
              <w:rPr>
                <w:color w:val="006100"/>
                <w:sz w:val="18"/>
                <w:lang w:val="en-IE"/>
              </w:rPr>
              <w:lastRenderedPageBreak/>
              <w:t>Bedrooms designed for two children shall not be smaller than 12.25m2 and bedrooms designed for one child shall not be smaller than 8m2.</w:t>
            </w:r>
          </w:p>
          <w:p w:rsidRPr="00E3458A" w:rsidR="00D87E44" w:rsidP="00D226F4" w:rsidRDefault="00D87E44" w14:paraId="1545842A" w14:textId="77777777">
            <w:pPr>
              <w:pStyle w:val="ListParagraph"/>
              <w:numPr>
                <w:ilvl w:val="0"/>
                <w:numId w:val="66"/>
              </w:numPr>
              <w:spacing w:after="0" w:line="240" w:lineRule="auto"/>
              <w:rPr>
                <w:color w:val="006100"/>
                <w:sz w:val="18"/>
                <w:lang w:val="en-IE"/>
              </w:rPr>
            </w:pPr>
            <w:r w:rsidRPr="00E3458A">
              <w:rPr>
                <w:color w:val="006100"/>
                <w:sz w:val="18"/>
                <w:lang w:val="en-IE"/>
              </w:rPr>
              <w:t>All renovations shall include at least other energy efficiency renovations.</w:t>
            </w:r>
          </w:p>
          <w:p w:rsidRPr="00E3458A" w:rsidR="00D87E44" w:rsidP="00D226F4" w:rsidRDefault="00D87E44" w14:paraId="1545842B" w14:textId="77777777">
            <w:pPr>
              <w:pStyle w:val="ListParagraph"/>
              <w:numPr>
                <w:ilvl w:val="0"/>
                <w:numId w:val="66"/>
              </w:numPr>
              <w:spacing w:after="0" w:line="240" w:lineRule="auto"/>
              <w:rPr>
                <w:color w:val="006100"/>
                <w:sz w:val="18"/>
                <w:lang w:val="en-IE"/>
              </w:rPr>
            </w:pPr>
            <w:r w:rsidRPr="00E3458A">
              <w:rPr>
                <w:color w:val="006100"/>
                <w:sz w:val="18"/>
                <w:lang w:val="en-IE"/>
              </w:rPr>
              <w:t>All new constructions shall have a primary energy demand of at least 20% below the nearly zero-energy buildings requirement.</w:t>
            </w:r>
          </w:p>
          <w:p w:rsidRPr="00E3458A" w:rsidR="00D87E44" w:rsidP="00D226F4" w:rsidRDefault="00D87E44" w14:paraId="1545842C" w14:textId="77777777">
            <w:pPr>
              <w:pStyle w:val="ListParagraph"/>
              <w:numPr>
                <w:ilvl w:val="0"/>
                <w:numId w:val="66"/>
              </w:numPr>
              <w:spacing w:after="0" w:line="240" w:lineRule="auto"/>
              <w:rPr>
                <w:color w:val="006100"/>
                <w:sz w:val="18"/>
                <w:lang w:val="en-IE"/>
              </w:rPr>
            </w:pPr>
            <w:r w:rsidRPr="00E3458A">
              <w:rPr>
                <w:color w:val="006100"/>
                <w:sz w:val="18"/>
                <w:lang w:val="en-IE"/>
              </w:rPr>
              <w:t>The facilities shall be used for social purposes for at least 10 years.</w:t>
            </w:r>
          </w:p>
        </w:tc>
      </w:tr>
      <w:tr w:rsidRPr="00FE48E2" w:rsidR="00E3458A" w:rsidTr="4A45BCA2" w14:paraId="1545843B" w14:textId="77777777">
        <w:trPr>
          <w:trHeight w:val="300"/>
          <w:jc w:val="center"/>
        </w:trPr>
        <w:tc>
          <w:tcPr>
            <w:tcW w:w="710" w:type="dxa"/>
            <w:shd w:val="clear" w:color="auto" w:fill="C6EFCE"/>
          </w:tcPr>
          <w:p w:rsidRPr="00D9276C" w:rsidR="00D87E44" w:rsidRDefault="00D87E44" w14:paraId="1545842E"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lastRenderedPageBreak/>
              <w:t>276</w:t>
            </w:r>
          </w:p>
        </w:tc>
        <w:tc>
          <w:tcPr>
            <w:tcW w:w="1703" w:type="dxa"/>
            <w:shd w:val="clear" w:color="auto" w:fill="C6EFCE"/>
          </w:tcPr>
          <w:p w:rsidRPr="00D9276C" w:rsidR="00D87E44" w:rsidRDefault="00D87E44" w14:paraId="1545842F"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Reform 4: Reform in the care of the children  at risk</w:t>
            </w:r>
          </w:p>
        </w:tc>
        <w:tc>
          <w:tcPr>
            <w:tcW w:w="1077" w:type="dxa"/>
            <w:shd w:val="clear" w:color="auto" w:fill="C6EFCE"/>
          </w:tcPr>
          <w:p w:rsidRPr="00D9276C" w:rsidR="00D87E44" w:rsidRDefault="00D87E44" w14:paraId="15458430"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Milestone</w:t>
            </w:r>
          </w:p>
        </w:tc>
        <w:tc>
          <w:tcPr>
            <w:tcW w:w="1701" w:type="dxa"/>
            <w:shd w:val="clear" w:color="auto" w:fill="C6EFCE"/>
          </w:tcPr>
          <w:p w:rsidRPr="00D9276C" w:rsidR="00D87E44" w:rsidRDefault="00D87E44" w14:paraId="15458431"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Entry into force of an Amendment to the Act on Social and Legal Protection of Children and other legislation</w:t>
            </w:r>
          </w:p>
        </w:tc>
        <w:tc>
          <w:tcPr>
            <w:tcW w:w="1276" w:type="dxa"/>
            <w:shd w:val="clear" w:color="auto" w:fill="C6EFCE"/>
          </w:tcPr>
          <w:p w:rsidRPr="00D9276C" w:rsidR="00D87E44" w:rsidRDefault="00D87E44" w14:paraId="15458432"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Legal act</w:t>
            </w:r>
          </w:p>
        </w:tc>
        <w:tc>
          <w:tcPr>
            <w:tcW w:w="1077" w:type="dxa"/>
            <w:shd w:val="clear" w:color="auto" w:fill="C6EFCE"/>
          </w:tcPr>
          <w:p w:rsidRPr="00D9276C" w:rsidR="00D87E44" w:rsidRDefault="00D87E44" w14:paraId="15458433" w14:textId="77777777">
            <w:pPr>
              <w:spacing w:before="0" w:after="0" w:line="240" w:lineRule="auto"/>
              <w:rPr>
                <w:rFonts w:eastAsia="Times New Roman"/>
                <w:noProof/>
                <w:color w:val="004300"/>
                <w:sz w:val="18"/>
                <w:szCs w:val="18"/>
                <w:lang w:val="en-IE" w:eastAsia="en-GB"/>
              </w:rPr>
            </w:pPr>
          </w:p>
        </w:tc>
        <w:tc>
          <w:tcPr>
            <w:tcW w:w="1077" w:type="dxa"/>
            <w:shd w:val="clear" w:color="auto" w:fill="C6EFCE"/>
          </w:tcPr>
          <w:p w:rsidRPr="00D9276C" w:rsidR="00D87E44" w:rsidRDefault="00D87E44" w14:paraId="15458434" w14:textId="77777777">
            <w:pPr>
              <w:spacing w:before="0" w:after="0" w:line="240" w:lineRule="auto"/>
              <w:rPr>
                <w:rFonts w:eastAsia="Times New Roman"/>
                <w:noProof/>
                <w:color w:val="004300"/>
                <w:sz w:val="18"/>
                <w:szCs w:val="18"/>
                <w:lang w:val="en-IE" w:eastAsia="en-GB"/>
              </w:rPr>
            </w:pPr>
          </w:p>
        </w:tc>
        <w:tc>
          <w:tcPr>
            <w:tcW w:w="850" w:type="dxa"/>
            <w:shd w:val="clear" w:color="auto" w:fill="C6EFCE"/>
          </w:tcPr>
          <w:p w:rsidRPr="00D9276C" w:rsidR="00D87E44" w:rsidRDefault="00D87E44" w14:paraId="15458435" w14:textId="77777777">
            <w:pPr>
              <w:spacing w:before="0" w:after="0" w:line="240" w:lineRule="auto"/>
              <w:rPr>
                <w:rFonts w:eastAsia="Times New Roman"/>
                <w:noProof/>
                <w:color w:val="004300"/>
                <w:sz w:val="18"/>
                <w:szCs w:val="18"/>
                <w:lang w:val="en-IE" w:eastAsia="en-GB"/>
              </w:rPr>
            </w:pPr>
          </w:p>
        </w:tc>
        <w:tc>
          <w:tcPr>
            <w:tcW w:w="1134" w:type="dxa"/>
            <w:shd w:val="clear" w:color="auto" w:fill="C6EFCE"/>
          </w:tcPr>
          <w:p w:rsidRPr="00D9276C" w:rsidR="00D87E44" w:rsidRDefault="00D87E44" w14:paraId="15458436"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Q4</w:t>
            </w:r>
          </w:p>
        </w:tc>
        <w:tc>
          <w:tcPr>
            <w:tcW w:w="1500" w:type="dxa"/>
            <w:shd w:val="clear" w:color="auto" w:fill="C6EFCE"/>
          </w:tcPr>
          <w:p w:rsidRPr="00D9276C" w:rsidR="00D87E44" w:rsidRDefault="00D87E44" w14:paraId="15458437"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2024</w:t>
            </w:r>
          </w:p>
        </w:tc>
        <w:tc>
          <w:tcPr>
            <w:tcW w:w="3853" w:type="dxa"/>
            <w:shd w:val="clear" w:color="auto" w:fill="C6EFCE"/>
          </w:tcPr>
          <w:p w:rsidRPr="00D9276C" w:rsidR="00D87E44" w:rsidRDefault="00D87E44" w14:paraId="15458438"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Amendments to the Act on Social and Legal Protection of Children and other legislation shall enter into force, ensuring that:</w:t>
            </w:r>
          </w:p>
          <w:p w:rsidRPr="00E3458A" w:rsidR="00D87E44" w:rsidP="00D226F4" w:rsidRDefault="00D87E44" w14:paraId="15458439" w14:textId="77777777">
            <w:pPr>
              <w:pStyle w:val="ListParagraph"/>
              <w:numPr>
                <w:ilvl w:val="0"/>
                <w:numId w:val="67"/>
              </w:numPr>
              <w:spacing w:after="0" w:line="240" w:lineRule="auto"/>
              <w:rPr>
                <w:color w:val="006100"/>
                <w:lang w:val="en-IE"/>
              </w:rPr>
            </w:pPr>
            <w:r w:rsidRPr="00E3458A">
              <w:rPr>
                <w:color w:val="006100"/>
                <w:sz w:val="18"/>
                <w:lang w:val="en-IE"/>
              </w:rPr>
              <w:t xml:space="preserve">the placement of children below 4 years of age in institutional care is banned, subject to the following exceptions: </w:t>
            </w:r>
            <w:proofErr w:type="spellStart"/>
            <w:r w:rsidRPr="00E3458A">
              <w:rPr>
                <w:color w:val="006100"/>
                <w:sz w:val="18"/>
                <w:lang w:val="en-IE"/>
              </w:rPr>
              <w:t>i</w:t>
            </w:r>
            <w:proofErr w:type="spellEnd"/>
            <w:r w:rsidRPr="00E3458A">
              <w:rPr>
                <w:color w:val="006100"/>
                <w:sz w:val="18"/>
                <w:lang w:val="en-IE"/>
              </w:rPr>
              <w:t>) stays no longer than (at most) two months; ii) children in the 3. or 4. intensity-of-care category; iii) when there is an interest in preserving sibling ties.</w:t>
            </w:r>
          </w:p>
          <w:p w:rsidRPr="00D9276C" w:rsidR="00D87E44" w:rsidP="00D226F4" w:rsidRDefault="00D87E44" w14:paraId="1545843A" w14:textId="77777777">
            <w:pPr>
              <w:pStyle w:val="ListParagraph"/>
              <w:numPr>
                <w:ilvl w:val="0"/>
                <w:numId w:val="67"/>
              </w:numPr>
              <w:spacing w:after="0" w:line="240" w:lineRule="auto"/>
              <w:rPr>
                <w:rFonts w:eastAsia="Times New Roman"/>
                <w:noProof/>
                <w:color w:val="006100"/>
                <w:sz w:val="18"/>
                <w:szCs w:val="18"/>
                <w:lang w:val="en-IE"/>
              </w:rPr>
            </w:pPr>
            <w:r w:rsidRPr="00E3458A">
              <w:rPr>
                <w:color w:val="006100"/>
                <w:sz w:val="18"/>
                <w:lang w:val="en-IE"/>
              </w:rPr>
              <w:t>Institutional care (“</w:t>
            </w:r>
            <w:proofErr w:type="spellStart"/>
            <w:r w:rsidRPr="00E3458A">
              <w:rPr>
                <w:color w:val="006100"/>
                <w:sz w:val="18"/>
                <w:lang w:val="en-IE"/>
              </w:rPr>
              <w:t>Dětské</w:t>
            </w:r>
            <w:proofErr w:type="spellEnd"/>
            <w:r w:rsidRPr="00E3458A">
              <w:rPr>
                <w:color w:val="006100"/>
                <w:sz w:val="18"/>
                <w:lang w:val="en-IE"/>
              </w:rPr>
              <w:t xml:space="preserve"> </w:t>
            </w:r>
            <w:proofErr w:type="spellStart"/>
            <w:r w:rsidRPr="00E3458A">
              <w:rPr>
                <w:color w:val="006100"/>
                <w:sz w:val="18"/>
                <w:lang w:val="en-IE"/>
              </w:rPr>
              <w:t>domovy</w:t>
            </w:r>
            <w:proofErr w:type="spellEnd"/>
            <w:r w:rsidRPr="00E3458A">
              <w:rPr>
                <w:color w:val="006100"/>
                <w:sz w:val="18"/>
                <w:lang w:val="en-IE"/>
              </w:rPr>
              <w:t xml:space="preserve"> pro </w:t>
            </w:r>
            <w:proofErr w:type="spellStart"/>
            <w:r w:rsidRPr="00E3458A">
              <w:rPr>
                <w:color w:val="006100"/>
                <w:sz w:val="18"/>
                <w:lang w:val="en-IE"/>
              </w:rPr>
              <w:t>děti</w:t>
            </w:r>
            <w:proofErr w:type="spellEnd"/>
            <w:r w:rsidRPr="00E3458A">
              <w:rPr>
                <w:color w:val="006100"/>
                <w:sz w:val="18"/>
                <w:lang w:val="en-IE"/>
              </w:rPr>
              <w:t xml:space="preserve"> do 3 let </w:t>
            </w:r>
            <w:proofErr w:type="spellStart"/>
            <w:r w:rsidRPr="00E3458A">
              <w:rPr>
                <w:color w:val="006100"/>
                <w:sz w:val="18"/>
                <w:lang w:val="en-IE"/>
              </w:rPr>
              <w:t>věku</w:t>
            </w:r>
            <w:proofErr w:type="spellEnd"/>
            <w:r w:rsidRPr="00E3458A">
              <w:rPr>
                <w:color w:val="006100"/>
                <w:sz w:val="18"/>
                <w:lang w:val="en-IE"/>
              </w:rPr>
              <w:t>”) for children below 4 years of age are abolished</w:t>
            </w:r>
          </w:p>
        </w:tc>
      </w:tr>
      <w:tr w:rsidR="00E3458A" w:rsidTr="4A45BCA2" w14:paraId="15458447" w14:textId="77777777">
        <w:trPr>
          <w:trHeight w:val="300"/>
          <w:jc w:val="center"/>
        </w:trPr>
        <w:tc>
          <w:tcPr>
            <w:tcW w:w="710" w:type="dxa"/>
            <w:shd w:val="clear" w:color="auto" w:fill="C6EFCE"/>
          </w:tcPr>
          <w:p w:rsidR="00D87E44" w:rsidP="00E3458A" w:rsidRDefault="00D87E44" w14:paraId="1545843C" w14:textId="77777777">
            <w:pPr>
              <w:spacing w:line="240" w:lineRule="auto"/>
              <w:rPr>
                <w:rFonts w:eastAsia="Times New Roman"/>
                <w:noProof/>
                <w:color w:val="004300"/>
                <w:sz w:val="18"/>
                <w:szCs w:val="18"/>
                <w:lang w:val="en-IE" w:eastAsia="en-GB"/>
              </w:rPr>
            </w:pPr>
            <w:r w:rsidRPr="0EA05D47">
              <w:rPr>
                <w:rFonts w:eastAsia="Times New Roman"/>
                <w:noProof/>
                <w:color w:val="004300"/>
                <w:sz w:val="18"/>
                <w:szCs w:val="18"/>
                <w:lang w:val="en-IE" w:eastAsia="en-GB"/>
              </w:rPr>
              <w:t>278</w:t>
            </w:r>
          </w:p>
        </w:tc>
        <w:tc>
          <w:tcPr>
            <w:tcW w:w="1703" w:type="dxa"/>
            <w:shd w:val="clear" w:color="auto" w:fill="C6EFCE"/>
          </w:tcPr>
          <w:p w:rsidR="00D87E44" w:rsidRDefault="00D87E44" w14:paraId="1545843D" w14:textId="77777777">
            <w:pPr>
              <w:spacing w:before="0" w:after="0" w:line="240" w:lineRule="auto"/>
              <w:rPr>
                <w:rFonts w:eastAsia="Times New Roman"/>
                <w:noProof/>
                <w:color w:val="004300"/>
                <w:sz w:val="18"/>
                <w:szCs w:val="18"/>
                <w:lang w:val="en-IE" w:eastAsia="en-GB"/>
              </w:rPr>
            </w:pPr>
            <w:r w:rsidRPr="0EA05D47">
              <w:rPr>
                <w:rFonts w:eastAsia="Times New Roman"/>
                <w:noProof/>
                <w:color w:val="004300"/>
                <w:sz w:val="18"/>
                <w:szCs w:val="18"/>
                <w:lang w:val="en-IE" w:eastAsia="en-GB"/>
              </w:rPr>
              <w:t>Investment 4: Development and modernisation of infrastructure in the field of care for children at risk</w:t>
            </w:r>
          </w:p>
        </w:tc>
        <w:tc>
          <w:tcPr>
            <w:tcW w:w="1077" w:type="dxa"/>
            <w:shd w:val="clear" w:color="auto" w:fill="C6EFCE"/>
          </w:tcPr>
          <w:p w:rsidR="00D87E44" w:rsidP="00E3458A" w:rsidRDefault="00D87E44" w14:paraId="1545843E" w14:textId="77777777">
            <w:pPr>
              <w:spacing w:line="240" w:lineRule="auto"/>
              <w:rPr>
                <w:rFonts w:eastAsia="Times New Roman"/>
                <w:noProof/>
                <w:color w:val="004300"/>
                <w:sz w:val="18"/>
                <w:szCs w:val="18"/>
                <w:lang w:val="en-IE" w:eastAsia="en-GB"/>
              </w:rPr>
            </w:pPr>
            <w:r w:rsidRPr="0EA05D47">
              <w:rPr>
                <w:rFonts w:eastAsia="Times New Roman"/>
                <w:noProof/>
                <w:color w:val="004300"/>
                <w:sz w:val="18"/>
                <w:szCs w:val="18"/>
                <w:lang w:val="en-IE" w:eastAsia="en-GB"/>
              </w:rPr>
              <w:t>Target</w:t>
            </w:r>
          </w:p>
        </w:tc>
        <w:tc>
          <w:tcPr>
            <w:tcW w:w="1701" w:type="dxa"/>
            <w:shd w:val="clear" w:color="auto" w:fill="C6EFCE"/>
          </w:tcPr>
          <w:p w:rsidR="00D87E44" w:rsidP="00E3458A" w:rsidRDefault="00D87E44" w14:paraId="1545843F" w14:textId="77777777">
            <w:pPr>
              <w:spacing w:line="240" w:lineRule="auto"/>
              <w:rPr>
                <w:rFonts w:eastAsia="Times New Roman"/>
                <w:noProof/>
                <w:color w:val="004300"/>
                <w:sz w:val="18"/>
                <w:szCs w:val="18"/>
                <w:lang w:val="en-IE" w:eastAsia="en-GB"/>
              </w:rPr>
            </w:pPr>
            <w:r w:rsidRPr="33E12554">
              <w:rPr>
                <w:rFonts w:eastAsia="Times New Roman"/>
                <w:noProof/>
                <w:color w:val="004300"/>
                <w:sz w:val="18"/>
                <w:szCs w:val="18"/>
                <w:lang w:val="en-IE" w:eastAsia="en-GB"/>
              </w:rPr>
              <w:t xml:space="preserve">Flats and </w:t>
            </w:r>
            <w:r>
              <w:rPr>
                <w:rFonts w:eastAsia="Times New Roman"/>
                <w:noProof/>
                <w:color w:val="004300"/>
                <w:sz w:val="18"/>
                <w:szCs w:val="18"/>
                <w:lang w:val="en-IE" w:eastAsia="en-GB"/>
              </w:rPr>
              <w:t>houses</w:t>
            </w:r>
            <w:r w:rsidRPr="33E12554">
              <w:rPr>
                <w:rFonts w:eastAsia="Times New Roman"/>
                <w:noProof/>
                <w:color w:val="004300"/>
                <w:sz w:val="18"/>
                <w:szCs w:val="18"/>
                <w:lang w:val="en-IE" w:eastAsia="en-GB"/>
              </w:rPr>
              <w:t xml:space="preserve"> for children at risk</w:t>
            </w:r>
          </w:p>
        </w:tc>
        <w:tc>
          <w:tcPr>
            <w:tcW w:w="1276" w:type="dxa"/>
            <w:shd w:val="clear" w:color="auto" w:fill="C6EFCE"/>
          </w:tcPr>
          <w:p w:rsidR="00D87E44" w:rsidP="00E3458A" w:rsidRDefault="00D87E44" w14:paraId="15458440" w14:textId="77777777">
            <w:pPr>
              <w:spacing w:line="240" w:lineRule="auto"/>
              <w:rPr>
                <w:rFonts w:eastAsia="Times New Roman"/>
                <w:noProof/>
                <w:color w:val="004300"/>
                <w:sz w:val="18"/>
                <w:szCs w:val="18"/>
                <w:lang w:val="en-IE" w:eastAsia="en-GB"/>
              </w:rPr>
            </w:pPr>
          </w:p>
        </w:tc>
        <w:tc>
          <w:tcPr>
            <w:tcW w:w="1077" w:type="dxa"/>
            <w:shd w:val="clear" w:color="auto" w:fill="C6EFCE"/>
          </w:tcPr>
          <w:p w:rsidR="00D87E44" w:rsidP="00E3458A" w:rsidRDefault="00D87E44" w14:paraId="15458441" w14:textId="77777777">
            <w:pPr>
              <w:spacing w:line="240" w:lineRule="auto"/>
              <w:rPr>
                <w:rFonts w:eastAsia="Times New Roman"/>
                <w:noProof/>
                <w:color w:val="004300"/>
                <w:sz w:val="18"/>
                <w:szCs w:val="18"/>
                <w:lang w:val="en-IE" w:eastAsia="en-GB"/>
              </w:rPr>
            </w:pPr>
            <w:r w:rsidRPr="33E12554">
              <w:rPr>
                <w:rFonts w:eastAsia="Times New Roman"/>
                <w:noProof/>
                <w:color w:val="004300"/>
                <w:sz w:val="18"/>
                <w:szCs w:val="18"/>
                <w:lang w:val="en-IE" w:eastAsia="en-GB"/>
              </w:rPr>
              <w:t xml:space="preserve">Flats and </w:t>
            </w:r>
            <w:r>
              <w:rPr>
                <w:rFonts w:eastAsia="Times New Roman"/>
                <w:noProof/>
                <w:color w:val="004300"/>
                <w:sz w:val="18"/>
                <w:szCs w:val="18"/>
                <w:lang w:val="en-IE" w:eastAsia="en-GB"/>
              </w:rPr>
              <w:t>houses</w:t>
            </w:r>
          </w:p>
        </w:tc>
        <w:tc>
          <w:tcPr>
            <w:tcW w:w="1077" w:type="dxa"/>
            <w:shd w:val="clear" w:color="auto" w:fill="C6EFCE"/>
          </w:tcPr>
          <w:p w:rsidR="00D87E44" w:rsidP="00E3458A" w:rsidRDefault="00D87E44" w14:paraId="15458442" w14:textId="77777777">
            <w:pPr>
              <w:spacing w:line="240" w:lineRule="auto"/>
              <w:rPr>
                <w:rFonts w:eastAsia="Times New Roman"/>
                <w:noProof/>
                <w:color w:val="004300"/>
                <w:sz w:val="18"/>
                <w:szCs w:val="18"/>
                <w:lang w:val="en-IE" w:eastAsia="en-GB"/>
              </w:rPr>
            </w:pPr>
            <w:r w:rsidRPr="33E12554">
              <w:rPr>
                <w:rFonts w:eastAsia="Times New Roman"/>
                <w:noProof/>
                <w:color w:val="004300"/>
                <w:sz w:val="18"/>
                <w:szCs w:val="18"/>
                <w:lang w:val="en-IE" w:eastAsia="en-GB"/>
              </w:rPr>
              <w:t>0</w:t>
            </w:r>
          </w:p>
        </w:tc>
        <w:tc>
          <w:tcPr>
            <w:tcW w:w="850" w:type="dxa"/>
            <w:shd w:val="clear" w:color="auto" w:fill="C6EFCE"/>
          </w:tcPr>
          <w:p w:rsidR="00D87E44" w:rsidP="00E3458A" w:rsidRDefault="00D87E44" w14:paraId="15458443" w14:textId="77777777">
            <w:pPr>
              <w:spacing w:line="240" w:lineRule="auto"/>
              <w:rPr>
                <w:rFonts w:eastAsia="Times New Roman"/>
                <w:noProof/>
                <w:color w:val="004300"/>
                <w:sz w:val="18"/>
                <w:szCs w:val="18"/>
                <w:lang w:val="en-IE" w:eastAsia="en-GB"/>
              </w:rPr>
            </w:pPr>
            <w:r w:rsidRPr="00D9276C">
              <w:rPr>
                <w:rFonts w:eastAsia="Times New Roman"/>
                <w:noProof/>
                <w:color w:val="004300"/>
                <w:sz w:val="18"/>
                <w:szCs w:val="18"/>
                <w:lang w:val="en-IE" w:eastAsia="en-GB"/>
              </w:rPr>
              <w:t>61</w:t>
            </w:r>
          </w:p>
        </w:tc>
        <w:tc>
          <w:tcPr>
            <w:tcW w:w="1134" w:type="dxa"/>
            <w:shd w:val="clear" w:color="auto" w:fill="C6EFCE"/>
          </w:tcPr>
          <w:p w:rsidR="00D87E44" w:rsidP="00E3458A" w:rsidRDefault="00D87E44" w14:paraId="15458444" w14:textId="77777777">
            <w:pPr>
              <w:spacing w:line="240" w:lineRule="auto"/>
              <w:rPr>
                <w:rFonts w:eastAsia="Times New Roman"/>
                <w:noProof/>
                <w:color w:val="004300"/>
                <w:sz w:val="18"/>
                <w:szCs w:val="18"/>
                <w:lang w:val="en-IE" w:eastAsia="en-GB"/>
              </w:rPr>
            </w:pPr>
            <w:r w:rsidRPr="30667E15">
              <w:rPr>
                <w:rFonts w:eastAsia="Times New Roman"/>
                <w:noProof/>
                <w:color w:val="004300"/>
                <w:sz w:val="18"/>
                <w:szCs w:val="18"/>
                <w:lang w:val="en-IE" w:eastAsia="en-GB"/>
              </w:rPr>
              <w:t>Q2</w:t>
            </w:r>
          </w:p>
        </w:tc>
        <w:tc>
          <w:tcPr>
            <w:tcW w:w="1500" w:type="dxa"/>
            <w:shd w:val="clear" w:color="auto" w:fill="C6EFCE"/>
          </w:tcPr>
          <w:p w:rsidR="00D87E44" w:rsidP="00E3458A" w:rsidRDefault="00D87E44" w14:paraId="15458445" w14:textId="77777777">
            <w:pPr>
              <w:spacing w:line="240" w:lineRule="auto"/>
              <w:rPr>
                <w:rFonts w:eastAsia="Times New Roman"/>
                <w:noProof/>
                <w:color w:val="004300"/>
                <w:sz w:val="18"/>
                <w:szCs w:val="18"/>
                <w:lang w:val="en-IE" w:eastAsia="en-GB"/>
              </w:rPr>
            </w:pPr>
            <w:r w:rsidRPr="30667E15">
              <w:rPr>
                <w:rFonts w:eastAsia="Times New Roman"/>
                <w:noProof/>
                <w:color w:val="004300"/>
                <w:sz w:val="18"/>
                <w:szCs w:val="18"/>
                <w:lang w:val="en-IE" w:eastAsia="en-GB"/>
              </w:rPr>
              <w:t>2026</w:t>
            </w:r>
          </w:p>
        </w:tc>
        <w:tc>
          <w:tcPr>
            <w:tcW w:w="3853" w:type="dxa"/>
            <w:shd w:val="clear" w:color="auto" w:fill="C6EFCE"/>
          </w:tcPr>
          <w:p w:rsidRPr="00FF1320" w:rsidR="00D87E44" w:rsidRDefault="00D87E44" w14:paraId="15458446" w14:textId="77777777">
            <w:pPr>
              <w:spacing w:line="240" w:lineRule="auto"/>
              <w:rPr>
                <w:color w:val="006100"/>
                <w:sz w:val="18"/>
                <w:lang w:val="en-IE"/>
              </w:rPr>
            </w:pPr>
            <w:r w:rsidRPr="0DEB48B3">
              <w:rPr>
                <w:rFonts w:eastAsia="Times New Roman"/>
                <w:noProof/>
                <w:color w:val="006100"/>
                <w:sz w:val="18"/>
                <w:szCs w:val="18"/>
                <w:lang w:val="en-IE"/>
              </w:rPr>
              <w:t xml:space="preserve">At least </w:t>
            </w:r>
            <w:r w:rsidRPr="00D9276C">
              <w:rPr>
                <w:rFonts w:eastAsia="Times New Roman"/>
                <w:noProof/>
                <w:color w:val="006100"/>
                <w:sz w:val="18"/>
                <w:szCs w:val="18"/>
                <w:lang w:val="en-IE"/>
              </w:rPr>
              <w:t>61</w:t>
            </w:r>
            <w:r w:rsidRPr="0DEB48B3">
              <w:rPr>
                <w:rFonts w:eastAsia="Times New Roman"/>
                <w:noProof/>
                <w:color w:val="006100"/>
                <w:sz w:val="18"/>
                <w:szCs w:val="18"/>
                <w:lang w:val="en-IE"/>
              </w:rPr>
              <w:t xml:space="preserve"> </w:t>
            </w:r>
            <w:r w:rsidRPr="00D9276C">
              <w:rPr>
                <w:rFonts w:eastAsia="Times New Roman"/>
                <w:noProof/>
                <w:color w:val="006100"/>
                <w:sz w:val="18"/>
                <w:szCs w:val="18"/>
                <w:lang w:val="en-IE"/>
              </w:rPr>
              <w:t>flats or houses</w:t>
            </w:r>
            <w:r>
              <w:rPr>
                <w:rFonts w:eastAsia="Times New Roman"/>
                <w:noProof/>
                <w:color w:val="006100"/>
                <w:sz w:val="18"/>
                <w:szCs w:val="18"/>
                <w:lang w:val="en-IE"/>
              </w:rPr>
              <w:t xml:space="preserve"> </w:t>
            </w:r>
            <w:r w:rsidRPr="0DEB48B3">
              <w:rPr>
                <w:rFonts w:eastAsia="Times New Roman"/>
                <w:noProof/>
                <w:color w:val="006100"/>
                <w:sz w:val="18"/>
                <w:szCs w:val="18"/>
                <w:lang w:val="en-IE"/>
              </w:rPr>
              <w:t xml:space="preserve">shall be acquired, built or renovated on the basis of </w:t>
            </w:r>
            <w:r w:rsidRPr="06F4EA29">
              <w:rPr>
                <w:rFonts w:eastAsia="Times New Roman"/>
                <w:noProof/>
                <w:color w:val="006100"/>
                <w:sz w:val="18"/>
                <w:szCs w:val="18"/>
                <w:lang w:val="en-IE"/>
              </w:rPr>
              <w:t xml:space="preserve">the call(s) for projects in milestones 274, 275 or </w:t>
            </w:r>
            <w:r w:rsidRPr="43112514">
              <w:rPr>
                <w:rFonts w:eastAsia="Times New Roman"/>
                <w:noProof/>
                <w:color w:val="006100"/>
                <w:sz w:val="18"/>
                <w:szCs w:val="18"/>
                <w:lang w:val="en-IE"/>
              </w:rPr>
              <w:t>other</w:t>
            </w:r>
            <w:r w:rsidRPr="06F4EA29">
              <w:rPr>
                <w:rFonts w:eastAsia="Times New Roman"/>
                <w:noProof/>
                <w:color w:val="006100"/>
                <w:sz w:val="18"/>
                <w:szCs w:val="18"/>
                <w:lang w:val="en-IE"/>
              </w:rPr>
              <w:t xml:space="preserve"> calls </w:t>
            </w:r>
            <w:r>
              <w:rPr>
                <w:rFonts w:eastAsia="Times New Roman"/>
                <w:noProof/>
                <w:color w:val="006100"/>
                <w:sz w:val="18"/>
                <w:szCs w:val="18"/>
                <w:lang w:val="en-IE"/>
              </w:rPr>
              <w:t>applying the same requirements.</w:t>
            </w:r>
          </w:p>
        </w:tc>
      </w:tr>
    </w:tbl>
    <w:p w:rsidRPr="00FE48E2" w:rsidR="00D87E44" w:rsidP="00D226F4" w:rsidRDefault="00D87E44" w14:paraId="15458448" w14:textId="77777777">
      <w:pPr>
        <w:rPr>
          <w:noProof/>
          <w:lang w:val="en-IE"/>
        </w:rPr>
        <w:sectPr w:rsidRPr="00FE48E2" w:rsidR="00C16C1F" w:rsidSect="00D226F4">
          <w:headerReference w:type="even" r:id="R0503284f3bef4038"/>
          <w:headerReference w:type="default" r:id="R04652629566146d1"/>
          <w:footerReference w:type="even" r:id="Rbc908e3b1e42469c"/>
          <w:footerReference w:type="default" r:id="R3bd0f0393bdc42e4"/>
          <w:headerReference w:type="first" r:id="R827b9345af724111"/>
          <w:footerReference w:type="first" r:id="R83592ddbcf344cae"/>
          <w:pgSz w:w="16839" w:h="11907" w:orient="landscape"/>
          <w:pgMar w:top="1134" w:right="1134" w:bottom="1134" w:left="1134" w:header="567" w:footer="567" w:gutter="0"/>
          <w:cols w:space="720"/>
          <w:docGrid w:linePitch="326"/>
        </w:sectPr>
      </w:pPr>
    </w:p>
    <w:p w:rsidRPr="00FE48E2" w:rsidR="00D87E44" w:rsidP="00D226F4" w:rsidRDefault="00D87E44" w14:paraId="15458449" w14:textId="77777777">
      <w:pPr>
        <w:keepNext/>
        <w:tabs>
          <w:tab w:val="left" w:pos="850"/>
        </w:tabs>
        <w:spacing w:before="360" w:line="240" w:lineRule="auto"/>
        <w:jc w:val="both"/>
        <w:outlineLvl w:val="0"/>
        <w:rPr>
          <w:b/>
          <w:bCs/>
          <w:smallCaps/>
          <w:noProof/>
          <w:lang w:val="en-IE"/>
        </w:rPr>
      </w:pPr>
      <w:r w:rsidRPr="343DA3E7">
        <w:rPr>
          <w:b/>
          <w:bCs/>
          <w:smallCaps/>
          <w:noProof/>
          <w:lang w:val="en-IE"/>
        </w:rPr>
        <w:lastRenderedPageBreak/>
        <w:t>U. COMPONENT 4.1: Systemic support for public investment</w:t>
      </w:r>
    </w:p>
    <w:p w:rsidRPr="00FE48E2" w:rsidR="00D87E44" w:rsidP="00D226F4" w:rsidRDefault="00D87E44" w14:paraId="1545844A" w14:textId="77777777">
      <w:pPr>
        <w:spacing w:line="259"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This component of the Czech recovery and resilience plan contributes to addressing the challenge of strengthening the administrative capacity of public administration in Czechia. The aim of the component is to provide methodological support for the preparation of projects, to modernise the strategic framework and capacities in the area of public procurement, to support preparation of investment projects and to increase number of staff working on implementation of the Recovery and Resilience Plan in Czechia.</w:t>
      </w:r>
      <w:r w:rsidRPr="00FE48E2">
        <w:rPr>
          <w:rFonts w:eastAsia="Times New Roman"/>
          <w:noProof/>
          <w:color w:val="000000" w:themeColor="text1"/>
          <w:szCs w:val="24"/>
          <w:lang w:val="en-IE"/>
        </w:rPr>
        <w:t xml:space="preserve"> </w:t>
      </w:r>
    </w:p>
    <w:p w:rsidRPr="00FE48E2" w:rsidR="00D87E44" w:rsidP="00D226F4" w:rsidRDefault="00D87E44" w14:paraId="1545844B" w14:textId="77777777">
      <w:pPr>
        <w:spacing w:line="259"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The component supports addressing country-specific recommendation 3 2019, according to which Czechia shall reduce the administrative burden on investment and support more quality-based competition in public procurement, and country-specific recommendation 3 2020, according to which Czechia shall support small and medium-sized enterprises by making greater use of financial instruments to ensure liquidity support, reducing the administrative burden and improving eGovernment.</w:t>
      </w:r>
    </w:p>
    <w:p w:rsidRPr="008A08C5" w:rsidR="00D87E44" w:rsidP="00D226F4" w:rsidRDefault="00D87E44" w14:paraId="1545844C"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844D" w14:textId="77777777">
      <w:pPr>
        <w:keepNext/>
        <w:spacing w:line="240" w:lineRule="auto"/>
        <w:jc w:val="both"/>
        <w:rPr>
          <w:rFonts w:eastAsia="Times New Roman"/>
          <w:noProof/>
          <w:color w:val="000000" w:themeColor="text1"/>
          <w:szCs w:val="24"/>
          <w:lang w:val="en-IE"/>
        </w:rPr>
      </w:pPr>
    </w:p>
    <w:p w:rsidRPr="00D9276C" w:rsidR="00D87E44" w:rsidP="00D226F4" w:rsidRDefault="00D87E44" w14:paraId="1545844E" w14:textId="77777777">
      <w:pPr>
        <w:keepNext/>
        <w:spacing w:line="240" w:lineRule="auto"/>
        <w:jc w:val="both"/>
        <w:rPr>
          <w:rFonts w:eastAsia="Times New Roman"/>
          <w:noProof/>
          <w:color w:val="000000" w:themeColor="text1"/>
          <w:lang w:val="en-IE"/>
        </w:rPr>
      </w:pPr>
      <w:r w:rsidRPr="00D9276C">
        <w:rPr>
          <w:rFonts w:eastAsia="Times New Roman"/>
          <w:b/>
          <w:bCs/>
          <w:noProof/>
          <w:color w:val="000000" w:themeColor="text1"/>
          <w:u w:val="single"/>
          <w:lang w:val="en-IE"/>
        </w:rPr>
        <w:t xml:space="preserve">U.1. </w:t>
      </w:r>
      <w:r w:rsidRPr="00D9276C">
        <w:rPr>
          <w:noProof/>
        </w:rPr>
        <w:tab/>
      </w:r>
      <w:r w:rsidRPr="00D9276C">
        <w:rPr>
          <w:rFonts w:eastAsia="Times New Roman"/>
          <w:b/>
          <w:bCs/>
          <w:noProof/>
          <w:color w:val="000000" w:themeColor="text1"/>
          <w:u w:val="single"/>
          <w:lang w:val="en-IE"/>
        </w:rPr>
        <w:t>Description of the reforms and investments for non-repayable financial support</w:t>
      </w:r>
    </w:p>
    <w:p w:rsidRPr="00D9276C" w:rsidR="00D87E44" w:rsidP="00D226F4" w:rsidRDefault="00D87E44" w14:paraId="1545844F" w14:textId="77777777">
      <w:pPr>
        <w:spacing w:line="259" w:lineRule="auto"/>
        <w:jc w:val="both"/>
        <w:rPr>
          <w:rFonts w:eastAsia="Times New Roman"/>
          <w:noProof/>
          <w:color w:val="000000" w:themeColor="text1"/>
          <w:lang w:val="en-IE"/>
        </w:rPr>
      </w:pPr>
      <w:r w:rsidRPr="00D9276C">
        <w:rPr>
          <w:rFonts w:eastAsia="Times New Roman"/>
          <w:b/>
          <w:noProof/>
          <w:color w:val="000000" w:themeColor="text1"/>
          <w:lang w:val="en-IE"/>
        </w:rPr>
        <w:t xml:space="preserve">Reform 1: Methodological support for the preparation of projects in line with the EU objectives   </w:t>
      </w:r>
    </w:p>
    <w:p w:rsidRPr="00D9276C" w:rsidR="00D87E44" w:rsidP="00D226F4" w:rsidRDefault="00D87E44" w14:paraId="15458450" w14:textId="77777777">
      <w:pPr>
        <w:spacing w:line="259" w:lineRule="auto"/>
        <w:jc w:val="both"/>
        <w:rPr>
          <w:rFonts w:eastAsia="Times New Roman"/>
          <w:noProof/>
          <w:color w:val="000000" w:themeColor="text1"/>
          <w:lang w:val="en-IE"/>
        </w:rPr>
      </w:pPr>
      <w:r w:rsidRPr="00D9276C">
        <w:rPr>
          <w:rFonts w:eastAsia="Times New Roman"/>
          <w:noProof/>
          <w:color w:val="000000" w:themeColor="text1"/>
          <w:lang w:val="en-IE"/>
        </w:rPr>
        <w:t>The reform consists of institutional and procedural changes and aims to provide capacity building as well as methodological and information support to public investors e.g. municipalities, regions or corporations owned by public entities that are responsible for implementation of public investments. This methodological and information support shall be provided by the established Coordination and Competence Centre. The reform shall focus on adoption of the management plan of the Coordination and Competence C</w:t>
      </w:r>
      <w:r w:rsidRPr="00D9276C">
        <w:rPr>
          <w:rFonts w:eastAsia="Times New Roman"/>
          <w:noProof/>
          <w:color w:val="000000" w:themeColor="text1"/>
          <w:lang w:val="en-IE"/>
        </w:rPr>
        <w:t xml:space="preserve">entre with a detailed description of supported activities and their timeline of implementation. </w:t>
      </w:r>
    </w:p>
    <w:p w:rsidRPr="00D9276C" w:rsidR="00D87E44" w:rsidP="00D226F4" w:rsidRDefault="00D87E44" w14:paraId="15458451" w14:textId="77777777">
      <w:pPr>
        <w:spacing w:line="259" w:lineRule="auto"/>
        <w:jc w:val="both"/>
        <w:rPr>
          <w:rFonts w:eastAsia="Times New Roman"/>
          <w:noProof/>
          <w:color w:val="000000" w:themeColor="text1"/>
          <w:lang w:val="en-IE"/>
        </w:rPr>
      </w:pPr>
      <w:r w:rsidRPr="00D9276C">
        <w:rPr>
          <w:rFonts w:eastAsia="Times New Roman"/>
          <w:noProof/>
          <w:color w:val="000000" w:themeColor="text1"/>
          <w:lang w:val="en-IE"/>
        </w:rPr>
        <w:t>This reform shall be implemented by 31 December 2023.</w:t>
      </w:r>
    </w:p>
    <w:p w:rsidRPr="00D9276C" w:rsidR="00D87E44" w:rsidP="00D226F4" w:rsidRDefault="00D87E44" w14:paraId="15458452" w14:textId="77777777">
      <w:pPr>
        <w:spacing w:line="259" w:lineRule="auto"/>
        <w:jc w:val="both"/>
        <w:rPr>
          <w:rFonts w:eastAsia="Times New Roman"/>
          <w:noProof/>
          <w:color w:val="000000" w:themeColor="text1"/>
          <w:szCs w:val="24"/>
          <w:lang w:val="en-IE"/>
        </w:rPr>
      </w:pPr>
      <w:r w:rsidRPr="00D9276C">
        <w:rPr>
          <w:rFonts w:eastAsia="Times New Roman"/>
          <w:b/>
          <w:noProof/>
          <w:color w:val="000000" w:themeColor="text1"/>
          <w:szCs w:val="24"/>
          <w:lang w:val="en-IE"/>
        </w:rPr>
        <w:t>Reform 2: Methodological support and modernisation of public investment</w:t>
      </w:r>
    </w:p>
    <w:p w:rsidRPr="00D9276C" w:rsidR="00D87E44" w:rsidP="00D226F4" w:rsidRDefault="00D87E44" w14:paraId="15458453" w14:textId="77777777">
      <w:pPr>
        <w:keepNext/>
        <w:spacing w:line="240" w:lineRule="auto"/>
        <w:jc w:val="both"/>
        <w:rPr>
          <w:rFonts w:eastAsia="Times New Roman"/>
          <w:noProof/>
          <w:color w:val="000000" w:themeColor="text1"/>
          <w:szCs w:val="24"/>
          <w:lang w:val="en-IE"/>
        </w:rPr>
      </w:pPr>
      <w:r w:rsidRPr="00D9276C">
        <w:rPr>
          <w:rFonts w:eastAsia="Times New Roman"/>
          <w:noProof/>
          <w:color w:val="000000" w:themeColor="text1"/>
          <w:szCs w:val="24"/>
          <w:lang w:val="en-IE"/>
        </w:rPr>
        <w:t>The reform consists of institutional and procedural changes and aims to support preparation and adoption of a new public procurement strategy and an action plan for its implementation. The strategy and the action plan shall focus at least on the following priorities: professionalisation of contracting authorities, sustainable purchasing, centralisation and joint purchases.</w:t>
      </w:r>
    </w:p>
    <w:p w:rsidRPr="00D9276C" w:rsidR="00D87E44" w:rsidP="00D226F4" w:rsidRDefault="00D87E44" w14:paraId="15458454" w14:textId="77777777">
      <w:pPr>
        <w:spacing w:line="259" w:lineRule="auto"/>
        <w:jc w:val="both"/>
        <w:rPr>
          <w:rFonts w:eastAsia="Times New Roman"/>
          <w:noProof/>
          <w:color w:val="000000" w:themeColor="text1"/>
          <w:szCs w:val="24"/>
          <w:lang w:val="en-IE"/>
        </w:rPr>
      </w:pPr>
      <w:r w:rsidRPr="00D9276C">
        <w:rPr>
          <w:rFonts w:eastAsia="Times New Roman"/>
          <w:noProof/>
          <w:color w:val="000000" w:themeColor="text1"/>
          <w:szCs w:val="24"/>
          <w:lang w:val="en-IE"/>
        </w:rPr>
        <w:t>This reform shall be implemented by 31 March 2024.</w:t>
      </w:r>
    </w:p>
    <w:p w:rsidRPr="00D9276C" w:rsidR="00D87E44" w:rsidP="00D226F4" w:rsidRDefault="00D87E44" w14:paraId="15458455" w14:textId="77777777">
      <w:pPr>
        <w:keepNext/>
        <w:spacing w:line="259" w:lineRule="auto"/>
        <w:jc w:val="both"/>
        <w:rPr>
          <w:rFonts w:eastAsia="Times New Roman"/>
          <w:noProof/>
          <w:color w:val="000000" w:themeColor="text1"/>
          <w:lang w:val="en-IE"/>
        </w:rPr>
      </w:pPr>
      <w:r w:rsidRPr="00D9276C">
        <w:rPr>
          <w:rFonts w:eastAsia="Times New Roman"/>
          <w:b/>
          <w:bCs/>
          <w:noProof/>
          <w:color w:val="000000" w:themeColor="text1"/>
          <w:lang w:val="en-IE"/>
        </w:rPr>
        <w:lastRenderedPageBreak/>
        <w:t xml:space="preserve">Reform 3: Financial support for the preparation of projects in line with EU objectives </w:t>
      </w:r>
    </w:p>
    <w:p w:rsidRPr="00D9276C" w:rsidR="00D87E44" w:rsidP="00D226F4" w:rsidRDefault="00D87E44" w14:paraId="15458456" w14:textId="77777777">
      <w:pPr>
        <w:spacing w:line="259" w:lineRule="auto"/>
        <w:jc w:val="both"/>
        <w:rPr>
          <w:rFonts w:eastAsia="Times New Roman"/>
          <w:noProof/>
          <w:color w:val="000000" w:themeColor="text1"/>
          <w:lang w:val="en-IE"/>
        </w:rPr>
      </w:pPr>
      <w:r w:rsidRPr="00D9276C">
        <w:rPr>
          <w:rFonts w:eastAsia="Times New Roman"/>
          <w:noProof/>
          <w:color w:val="000000" w:themeColor="text1"/>
          <w:lang w:val="en-IE"/>
        </w:rPr>
        <w:t xml:space="preserve">The reform aims to support local and regional authorithies in the preparation of at least 300 project documentation in line with EU objectives. </w:t>
      </w:r>
    </w:p>
    <w:p w:rsidRPr="00D9276C" w:rsidR="00D87E44" w:rsidP="00D226F4" w:rsidRDefault="00D87E44" w14:paraId="15458457" w14:textId="77777777">
      <w:pPr>
        <w:spacing w:line="259" w:lineRule="auto"/>
        <w:jc w:val="both"/>
        <w:rPr>
          <w:rFonts w:eastAsia="Times New Roman"/>
          <w:noProof/>
          <w:color w:val="000000" w:themeColor="text1"/>
          <w:lang w:val="en-IE"/>
        </w:rPr>
      </w:pPr>
      <w:r w:rsidRPr="00D9276C">
        <w:rPr>
          <w:rFonts w:eastAsia="Times New Roman"/>
          <w:noProof/>
          <w:color w:val="000000" w:themeColor="text1"/>
          <w:lang w:val="en-IE"/>
        </w:rPr>
        <w:t>This reform shall be implemented by 30 September 2024.</w:t>
      </w:r>
    </w:p>
    <w:p w:rsidR="00D87E44" w:rsidRDefault="00D87E44" w14:paraId="15458458" w14:textId="77777777">
      <w:pPr>
        <w:spacing w:before="0" w:after="160" w:line="259" w:lineRule="auto"/>
        <w:rPr>
          <w:rFonts w:eastAsia="Times New Roman"/>
          <w:b/>
          <w:noProof/>
          <w:color w:val="000000" w:themeColor="text1"/>
          <w:szCs w:val="24"/>
          <w:lang w:val="en-IE"/>
        </w:rPr>
      </w:pPr>
      <w:r>
        <w:rPr>
          <w:rFonts w:eastAsia="Times New Roman"/>
          <w:b/>
          <w:noProof/>
          <w:color w:val="000000" w:themeColor="text1"/>
          <w:szCs w:val="24"/>
          <w:lang w:val="en-IE"/>
        </w:rPr>
        <w:br w:type="page"/>
      </w:r>
    </w:p>
    <w:p w:rsidRPr="00D9276C" w:rsidR="00D87E44" w:rsidP="00D226F4" w:rsidRDefault="00D87E44" w14:paraId="15458459" w14:textId="77777777">
      <w:pPr>
        <w:spacing w:line="259" w:lineRule="auto"/>
        <w:jc w:val="both"/>
        <w:rPr>
          <w:rFonts w:eastAsia="Times New Roman"/>
          <w:noProof/>
          <w:color w:val="000000" w:themeColor="text1"/>
          <w:szCs w:val="24"/>
          <w:lang w:val="en-IE"/>
        </w:rPr>
      </w:pPr>
      <w:r w:rsidRPr="00D9276C">
        <w:rPr>
          <w:rFonts w:eastAsia="Times New Roman"/>
          <w:b/>
          <w:noProof/>
          <w:color w:val="000000" w:themeColor="text1"/>
          <w:szCs w:val="24"/>
          <w:lang w:val="en-IE"/>
        </w:rPr>
        <w:lastRenderedPageBreak/>
        <w:t xml:space="preserve">Reform 4: The increase of effectiveness and enhancing the implementation of the National Recovery and Resilience Plan  </w:t>
      </w:r>
    </w:p>
    <w:p w:rsidRPr="00D9276C" w:rsidR="00D87E44" w:rsidP="00D226F4" w:rsidRDefault="00D87E44" w14:paraId="1545845A" w14:textId="77777777">
      <w:pPr>
        <w:spacing w:line="259" w:lineRule="auto"/>
        <w:jc w:val="both"/>
        <w:rPr>
          <w:rFonts w:eastAsia="Times New Roman"/>
          <w:noProof/>
          <w:color w:val="000000" w:themeColor="text1"/>
          <w:lang w:val="en-IE"/>
        </w:rPr>
      </w:pPr>
      <w:r w:rsidRPr="00D9276C">
        <w:rPr>
          <w:rFonts w:eastAsia="Times New Roman"/>
          <w:noProof/>
          <w:color w:val="000000" w:themeColor="text1"/>
          <w:lang w:val="en-IE"/>
        </w:rPr>
        <w:t>The reform consists of institutional and procedural changes and aims to strengthen the administrative capacity to coordinate and implement the Czech Recovery and Resilience Plan. New full-time equivalent people shall be hired to support the strategic, analytical, coordination, monitoring, control and communication activities of the bodies involved in the implementation ofthe Plan, including its coordination and audit. Communication and media campaign as well as new functionalities of the monitoring and repo</w:t>
      </w:r>
      <w:r w:rsidRPr="00D9276C">
        <w:rPr>
          <w:rFonts w:eastAsia="Times New Roman"/>
          <w:noProof/>
          <w:color w:val="000000" w:themeColor="text1"/>
          <w:lang w:val="en-IE"/>
        </w:rPr>
        <w:t>rting system shall also be supported.</w:t>
      </w:r>
    </w:p>
    <w:p w:rsidRPr="00FE48E2" w:rsidR="00D87E44" w:rsidP="00FF1320" w:rsidRDefault="00D87E44" w14:paraId="1545845B" w14:textId="77777777">
      <w:pPr>
        <w:keepNext/>
        <w:spacing w:line="240" w:lineRule="auto"/>
        <w:rPr>
          <w:rFonts w:eastAsia="Times New Roman"/>
          <w:noProof/>
          <w:color w:val="000000" w:themeColor="text1"/>
          <w:szCs w:val="24"/>
          <w:lang w:val="en-IE"/>
        </w:rPr>
        <w:sectPr w:rsidRPr="00FE48E2" w:rsidR="00C16C1F" w:rsidSect="00D226F4">
          <w:headerReference w:type="even" r:id="R146ac3d293674bca"/>
          <w:headerReference w:type="default" r:id="R5c9ed802668b41ff"/>
          <w:footerReference w:type="even" r:id="R179d4d0e96e54bb2"/>
          <w:footerReference w:type="default" r:id="R5eda98730d82464d"/>
          <w:headerReference w:type="first" r:id="R45d27c5537064662"/>
          <w:footerReference w:type="first" r:id="R03bfd2185efa4eac"/>
          <w:pgSz w:w="11907" w:h="16839"/>
          <w:pgMar w:top="1134" w:right="1134" w:bottom="1134" w:left="1134" w:header="567" w:footer="567" w:gutter="0"/>
          <w:cols w:space="720"/>
          <w:docGrid w:linePitch="326"/>
        </w:sectPr>
      </w:pPr>
      <w:r w:rsidRPr="00D9276C">
        <w:rPr>
          <w:rFonts w:eastAsia="Times New Roman"/>
          <w:noProof/>
          <w:color w:val="000000" w:themeColor="text1"/>
          <w:szCs w:val="24"/>
          <w:lang w:val="en-IE"/>
        </w:rPr>
        <w:t>This reform shall be implemented by 31 December 2024.</w:t>
      </w:r>
    </w:p>
    <w:p w:rsidRPr="00FE48E2" w:rsidR="00D87E44" w:rsidP="00D226F4" w:rsidRDefault="00D87E44" w14:paraId="1545845C" w14:textId="77777777">
      <w:pPr>
        <w:keepNext/>
        <w:spacing w:line="240" w:lineRule="auto"/>
        <w:jc w:val="both"/>
        <w:rPr>
          <w:rFonts w:eastAsia="Times New Roman"/>
          <w:b/>
          <w:bCs/>
          <w:noProof/>
          <w:color w:val="000000" w:themeColor="text1"/>
          <w:u w:val="single"/>
          <w:lang w:val="en-IE"/>
        </w:rPr>
      </w:pPr>
      <w:r w:rsidRPr="1B282876">
        <w:rPr>
          <w:rFonts w:eastAsia="Times New Roman"/>
          <w:b/>
          <w:bCs/>
          <w:noProof/>
          <w:color w:val="000000" w:themeColor="text1"/>
          <w:u w:val="single"/>
          <w:lang w:val="en-IE"/>
        </w:rPr>
        <w:lastRenderedPageBreak/>
        <w:t>U.2</w:t>
      </w:r>
      <w:r w:rsidRPr="00C86F28">
        <w:rPr>
          <w:rFonts w:eastAsia="Times New Roman"/>
          <w:b/>
          <w:bCs/>
          <w:noProof/>
          <w:color w:val="000000" w:themeColor="text1"/>
          <w:u w:val="single"/>
          <w:lang w:val="en-IE"/>
        </w:rPr>
        <w:t xml:space="preserve">. </w:t>
      </w:r>
      <w:r w:rsidRPr="00C86F28">
        <w:rPr>
          <w:noProof/>
          <w:u w:val="single"/>
        </w:rPr>
        <w:tab/>
      </w:r>
      <w:r w:rsidRPr="1B282876">
        <w:rPr>
          <w:rFonts w:eastAsia="Times New Roman"/>
          <w:b/>
          <w:bCs/>
          <w:noProof/>
          <w:color w:val="000000" w:themeColor="text1"/>
          <w:u w:val="single"/>
          <w:lang w:val="en-IE"/>
        </w:rPr>
        <w:t xml:space="preserve">Milestones, targets, indicators, and timetable for </w:t>
      </w:r>
      <w:r w:rsidRPr="1B282876">
        <w:rPr>
          <w:rFonts w:eastAsia="Times New Roman"/>
          <w:b/>
          <w:bCs/>
          <w:noProof/>
          <w:color w:val="000000" w:themeColor="text1"/>
          <w:u w:val="single"/>
          <w:lang w:val="en-IE"/>
        </w:rPr>
        <w:t>monitoring and implementation for non-repayable financial support</w:t>
      </w:r>
    </w:p>
    <w:tbl>
      <w:tblPr>
        <w:tblW w:w="15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851"/>
        <w:gridCol w:w="1554"/>
        <w:gridCol w:w="1134"/>
        <w:gridCol w:w="1559"/>
        <w:gridCol w:w="1701"/>
        <w:gridCol w:w="1387"/>
        <w:gridCol w:w="955"/>
        <w:gridCol w:w="955"/>
        <w:gridCol w:w="1040"/>
        <w:gridCol w:w="640"/>
        <w:gridCol w:w="3959"/>
      </w:tblGrid>
      <w:tr w:rsidRPr="00FE48E2" w:rsidR="00E3458A" w14:paraId="15458465" w14:textId="77777777">
        <w:trPr>
          <w:trHeight w:val="672"/>
          <w:tblHeader/>
          <w:jc w:val="center"/>
        </w:trPr>
        <w:tc>
          <w:tcPr>
            <w:tcW w:w="851" w:type="dxa"/>
            <w:vMerge w:val="restart"/>
            <w:shd w:val="clear" w:color="auto" w:fill="BDD7EE"/>
            <w:vAlign w:val="center"/>
            <w:hideMark/>
          </w:tcPr>
          <w:p w:rsidRPr="00FE48E2" w:rsidR="00D87E44" w:rsidRDefault="00D87E44" w14:paraId="1545845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554" w:type="dxa"/>
            <w:vMerge w:val="restart"/>
            <w:shd w:val="clear" w:color="auto" w:fill="BDD7EE"/>
            <w:vAlign w:val="center"/>
            <w:hideMark/>
          </w:tcPr>
          <w:p w:rsidRPr="00FE48E2" w:rsidR="00D87E44" w:rsidRDefault="00D87E44" w14:paraId="1545845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134" w:type="dxa"/>
            <w:vMerge w:val="restart"/>
            <w:shd w:val="clear" w:color="auto" w:fill="BDD7EE"/>
            <w:vAlign w:val="center"/>
            <w:hideMark/>
          </w:tcPr>
          <w:p w:rsidRPr="00FE48E2" w:rsidR="00D87E44" w:rsidRDefault="00D87E44" w14:paraId="1545845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559" w:type="dxa"/>
            <w:vMerge w:val="restart"/>
            <w:shd w:val="clear" w:color="auto" w:fill="BDD7EE"/>
            <w:vAlign w:val="center"/>
            <w:hideMark/>
          </w:tcPr>
          <w:p w:rsidRPr="00FE48E2" w:rsidR="00D87E44" w:rsidRDefault="00D87E44" w14:paraId="1545846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01" w:type="dxa"/>
            <w:vMerge w:val="restart"/>
            <w:shd w:val="clear" w:color="auto" w:fill="BDD7EE"/>
            <w:vAlign w:val="center"/>
            <w:hideMark/>
          </w:tcPr>
          <w:p w:rsidRPr="00FE48E2" w:rsidR="00D87E44" w:rsidRDefault="00D87E44" w14:paraId="1545846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3297" w:type="dxa"/>
            <w:gridSpan w:val="3"/>
            <w:shd w:val="clear" w:color="auto" w:fill="BDD7EE"/>
            <w:vAlign w:val="center"/>
            <w:hideMark/>
          </w:tcPr>
          <w:p w:rsidRPr="00FE48E2" w:rsidR="00D87E44" w:rsidRDefault="00D87E44" w14:paraId="1545846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680" w:type="dxa"/>
            <w:gridSpan w:val="2"/>
            <w:shd w:val="clear" w:color="auto" w:fill="BDD7EE"/>
            <w:vAlign w:val="center"/>
            <w:hideMark/>
          </w:tcPr>
          <w:p w:rsidRPr="00FE48E2" w:rsidR="00D87E44" w:rsidRDefault="00D87E44" w14:paraId="1545846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959" w:type="dxa"/>
            <w:vMerge w:val="restart"/>
            <w:shd w:val="clear" w:color="auto" w:fill="BDD7EE"/>
            <w:vAlign w:val="center"/>
            <w:hideMark/>
          </w:tcPr>
          <w:p w:rsidRPr="00FE48E2" w:rsidR="00D87E44" w:rsidRDefault="00D87E44" w14:paraId="1545846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471" w14:textId="77777777">
        <w:trPr>
          <w:trHeight w:val="458"/>
          <w:tblHeader/>
          <w:jc w:val="center"/>
        </w:trPr>
        <w:tc>
          <w:tcPr>
            <w:tcW w:w="851" w:type="dxa"/>
            <w:vMerge/>
            <w:vAlign w:val="center"/>
            <w:hideMark/>
          </w:tcPr>
          <w:p w:rsidRPr="00FE48E2" w:rsidR="00D87E44" w:rsidRDefault="00D87E44" w14:paraId="15458466" w14:textId="77777777">
            <w:pPr>
              <w:spacing w:before="0" w:after="0" w:line="240" w:lineRule="auto"/>
              <w:rPr>
                <w:rFonts w:eastAsia="Times New Roman"/>
                <w:b/>
                <w:noProof/>
                <w:sz w:val="18"/>
                <w:szCs w:val="18"/>
                <w:lang w:val="en-IE"/>
              </w:rPr>
            </w:pPr>
          </w:p>
        </w:tc>
        <w:tc>
          <w:tcPr>
            <w:tcW w:w="1554" w:type="dxa"/>
            <w:vMerge/>
            <w:vAlign w:val="center"/>
            <w:hideMark/>
          </w:tcPr>
          <w:p w:rsidRPr="00FE48E2" w:rsidR="00D87E44" w:rsidRDefault="00D87E44" w14:paraId="15458467" w14:textId="77777777">
            <w:pPr>
              <w:spacing w:before="0" w:after="0" w:line="240" w:lineRule="auto"/>
              <w:rPr>
                <w:rFonts w:eastAsia="Times New Roman"/>
                <w:b/>
                <w:noProof/>
                <w:sz w:val="18"/>
                <w:szCs w:val="18"/>
                <w:lang w:val="en-IE"/>
              </w:rPr>
            </w:pPr>
          </w:p>
        </w:tc>
        <w:tc>
          <w:tcPr>
            <w:tcW w:w="1134" w:type="dxa"/>
            <w:vMerge/>
            <w:vAlign w:val="center"/>
            <w:hideMark/>
          </w:tcPr>
          <w:p w:rsidRPr="00FE48E2" w:rsidR="00D87E44" w:rsidRDefault="00D87E44" w14:paraId="15458468" w14:textId="77777777">
            <w:pPr>
              <w:spacing w:before="0" w:after="0" w:line="240" w:lineRule="auto"/>
              <w:rPr>
                <w:rFonts w:eastAsia="Times New Roman"/>
                <w:b/>
                <w:noProof/>
                <w:sz w:val="18"/>
                <w:szCs w:val="18"/>
                <w:lang w:val="en-IE"/>
              </w:rPr>
            </w:pPr>
          </w:p>
        </w:tc>
        <w:tc>
          <w:tcPr>
            <w:tcW w:w="1559" w:type="dxa"/>
            <w:vMerge/>
            <w:vAlign w:val="center"/>
            <w:hideMark/>
          </w:tcPr>
          <w:p w:rsidRPr="00FE48E2" w:rsidR="00D87E44" w:rsidRDefault="00D87E44" w14:paraId="15458469" w14:textId="77777777">
            <w:pPr>
              <w:spacing w:before="0" w:after="0" w:line="240" w:lineRule="auto"/>
              <w:rPr>
                <w:rFonts w:eastAsia="Times New Roman"/>
                <w:b/>
                <w:noProof/>
                <w:sz w:val="18"/>
                <w:szCs w:val="18"/>
                <w:lang w:val="en-IE"/>
              </w:rPr>
            </w:pPr>
          </w:p>
        </w:tc>
        <w:tc>
          <w:tcPr>
            <w:tcW w:w="1701" w:type="dxa"/>
            <w:vMerge/>
            <w:vAlign w:val="center"/>
            <w:hideMark/>
          </w:tcPr>
          <w:p w:rsidRPr="00FE48E2" w:rsidR="00D87E44" w:rsidRDefault="00D87E44" w14:paraId="1545846A" w14:textId="77777777">
            <w:pPr>
              <w:spacing w:before="0" w:after="0" w:line="240" w:lineRule="auto"/>
              <w:rPr>
                <w:rFonts w:eastAsia="Times New Roman"/>
                <w:b/>
                <w:noProof/>
                <w:sz w:val="18"/>
                <w:szCs w:val="18"/>
                <w:lang w:val="en-IE"/>
              </w:rPr>
            </w:pPr>
          </w:p>
        </w:tc>
        <w:tc>
          <w:tcPr>
            <w:tcW w:w="1387" w:type="dxa"/>
            <w:shd w:val="clear" w:color="auto" w:fill="BDD7EE"/>
            <w:vAlign w:val="center"/>
            <w:hideMark/>
          </w:tcPr>
          <w:p w:rsidRPr="00C86F28" w:rsidR="00D87E44" w:rsidRDefault="00D87E44" w14:paraId="1545846B"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Unit of measure</w:t>
            </w:r>
          </w:p>
        </w:tc>
        <w:tc>
          <w:tcPr>
            <w:tcW w:w="955" w:type="dxa"/>
            <w:shd w:val="clear" w:color="auto" w:fill="BDD7EE"/>
            <w:vAlign w:val="center"/>
            <w:hideMark/>
          </w:tcPr>
          <w:p w:rsidRPr="00C86F28" w:rsidR="00D87E44" w:rsidRDefault="00D87E44" w14:paraId="1545846C"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Baseline </w:t>
            </w:r>
          </w:p>
        </w:tc>
        <w:tc>
          <w:tcPr>
            <w:tcW w:w="955" w:type="dxa"/>
            <w:shd w:val="clear" w:color="auto" w:fill="BDD7EE"/>
            <w:vAlign w:val="center"/>
            <w:hideMark/>
          </w:tcPr>
          <w:p w:rsidRPr="00C86F28" w:rsidR="00D87E44" w:rsidRDefault="00D87E44" w14:paraId="1545846D"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 xml:space="preserve">Goal </w:t>
            </w:r>
          </w:p>
        </w:tc>
        <w:tc>
          <w:tcPr>
            <w:tcW w:w="1040" w:type="dxa"/>
            <w:shd w:val="clear" w:color="auto" w:fill="BDD7EE"/>
            <w:vAlign w:val="center"/>
            <w:hideMark/>
          </w:tcPr>
          <w:p w:rsidRPr="00C86F28" w:rsidR="00D87E44" w:rsidRDefault="00D87E44" w14:paraId="1545846E"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Quarter</w:t>
            </w:r>
          </w:p>
        </w:tc>
        <w:tc>
          <w:tcPr>
            <w:tcW w:w="640" w:type="dxa"/>
            <w:shd w:val="clear" w:color="auto" w:fill="BDD7EE"/>
            <w:vAlign w:val="center"/>
            <w:hideMark/>
          </w:tcPr>
          <w:p w:rsidRPr="00C86F28" w:rsidR="00D87E44" w:rsidRDefault="00D87E44" w14:paraId="1545846F" w14:textId="77777777">
            <w:pPr>
              <w:spacing w:before="0" w:after="0" w:line="240" w:lineRule="auto"/>
              <w:jc w:val="center"/>
              <w:rPr>
                <w:rFonts w:eastAsia="Times New Roman"/>
                <w:b/>
                <w:noProof/>
                <w:sz w:val="18"/>
                <w:szCs w:val="18"/>
                <w:lang w:val="en-IE"/>
              </w:rPr>
            </w:pPr>
            <w:r w:rsidRPr="00C86F28">
              <w:rPr>
                <w:rFonts w:eastAsia="Times New Roman"/>
                <w:b/>
                <w:noProof/>
                <w:sz w:val="18"/>
                <w:szCs w:val="18"/>
                <w:lang w:val="en-IE"/>
              </w:rPr>
              <w:t>Year</w:t>
            </w:r>
          </w:p>
        </w:tc>
        <w:tc>
          <w:tcPr>
            <w:tcW w:w="3959" w:type="dxa"/>
            <w:vMerge/>
            <w:vAlign w:val="center"/>
            <w:hideMark/>
          </w:tcPr>
          <w:p w:rsidRPr="00FE48E2" w:rsidR="00D87E44" w:rsidRDefault="00D87E44" w14:paraId="15458470" w14:textId="77777777">
            <w:pPr>
              <w:spacing w:before="0" w:after="0" w:line="240" w:lineRule="auto"/>
              <w:rPr>
                <w:rFonts w:eastAsia="Times New Roman"/>
                <w:b/>
                <w:noProof/>
                <w:sz w:val="18"/>
                <w:szCs w:val="18"/>
                <w:lang w:val="en-IE"/>
              </w:rPr>
            </w:pPr>
          </w:p>
        </w:tc>
      </w:tr>
      <w:tr w:rsidRPr="00FE48E2" w:rsidR="00E3458A" w14:paraId="1545847E" w14:textId="77777777">
        <w:trPr>
          <w:trHeight w:val="309"/>
          <w:jc w:val="center"/>
        </w:trPr>
        <w:tc>
          <w:tcPr>
            <w:tcW w:w="851" w:type="dxa"/>
            <w:shd w:val="clear" w:color="auto" w:fill="C6EFCE"/>
            <w:hideMark/>
          </w:tcPr>
          <w:p w:rsidRPr="00D9276C" w:rsidR="00D87E44" w:rsidRDefault="00D87E44" w14:paraId="15458472" w14:textId="77777777">
            <w:pPr>
              <w:spacing w:before="0" w:after="0" w:line="240" w:lineRule="auto"/>
              <w:rPr>
                <w:noProof/>
              </w:rPr>
            </w:pPr>
            <w:r w:rsidRPr="00D9276C">
              <w:rPr>
                <w:rFonts w:eastAsia="Times New Roman"/>
                <w:noProof/>
                <w:color w:val="004300"/>
                <w:sz w:val="18"/>
                <w:szCs w:val="18"/>
                <w:lang w:val="en-IE"/>
              </w:rPr>
              <w:t>280</w:t>
            </w:r>
          </w:p>
        </w:tc>
        <w:tc>
          <w:tcPr>
            <w:tcW w:w="1554" w:type="dxa"/>
            <w:shd w:val="clear" w:color="auto" w:fill="C6EFCE"/>
            <w:hideMark/>
          </w:tcPr>
          <w:p w:rsidRPr="00D9276C" w:rsidR="00D87E44" w:rsidRDefault="00D87E44" w14:paraId="15458473"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Reform 1:</w:t>
            </w:r>
            <w:r w:rsidRPr="00D9276C">
              <w:rPr>
                <w:noProof/>
                <w:lang w:val="en-IE"/>
              </w:rPr>
              <w:br/>
            </w:r>
            <w:r w:rsidRPr="00D9276C">
              <w:rPr>
                <w:rFonts w:eastAsia="Times New Roman"/>
                <w:noProof/>
                <w:color w:val="006100"/>
                <w:sz w:val="18"/>
                <w:szCs w:val="18"/>
                <w:lang w:val="en-IE"/>
              </w:rPr>
              <w:t>Methodological support for the preparation of projects in line with the EU objectives</w:t>
            </w:r>
          </w:p>
        </w:tc>
        <w:tc>
          <w:tcPr>
            <w:tcW w:w="1134" w:type="dxa"/>
            <w:shd w:val="clear" w:color="auto" w:fill="C6EFCE"/>
            <w:hideMark/>
          </w:tcPr>
          <w:p w:rsidRPr="00D9276C" w:rsidR="00D87E44" w:rsidRDefault="00D87E44" w14:paraId="15458474"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Milestone</w:t>
            </w:r>
          </w:p>
        </w:tc>
        <w:tc>
          <w:tcPr>
            <w:tcW w:w="1559" w:type="dxa"/>
            <w:shd w:val="clear" w:color="auto" w:fill="C6EFCE"/>
            <w:hideMark/>
          </w:tcPr>
          <w:p w:rsidRPr="00D9276C" w:rsidR="00D87E44" w:rsidRDefault="00D87E44" w14:paraId="15458475" w14:textId="77777777">
            <w:pPr>
              <w:spacing w:before="0" w:after="0" w:line="240" w:lineRule="auto"/>
              <w:rPr>
                <w:rFonts w:eastAsia="Times New Roman"/>
                <w:noProof/>
                <w:sz w:val="18"/>
                <w:szCs w:val="18"/>
                <w:lang w:val="en-IE"/>
              </w:rPr>
            </w:pPr>
            <w:r w:rsidRPr="00D9276C">
              <w:rPr>
                <w:rFonts w:eastAsia="Times New Roman"/>
                <w:noProof/>
                <w:color w:val="006100"/>
                <w:sz w:val="18"/>
                <w:szCs w:val="18"/>
                <w:lang w:val="en-IE"/>
              </w:rPr>
              <w:t xml:space="preserve">Establishment of the Coordination and Competence Centre and adoption of its management plan.  </w:t>
            </w:r>
          </w:p>
        </w:tc>
        <w:tc>
          <w:tcPr>
            <w:tcW w:w="1701" w:type="dxa"/>
            <w:shd w:val="clear" w:color="auto" w:fill="C6EFCE"/>
            <w:hideMark/>
          </w:tcPr>
          <w:p w:rsidRPr="00D9276C" w:rsidR="00D87E44" w:rsidRDefault="00D87E44" w14:paraId="15458476"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The Coordination and Competence Centre is established and its management plan is adopted</w:t>
            </w:r>
          </w:p>
        </w:tc>
        <w:tc>
          <w:tcPr>
            <w:tcW w:w="1387" w:type="dxa"/>
            <w:shd w:val="clear" w:color="auto" w:fill="C6EFCE"/>
          </w:tcPr>
          <w:p w:rsidRPr="00D9276C" w:rsidR="00D87E44" w:rsidRDefault="00D87E44" w14:paraId="15458477"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78"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79" w14:textId="77777777">
            <w:pPr>
              <w:spacing w:before="0" w:after="0" w:line="240" w:lineRule="auto"/>
              <w:rPr>
                <w:rFonts w:eastAsia="Times New Roman"/>
                <w:noProof/>
                <w:color w:val="006100"/>
                <w:sz w:val="18"/>
                <w:szCs w:val="18"/>
                <w:lang w:val="en-IE"/>
              </w:rPr>
            </w:pPr>
          </w:p>
        </w:tc>
        <w:tc>
          <w:tcPr>
            <w:tcW w:w="1040" w:type="dxa"/>
            <w:shd w:val="clear" w:color="auto" w:fill="C6EFCE"/>
            <w:hideMark/>
          </w:tcPr>
          <w:p w:rsidRPr="00D9276C" w:rsidR="00D87E44" w:rsidRDefault="00D87E44" w14:paraId="1545847A"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Q4</w:t>
            </w:r>
          </w:p>
        </w:tc>
        <w:tc>
          <w:tcPr>
            <w:tcW w:w="640" w:type="dxa"/>
            <w:shd w:val="clear" w:color="auto" w:fill="C6EFCE"/>
            <w:hideMark/>
          </w:tcPr>
          <w:p w:rsidRPr="00D9276C" w:rsidR="00D87E44" w:rsidRDefault="00D87E44" w14:paraId="1545847B"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2023</w:t>
            </w:r>
          </w:p>
        </w:tc>
        <w:tc>
          <w:tcPr>
            <w:tcW w:w="3959" w:type="dxa"/>
            <w:shd w:val="clear" w:color="auto" w:fill="C6EFCE"/>
            <w:hideMark/>
          </w:tcPr>
          <w:p w:rsidRPr="00D9276C" w:rsidR="00D87E44" w:rsidRDefault="00D87E44" w14:paraId="1545847C"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 xml:space="preserve">The Coordination and Competence Centre shall be established to provide methodological support for the preparation of projects in line with the EU objectives. </w:t>
            </w:r>
          </w:p>
          <w:p w:rsidRPr="00D9276C" w:rsidR="00D87E44" w:rsidRDefault="00D87E44" w14:paraId="1545847D"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The management plan shall include a description of planned activities of the Centre with the timeline of their preparation. The activities shall include at least the preparing of guidance documents, training, dissemination and support for other authorities.   </w:t>
            </w:r>
          </w:p>
        </w:tc>
      </w:tr>
      <w:tr w:rsidRPr="00FE48E2" w:rsidR="00E3458A" w14:paraId="1545848B" w14:textId="77777777">
        <w:trPr>
          <w:trHeight w:val="309"/>
          <w:jc w:val="center"/>
        </w:trPr>
        <w:tc>
          <w:tcPr>
            <w:tcW w:w="851" w:type="dxa"/>
            <w:shd w:val="clear" w:color="auto" w:fill="C6EFCE"/>
          </w:tcPr>
          <w:p w:rsidRPr="00D9276C" w:rsidR="00D87E44" w:rsidRDefault="00D87E44" w14:paraId="1545847F" w14:textId="77777777">
            <w:pPr>
              <w:spacing w:before="0" w:after="0" w:line="240" w:lineRule="auto"/>
              <w:rPr>
                <w:noProof/>
              </w:rPr>
            </w:pPr>
            <w:r w:rsidRPr="00D9276C">
              <w:rPr>
                <w:rFonts w:eastAsia="Times New Roman"/>
                <w:noProof/>
                <w:color w:val="006100"/>
                <w:sz w:val="18"/>
                <w:szCs w:val="18"/>
                <w:lang w:val="en-IE"/>
              </w:rPr>
              <w:t>281</w:t>
            </w:r>
          </w:p>
        </w:tc>
        <w:tc>
          <w:tcPr>
            <w:tcW w:w="1554" w:type="dxa"/>
            <w:shd w:val="clear" w:color="auto" w:fill="C6EFCE"/>
          </w:tcPr>
          <w:p w:rsidRPr="00D9276C" w:rsidR="00D87E44" w:rsidRDefault="00D87E44" w14:paraId="15458480"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 xml:space="preserve">Reform 2: Methodological support and modernisation of public investment </w:t>
            </w:r>
          </w:p>
        </w:tc>
        <w:tc>
          <w:tcPr>
            <w:tcW w:w="1134" w:type="dxa"/>
            <w:shd w:val="clear" w:color="auto" w:fill="C6EFCE"/>
          </w:tcPr>
          <w:p w:rsidRPr="00D9276C" w:rsidR="00D87E44" w:rsidRDefault="00D87E44" w14:paraId="15458481"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Milestone</w:t>
            </w:r>
          </w:p>
        </w:tc>
        <w:tc>
          <w:tcPr>
            <w:tcW w:w="1559" w:type="dxa"/>
            <w:shd w:val="clear" w:color="auto" w:fill="C6EFCE"/>
          </w:tcPr>
          <w:p w:rsidRPr="00D9276C" w:rsidR="00D87E44" w:rsidRDefault="00D87E44" w14:paraId="15458482"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Adoption by the Government of the Czech Republic a new public procurement strategy and an action plan for its implementation</w:t>
            </w:r>
          </w:p>
        </w:tc>
        <w:tc>
          <w:tcPr>
            <w:tcW w:w="1701" w:type="dxa"/>
            <w:shd w:val="clear" w:color="auto" w:fill="C6EFCE"/>
          </w:tcPr>
          <w:p w:rsidRPr="00D9276C" w:rsidR="00D87E44" w:rsidRDefault="00D87E44" w14:paraId="15458483"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The strategy and the action plan adopted</w:t>
            </w:r>
          </w:p>
        </w:tc>
        <w:tc>
          <w:tcPr>
            <w:tcW w:w="1387" w:type="dxa"/>
            <w:shd w:val="clear" w:color="auto" w:fill="C6EFCE"/>
          </w:tcPr>
          <w:p w:rsidRPr="00D9276C" w:rsidR="00D87E44" w:rsidRDefault="00D87E44" w14:paraId="15458484"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85"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86"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D9276C" w:rsidR="00D87E44" w:rsidRDefault="00D87E44" w14:paraId="15458487"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Q1</w:t>
            </w:r>
          </w:p>
        </w:tc>
        <w:tc>
          <w:tcPr>
            <w:tcW w:w="640" w:type="dxa"/>
            <w:shd w:val="clear" w:color="auto" w:fill="C6EFCE"/>
          </w:tcPr>
          <w:p w:rsidRPr="00D9276C" w:rsidR="00D87E44" w:rsidRDefault="00D87E44" w14:paraId="15458488"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2024</w:t>
            </w:r>
          </w:p>
        </w:tc>
        <w:tc>
          <w:tcPr>
            <w:tcW w:w="3959" w:type="dxa"/>
            <w:shd w:val="clear" w:color="auto" w:fill="C6EFCE"/>
          </w:tcPr>
          <w:p w:rsidRPr="00D9276C" w:rsidR="00D87E44" w:rsidRDefault="00D87E44" w14:paraId="15458489"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 xml:space="preserve">A new public procurement strategy and an action plan for its implementation shall be adopted. The strategy and the action plan shall focus at least on the following priorities: professionalisation of contracting authorities, sustainable purchasing, centralisation and joint purchases. </w:t>
            </w:r>
          </w:p>
          <w:p w:rsidRPr="00D9276C" w:rsidR="00D87E44" w:rsidRDefault="00D87E44" w14:paraId="1545848A"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The action plan shall include a timeline and objectives for implementation of priority areas elaborated in the strategy.</w:t>
            </w:r>
          </w:p>
        </w:tc>
      </w:tr>
      <w:tr w:rsidRPr="00FE48E2" w:rsidR="00E3458A" w14:paraId="15458498" w14:textId="77777777">
        <w:trPr>
          <w:trHeight w:val="309"/>
          <w:jc w:val="center"/>
        </w:trPr>
        <w:tc>
          <w:tcPr>
            <w:tcW w:w="851" w:type="dxa"/>
            <w:shd w:val="clear" w:color="auto" w:fill="C6EFCE"/>
          </w:tcPr>
          <w:p w:rsidRPr="00D9276C" w:rsidR="00D87E44" w:rsidRDefault="00D87E44" w14:paraId="1545848C" w14:textId="77777777">
            <w:pPr>
              <w:spacing w:before="0" w:after="0" w:line="240" w:lineRule="auto"/>
              <w:rPr>
                <w:noProof/>
              </w:rPr>
            </w:pPr>
            <w:r w:rsidRPr="00D9276C">
              <w:rPr>
                <w:rFonts w:eastAsia="Times New Roman"/>
                <w:noProof/>
                <w:color w:val="006100"/>
                <w:sz w:val="18"/>
                <w:szCs w:val="18"/>
                <w:lang w:val="en-IE"/>
              </w:rPr>
              <w:t>282</w:t>
            </w:r>
          </w:p>
        </w:tc>
        <w:tc>
          <w:tcPr>
            <w:tcW w:w="1554" w:type="dxa"/>
            <w:shd w:val="clear" w:color="auto" w:fill="C6EFCE"/>
          </w:tcPr>
          <w:p w:rsidRPr="00D9276C" w:rsidR="00D87E44" w:rsidRDefault="00D87E44" w14:paraId="1545848D"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Reform 3:</w:t>
            </w:r>
            <w:r w:rsidRPr="00D9276C">
              <w:rPr>
                <w:noProof/>
                <w:lang w:val="en-IE"/>
              </w:rPr>
              <w:br/>
            </w:r>
            <w:r w:rsidRPr="00D9276C">
              <w:rPr>
                <w:rFonts w:eastAsia="Times New Roman"/>
                <w:noProof/>
                <w:color w:val="006100"/>
                <w:sz w:val="18"/>
                <w:szCs w:val="18"/>
                <w:lang w:val="en-IE"/>
              </w:rPr>
              <w:t>Financial support for the preparation of projects in line with EU objectives</w:t>
            </w:r>
          </w:p>
        </w:tc>
        <w:tc>
          <w:tcPr>
            <w:tcW w:w="1134" w:type="dxa"/>
            <w:shd w:val="clear" w:color="auto" w:fill="C6EFCE"/>
          </w:tcPr>
          <w:p w:rsidRPr="00D9276C" w:rsidR="00D87E44" w:rsidRDefault="00D87E44" w14:paraId="1545848E"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Target</w:t>
            </w:r>
          </w:p>
        </w:tc>
        <w:tc>
          <w:tcPr>
            <w:tcW w:w="1559" w:type="dxa"/>
            <w:shd w:val="clear" w:color="auto" w:fill="C6EFCE"/>
          </w:tcPr>
          <w:p w:rsidRPr="00D9276C" w:rsidR="00D87E44" w:rsidRDefault="00D87E44" w14:paraId="1545848F"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Number of projects selected for support</w:t>
            </w:r>
          </w:p>
        </w:tc>
        <w:tc>
          <w:tcPr>
            <w:tcW w:w="1701" w:type="dxa"/>
            <w:shd w:val="clear" w:color="auto" w:fill="C6EFCE"/>
          </w:tcPr>
          <w:p w:rsidRPr="00D9276C" w:rsidR="00D87E44" w:rsidRDefault="00D87E44" w14:paraId="15458490" w14:textId="77777777">
            <w:pPr>
              <w:spacing w:before="0" w:after="0" w:line="240" w:lineRule="auto"/>
              <w:rPr>
                <w:rFonts w:eastAsia="Times New Roman"/>
                <w:noProof/>
                <w:color w:val="006100"/>
                <w:sz w:val="18"/>
                <w:szCs w:val="18"/>
                <w:lang w:val="en-IE"/>
              </w:rPr>
            </w:pPr>
          </w:p>
        </w:tc>
        <w:tc>
          <w:tcPr>
            <w:tcW w:w="1387" w:type="dxa"/>
            <w:shd w:val="clear" w:color="auto" w:fill="C6EFCE"/>
          </w:tcPr>
          <w:p w:rsidRPr="00D9276C" w:rsidR="00D87E44" w:rsidRDefault="00D87E44" w14:paraId="15458491"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Number of award decisions issued</w:t>
            </w:r>
          </w:p>
        </w:tc>
        <w:tc>
          <w:tcPr>
            <w:tcW w:w="955" w:type="dxa"/>
            <w:shd w:val="clear" w:color="auto" w:fill="C6EFCE"/>
          </w:tcPr>
          <w:p w:rsidRPr="00D9276C" w:rsidR="00D87E44" w:rsidRDefault="00D87E44" w14:paraId="15458492"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0</w:t>
            </w:r>
          </w:p>
        </w:tc>
        <w:tc>
          <w:tcPr>
            <w:tcW w:w="955" w:type="dxa"/>
            <w:shd w:val="clear" w:color="auto" w:fill="C6EFCE"/>
          </w:tcPr>
          <w:p w:rsidRPr="00D9276C" w:rsidR="00D87E44" w:rsidRDefault="00D87E44" w14:paraId="15458493"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300</w:t>
            </w:r>
          </w:p>
        </w:tc>
        <w:tc>
          <w:tcPr>
            <w:tcW w:w="1040" w:type="dxa"/>
            <w:shd w:val="clear" w:color="auto" w:fill="C6EFCE"/>
          </w:tcPr>
          <w:p w:rsidRPr="00D9276C" w:rsidR="00D87E44" w:rsidRDefault="00D87E44" w14:paraId="15458494"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Q3</w:t>
            </w:r>
          </w:p>
        </w:tc>
        <w:tc>
          <w:tcPr>
            <w:tcW w:w="640" w:type="dxa"/>
            <w:shd w:val="clear" w:color="auto" w:fill="C6EFCE"/>
          </w:tcPr>
          <w:p w:rsidRPr="00D9276C" w:rsidR="00D87E44" w:rsidRDefault="00D87E44" w14:paraId="15458495"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2024</w:t>
            </w:r>
          </w:p>
        </w:tc>
        <w:tc>
          <w:tcPr>
            <w:tcW w:w="3959" w:type="dxa"/>
            <w:shd w:val="clear" w:color="auto" w:fill="C6EFCE"/>
          </w:tcPr>
          <w:p w:rsidRPr="00D9276C" w:rsidR="00D87E44" w:rsidRDefault="00D87E44" w14:paraId="15458496" w14:textId="77777777">
            <w:pPr>
              <w:spacing w:line="259" w:lineRule="auto"/>
              <w:rPr>
                <w:rFonts w:eastAsia="Times New Roman"/>
                <w:noProof/>
                <w:color w:val="006100"/>
                <w:sz w:val="18"/>
                <w:szCs w:val="18"/>
                <w:lang w:val="en-IE"/>
              </w:rPr>
            </w:pPr>
            <w:r w:rsidRPr="00D9276C" w:rsidDel="00AE188D">
              <w:rPr>
                <w:rFonts w:eastAsia="Times New Roman"/>
                <w:noProof/>
                <w:color w:val="006100"/>
                <w:sz w:val="18"/>
                <w:szCs w:val="18"/>
                <w:lang w:val="en-IE"/>
              </w:rPr>
              <w:t>T</w:t>
            </w:r>
            <w:r w:rsidRPr="00D9276C">
              <w:rPr>
                <w:rFonts w:eastAsia="Times New Roman"/>
                <w:noProof/>
                <w:color w:val="006100"/>
                <w:sz w:val="18"/>
                <w:szCs w:val="18"/>
                <w:lang w:val="en-IE"/>
              </w:rPr>
              <w:t xml:space="preserve">he preparation of project documentation for 300 projects shall be supported. A Subsidy Award Decision shall be issued by the subsidy provider (Ministry of Regional Development) for each project.  </w:t>
            </w:r>
          </w:p>
          <w:p w:rsidRPr="00D9276C" w:rsidR="00D87E44" w:rsidRDefault="00D87E44" w14:paraId="15458497" w14:textId="77777777">
            <w:pPr>
              <w:spacing w:before="0" w:after="0" w:line="240" w:lineRule="auto"/>
              <w:rPr>
                <w:rFonts w:eastAsia="Times New Roman"/>
                <w:noProof/>
                <w:color w:val="004300"/>
                <w:sz w:val="18"/>
                <w:szCs w:val="18"/>
                <w:lang w:val="en-IE"/>
              </w:rPr>
            </w:pPr>
          </w:p>
        </w:tc>
      </w:tr>
      <w:tr w:rsidRPr="00FE48E2" w:rsidR="00E3458A" w14:paraId="154584A9" w14:textId="77777777">
        <w:trPr>
          <w:trHeight w:val="309"/>
          <w:jc w:val="center"/>
        </w:trPr>
        <w:tc>
          <w:tcPr>
            <w:tcW w:w="851" w:type="dxa"/>
            <w:shd w:val="clear" w:color="auto" w:fill="C6EFCE"/>
          </w:tcPr>
          <w:p w:rsidRPr="00D9276C" w:rsidR="00D87E44" w:rsidRDefault="00D87E44" w14:paraId="15458499" w14:textId="77777777">
            <w:pPr>
              <w:spacing w:before="0" w:after="0" w:line="240" w:lineRule="auto"/>
              <w:rPr>
                <w:noProof/>
              </w:rPr>
            </w:pPr>
            <w:r w:rsidRPr="00D9276C">
              <w:rPr>
                <w:rFonts w:eastAsia="Times New Roman"/>
                <w:noProof/>
                <w:color w:val="006100"/>
                <w:sz w:val="18"/>
                <w:szCs w:val="18"/>
                <w:lang w:val="en-IE"/>
              </w:rPr>
              <w:t>284</w:t>
            </w:r>
          </w:p>
        </w:tc>
        <w:tc>
          <w:tcPr>
            <w:tcW w:w="1554" w:type="dxa"/>
            <w:shd w:val="clear" w:color="auto" w:fill="C6EFCE"/>
          </w:tcPr>
          <w:p w:rsidRPr="00D9276C" w:rsidR="00D87E44" w:rsidRDefault="00D87E44" w14:paraId="1545849A"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 xml:space="preserve">Reform 4: </w:t>
            </w:r>
          </w:p>
          <w:p w:rsidRPr="00D9276C" w:rsidR="00D87E44" w:rsidRDefault="00D87E44" w14:paraId="1545849B"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The increase of effectiveness and enhancing the implementation of the Recovery and Resilience Plan</w:t>
            </w:r>
          </w:p>
        </w:tc>
        <w:tc>
          <w:tcPr>
            <w:tcW w:w="1134" w:type="dxa"/>
            <w:shd w:val="clear" w:color="auto" w:fill="C6EFCE"/>
          </w:tcPr>
          <w:p w:rsidRPr="00D9276C" w:rsidR="00D87E44" w:rsidRDefault="00D87E44" w14:paraId="1545849C"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Milestone</w:t>
            </w:r>
          </w:p>
        </w:tc>
        <w:tc>
          <w:tcPr>
            <w:tcW w:w="1559" w:type="dxa"/>
            <w:shd w:val="clear" w:color="auto" w:fill="C6EFCE"/>
          </w:tcPr>
          <w:p w:rsidRPr="00D9276C" w:rsidR="00D87E44" w:rsidRDefault="00D87E44" w14:paraId="1545849D"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 xml:space="preserve">Approval of a government resolution on increasing the administrative capacity for the implementation of the National Recovery and Resilience Plan (systematisation </w:t>
            </w:r>
            <w:r w:rsidRPr="00D9276C">
              <w:rPr>
                <w:rFonts w:eastAsia="Times New Roman"/>
                <w:noProof/>
                <w:color w:val="006100"/>
                <w:sz w:val="18"/>
                <w:szCs w:val="18"/>
                <w:lang w:val="en-IE"/>
              </w:rPr>
              <w:lastRenderedPageBreak/>
              <w:t>decision) and approval of the related budget</w:t>
            </w:r>
          </w:p>
        </w:tc>
        <w:tc>
          <w:tcPr>
            <w:tcW w:w="1701" w:type="dxa"/>
            <w:shd w:val="clear" w:color="auto" w:fill="C6EFCE"/>
          </w:tcPr>
          <w:p w:rsidRPr="00D9276C" w:rsidR="00D87E44" w:rsidRDefault="00D87E44" w14:paraId="1545849E"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lastRenderedPageBreak/>
              <w:t xml:space="preserve">Approved government decision on increasing the administrative capacity for implementation of the plan and of the related budget </w:t>
            </w:r>
          </w:p>
        </w:tc>
        <w:tc>
          <w:tcPr>
            <w:tcW w:w="1387" w:type="dxa"/>
            <w:shd w:val="clear" w:color="auto" w:fill="C6EFCE"/>
          </w:tcPr>
          <w:p w:rsidRPr="00D9276C" w:rsidR="00D87E44" w:rsidRDefault="00D87E44" w14:paraId="1545849F" w14:textId="77777777">
            <w:pPr>
              <w:spacing w:before="0" w:after="0" w:line="240" w:lineRule="auto"/>
              <w:rPr>
                <w:rFonts w:eastAsia="Times New Roman"/>
                <w:noProof/>
                <w:color w:val="004300"/>
                <w:sz w:val="18"/>
                <w:szCs w:val="18"/>
                <w:lang w:val="en-IE"/>
              </w:rPr>
            </w:pPr>
          </w:p>
        </w:tc>
        <w:tc>
          <w:tcPr>
            <w:tcW w:w="955" w:type="dxa"/>
            <w:shd w:val="clear" w:color="auto" w:fill="C6EFCE"/>
          </w:tcPr>
          <w:p w:rsidRPr="00D9276C" w:rsidR="00D87E44" w:rsidRDefault="00D87E44" w14:paraId="154584A0" w14:textId="77777777">
            <w:pPr>
              <w:spacing w:before="0" w:after="0" w:line="240" w:lineRule="auto"/>
              <w:rPr>
                <w:rFonts w:eastAsia="Times New Roman"/>
                <w:noProof/>
                <w:color w:val="004300"/>
                <w:sz w:val="18"/>
                <w:szCs w:val="18"/>
                <w:lang w:val="en-IE"/>
              </w:rPr>
            </w:pPr>
          </w:p>
        </w:tc>
        <w:tc>
          <w:tcPr>
            <w:tcW w:w="955" w:type="dxa"/>
            <w:shd w:val="clear" w:color="auto" w:fill="C6EFCE"/>
          </w:tcPr>
          <w:p w:rsidRPr="00D9276C" w:rsidR="00D87E44" w:rsidRDefault="00D87E44" w14:paraId="154584A1" w14:textId="77777777">
            <w:pPr>
              <w:spacing w:before="0" w:after="0" w:line="240" w:lineRule="auto"/>
              <w:rPr>
                <w:rFonts w:eastAsia="Times New Roman"/>
                <w:noProof/>
                <w:color w:val="004300"/>
                <w:sz w:val="18"/>
                <w:szCs w:val="18"/>
                <w:lang w:val="en-IE"/>
              </w:rPr>
            </w:pPr>
          </w:p>
        </w:tc>
        <w:tc>
          <w:tcPr>
            <w:tcW w:w="1040" w:type="dxa"/>
            <w:shd w:val="clear" w:color="auto" w:fill="C6EFCE"/>
          </w:tcPr>
          <w:p w:rsidRPr="00D9276C" w:rsidR="00D87E44" w:rsidRDefault="00D87E44" w14:paraId="154584A2"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Q3</w:t>
            </w:r>
          </w:p>
        </w:tc>
        <w:tc>
          <w:tcPr>
            <w:tcW w:w="640" w:type="dxa"/>
            <w:shd w:val="clear" w:color="auto" w:fill="C6EFCE"/>
          </w:tcPr>
          <w:p w:rsidRPr="00D9276C" w:rsidR="00D87E44" w:rsidRDefault="00D87E44" w14:paraId="154584A3"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2023</w:t>
            </w:r>
          </w:p>
        </w:tc>
        <w:tc>
          <w:tcPr>
            <w:tcW w:w="3959" w:type="dxa"/>
            <w:shd w:val="clear" w:color="auto" w:fill="C6EFCE"/>
          </w:tcPr>
          <w:p w:rsidRPr="00D9276C" w:rsidR="00D87E44" w:rsidRDefault="00D87E44" w14:paraId="154584A4"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 xml:space="preserve">Government resolution(s) directing the Minister of the Interior to increase the administrative capacity to support the implementation of the Recovery and Resilience Plan shall be approved. It shall </w:t>
            </w:r>
          </w:p>
          <w:p w:rsidRPr="00D9276C" w:rsidR="00D87E44" w:rsidP="00FF1320" w:rsidRDefault="00D87E44" w14:paraId="154584A5" w14:textId="77777777">
            <w:pPr>
              <w:pStyle w:val="ListParagraph"/>
              <w:numPr>
                <w:ilvl w:val="0"/>
                <w:numId w:val="68"/>
              </w:numPr>
              <w:spacing w:after="160" w:line="252" w:lineRule="auto"/>
              <w:rPr>
                <w:rFonts w:eastAsia="Times New Roman"/>
                <w:noProof/>
                <w:color w:val="006100"/>
                <w:sz w:val="18"/>
                <w:szCs w:val="18"/>
                <w:lang w:val="en-IE"/>
              </w:rPr>
            </w:pPr>
            <w:r w:rsidRPr="00E3458A">
              <w:rPr>
                <w:color w:val="006100"/>
                <w:sz w:val="18"/>
                <w:lang w:val="en-IE"/>
              </w:rPr>
              <w:t>include systematisation(s) of positions in the relevant ministries (component owners) and in the implementation entities;</w:t>
            </w:r>
          </w:p>
          <w:p w:rsidRPr="00D9276C" w:rsidR="00D87E44" w:rsidP="00FF1320" w:rsidRDefault="00D87E44" w14:paraId="154584A6" w14:textId="77777777">
            <w:pPr>
              <w:pStyle w:val="ListParagraph"/>
              <w:numPr>
                <w:ilvl w:val="0"/>
                <w:numId w:val="68"/>
              </w:numPr>
              <w:spacing w:after="160" w:line="252" w:lineRule="auto"/>
              <w:rPr>
                <w:rFonts w:eastAsia="Times New Roman"/>
                <w:noProof/>
                <w:color w:val="006100"/>
                <w:sz w:val="18"/>
                <w:szCs w:val="18"/>
                <w:lang w:val="en-IE"/>
              </w:rPr>
            </w:pPr>
            <w:r w:rsidRPr="00E3458A">
              <w:rPr>
                <w:color w:val="006100"/>
                <w:sz w:val="18"/>
                <w:lang w:val="en-IE"/>
              </w:rPr>
              <w:t>allocate funds for pre-financing from the state budget</w:t>
            </w:r>
          </w:p>
          <w:p w:rsidRPr="00D9276C" w:rsidR="00D87E44" w:rsidP="00FF1320" w:rsidRDefault="00D87E44" w14:paraId="154584A7" w14:textId="77777777">
            <w:pPr>
              <w:pStyle w:val="ListParagraph"/>
              <w:numPr>
                <w:ilvl w:val="0"/>
                <w:numId w:val="68"/>
              </w:numPr>
              <w:spacing w:after="160" w:line="252" w:lineRule="auto"/>
              <w:rPr>
                <w:rFonts w:eastAsia="Times New Roman"/>
                <w:noProof/>
                <w:color w:val="006100"/>
                <w:sz w:val="18"/>
                <w:szCs w:val="18"/>
                <w:lang w:val="en-IE"/>
              </w:rPr>
            </w:pPr>
            <w:r w:rsidRPr="00E3458A">
              <w:rPr>
                <w:color w:val="006100"/>
                <w:sz w:val="18"/>
                <w:lang w:val="en-IE"/>
              </w:rPr>
              <w:lastRenderedPageBreak/>
              <w:t xml:space="preserve">increase the capacity for </w:t>
            </w:r>
            <w:r w:rsidRPr="00E3458A">
              <w:rPr>
                <w:color w:val="006100"/>
                <w:sz w:val="18"/>
                <w:lang w:val="en-IE"/>
              </w:rPr>
              <w:t>implementation of the NPO through the use of agreement to perform work.</w:t>
            </w:r>
          </w:p>
          <w:p w:rsidRPr="00D9276C" w:rsidR="00D87E44" w:rsidRDefault="00D87E44" w14:paraId="154584A8" w14:textId="77777777">
            <w:pPr>
              <w:spacing w:before="0" w:after="0" w:line="240" w:lineRule="auto"/>
              <w:rPr>
                <w:rFonts w:eastAsia="Times New Roman"/>
                <w:noProof/>
                <w:color w:val="004300"/>
                <w:sz w:val="18"/>
                <w:szCs w:val="18"/>
                <w:lang w:val="en-IE"/>
              </w:rPr>
            </w:pPr>
            <w:r w:rsidRPr="00D9276C">
              <w:rPr>
                <w:rFonts w:eastAsia="Times New Roman"/>
                <w:noProof/>
                <w:color w:val="006100"/>
                <w:sz w:val="18"/>
                <w:szCs w:val="18"/>
                <w:lang w:val="en-IE"/>
              </w:rPr>
              <w:t xml:space="preserve">Funding from the national budget for pre-financing of the positions allocated by the systematisation decision shall be approved by the government. </w:t>
            </w:r>
          </w:p>
        </w:tc>
      </w:tr>
      <w:tr w:rsidRPr="00FE48E2" w:rsidR="00E3458A" w14:paraId="154584B6" w14:textId="77777777">
        <w:trPr>
          <w:trHeight w:val="309"/>
          <w:jc w:val="center"/>
        </w:trPr>
        <w:tc>
          <w:tcPr>
            <w:tcW w:w="851" w:type="dxa"/>
            <w:shd w:val="clear" w:color="auto" w:fill="C6EFCE"/>
          </w:tcPr>
          <w:p w:rsidRPr="00D9276C" w:rsidR="00D87E44" w:rsidRDefault="00D87E44" w14:paraId="154584AA"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lastRenderedPageBreak/>
              <w:t>285</w:t>
            </w:r>
          </w:p>
        </w:tc>
        <w:tc>
          <w:tcPr>
            <w:tcW w:w="1554" w:type="dxa"/>
            <w:shd w:val="clear" w:color="auto" w:fill="C6EFCE"/>
          </w:tcPr>
          <w:p w:rsidRPr="00D9276C" w:rsidR="00D87E44" w:rsidRDefault="00D87E44" w14:paraId="154584AB"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Reform 4:</w:t>
            </w:r>
          </w:p>
          <w:p w:rsidRPr="00D9276C" w:rsidR="00D87E44" w:rsidRDefault="00D87E44" w14:paraId="154584AC"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 xml:space="preserve">The increase of effectiveness and enhancing the implementation of the </w:t>
            </w:r>
            <w:r w:rsidRPr="00FF1320">
              <w:rPr>
                <w:color w:val="006100"/>
                <w:sz w:val="18"/>
                <w:lang w:val="en-IE"/>
              </w:rPr>
              <w:t>Recovery and Resilience Plan</w:t>
            </w:r>
          </w:p>
        </w:tc>
        <w:tc>
          <w:tcPr>
            <w:tcW w:w="1134" w:type="dxa"/>
            <w:shd w:val="clear" w:color="auto" w:fill="C6EFCE"/>
          </w:tcPr>
          <w:p w:rsidRPr="00D9276C" w:rsidR="00D87E44" w:rsidRDefault="00D87E44" w14:paraId="154584AD"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Target</w:t>
            </w:r>
          </w:p>
        </w:tc>
        <w:tc>
          <w:tcPr>
            <w:tcW w:w="1559" w:type="dxa"/>
            <w:shd w:val="clear" w:color="auto" w:fill="C6EFCE"/>
          </w:tcPr>
          <w:p w:rsidRPr="00D9276C" w:rsidR="00D87E44" w:rsidRDefault="00D87E44" w14:paraId="154584AE" w14:textId="77777777">
            <w:pPr>
              <w:spacing w:before="0" w:after="0" w:line="240" w:lineRule="auto"/>
              <w:rPr>
                <w:rFonts w:eastAsia="Times New Roman"/>
                <w:noProof/>
                <w:color w:val="004300"/>
                <w:sz w:val="18"/>
                <w:szCs w:val="18"/>
                <w:lang w:val="en-IE" w:eastAsia="en-GB"/>
              </w:rPr>
            </w:pPr>
            <w:r w:rsidRPr="00D9276C">
              <w:rPr>
                <w:rFonts w:eastAsia="Times New Roman"/>
                <w:noProof/>
                <w:color w:val="006100"/>
                <w:sz w:val="18"/>
                <w:szCs w:val="18"/>
                <w:lang w:val="en-IE"/>
              </w:rPr>
              <w:t>Increasing the number of people working on the Recovery and Resilience Plan by 2023</w:t>
            </w:r>
          </w:p>
        </w:tc>
        <w:tc>
          <w:tcPr>
            <w:tcW w:w="1701" w:type="dxa"/>
            <w:shd w:val="clear" w:color="auto" w:fill="C6EFCE"/>
          </w:tcPr>
          <w:p w:rsidRPr="00D9276C" w:rsidR="00D87E44" w:rsidRDefault="00D87E44" w14:paraId="154584AF" w14:textId="77777777">
            <w:pPr>
              <w:spacing w:before="0" w:after="0" w:line="240" w:lineRule="auto"/>
              <w:rPr>
                <w:rFonts w:eastAsia="Times New Roman"/>
                <w:noProof/>
                <w:color w:val="004300"/>
                <w:sz w:val="18"/>
                <w:szCs w:val="18"/>
                <w:lang w:val="en-IE" w:eastAsia="en-GB"/>
              </w:rPr>
            </w:pPr>
          </w:p>
        </w:tc>
        <w:tc>
          <w:tcPr>
            <w:tcW w:w="1387" w:type="dxa"/>
            <w:shd w:val="clear" w:color="auto" w:fill="C6EFCE"/>
          </w:tcPr>
          <w:p w:rsidRPr="00D9276C" w:rsidR="00D87E44" w:rsidRDefault="00D87E44" w14:paraId="154584B0"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Full-time equivalent people</w:t>
            </w:r>
          </w:p>
        </w:tc>
        <w:tc>
          <w:tcPr>
            <w:tcW w:w="955" w:type="dxa"/>
            <w:shd w:val="clear" w:color="auto" w:fill="C6EFCE"/>
          </w:tcPr>
          <w:p w:rsidRPr="00D9276C" w:rsidR="00D87E44" w:rsidRDefault="00D87E44" w14:paraId="154584B1"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196</w:t>
            </w:r>
          </w:p>
        </w:tc>
        <w:tc>
          <w:tcPr>
            <w:tcW w:w="955" w:type="dxa"/>
            <w:shd w:val="clear" w:color="auto" w:fill="C6EFCE"/>
          </w:tcPr>
          <w:p w:rsidRPr="00D9276C" w:rsidR="00D87E44" w:rsidRDefault="00D87E44" w14:paraId="154584B2"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338</w:t>
            </w:r>
          </w:p>
        </w:tc>
        <w:tc>
          <w:tcPr>
            <w:tcW w:w="1040" w:type="dxa"/>
            <w:shd w:val="clear" w:color="auto" w:fill="C6EFCE"/>
          </w:tcPr>
          <w:p w:rsidRPr="00D9276C" w:rsidR="00D87E44" w:rsidRDefault="00D87E44" w14:paraId="154584B3"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Q4</w:t>
            </w:r>
          </w:p>
        </w:tc>
        <w:tc>
          <w:tcPr>
            <w:tcW w:w="640" w:type="dxa"/>
            <w:shd w:val="clear" w:color="auto" w:fill="C6EFCE"/>
          </w:tcPr>
          <w:p w:rsidRPr="00D9276C" w:rsidR="00D87E44" w:rsidRDefault="00D87E44" w14:paraId="154584B4"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2023</w:t>
            </w:r>
          </w:p>
        </w:tc>
        <w:tc>
          <w:tcPr>
            <w:tcW w:w="3959" w:type="dxa"/>
            <w:shd w:val="clear" w:color="auto" w:fill="C6EFCE"/>
          </w:tcPr>
          <w:p w:rsidRPr="00D9276C" w:rsidR="00D87E44" w:rsidRDefault="00D87E44" w14:paraId="154584B5" w14:textId="77777777">
            <w:pPr>
              <w:spacing w:before="0" w:after="0" w:line="259" w:lineRule="auto"/>
              <w:rPr>
                <w:rFonts w:eastAsia="Times New Roman"/>
                <w:noProof/>
                <w:color w:val="006100"/>
                <w:sz w:val="18"/>
                <w:szCs w:val="18"/>
                <w:lang w:val="en-IE"/>
              </w:rPr>
            </w:pPr>
            <w:r w:rsidRPr="00D9276C">
              <w:rPr>
                <w:rFonts w:eastAsia="Times New Roman"/>
                <w:noProof/>
                <w:color w:val="006100"/>
                <w:sz w:val="18"/>
                <w:szCs w:val="18"/>
                <w:lang w:val="en-IE"/>
              </w:rPr>
              <w:t xml:space="preserve">At least 338 </w:t>
            </w:r>
            <w:r w:rsidRPr="00D9276C">
              <w:rPr>
                <w:rFonts w:eastAsia="Times New Roman"/>
                <w:noProof/>
                <w:color w:val="006100"/>
                <w:sz w:val="18"/>
                <w:szCs w:val="18"/>
                <w:lang w:val="en-IE"/>
              </w:rPr>
              <w:t>full-time equivalent people shall work on the Recovery and Resilience Plan.</w:t>
            </w:r>
          </w:p>
        </w:tc>
      </w:tr>
      <w:tr w:rsidRPr="00FE48E2" w:rsidR="00E3458A" w14:paraId="154584C3" w14:textId="77777777">
        <w:trPr>
          <w:trHeight w:val="309"/>
          <w:jc w:val="center"/>
        </w:trPr>
        <w:tc>
          <w:tcPr>
            <w:tcW w:w="851" w:type="dxa"/>
            <w:shd w:val="clear" w:color="auto" w:fill="C6EFCE"/>
          </w:tcPr>
          <w:p w:rsidRPr="00D9276C" w:rsidR="00D87E44" w:rsidRDefault="00D87E44" w14:paraId="154584B7" w14:textId="77777777">
            <w:pPr>
              <w:spacing w:before="0" w:after="0" w:line="240" w:lineRule="auto"/>
              <w:rPr>
                <w:noProof/>
              </w:rPr>
            </w:pPr>
            <w:r w:rsidRPr="00D9276C">
              <w:rPr>
                <w:rFonts w:eastAsia="Times New Roman"/>
                <w:noProof/>
                <w:color w:val="004300"/>
                <w:sz w:val="18"/>
                <w:szCs w:val="18"/>
                <w:lang w:val="en-IE"/>
              </w:rPr>
              <w:t>286</w:t>
            </w:r>
          </w:p>
        </w:tc>
        <w:tc>
          <w:tcPr>
            <w:tcW w:w="1554" w:type="dxa"/>
            <w:shd w:val="clear" w:color="auto" w:fill="C6EFCE"/>
          </w:tcPr>
          <w:p w:rsidR="00D87E44" w:rsidP="00E3458A" w:rsidRDefault="00D87E44" w14:paraId="154584B8"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Reform 4:</w:t>
            </w:r>
          </w:p>
          <w:p w:rsidRPr="00D9276C" w:rsidR="00D87E44" w:rsidP="00D141BD" w:rsidRDefault="00D87E44" w14:paraId="154584B9"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The increase of effectiveness and enhancing the implementation of the Recovery and Resilience Plan</w:t>
            </w:r>
          </w:p>
        </w:tc>
        <w:tc>
          <w:tcPr>
            <w:tcW w:w="1134" w:type="dxa"/>
            <w:shd w:val="clear" w:color="auto" w:fill="C6EFCE"/>
          </w:tcPr>
          <w:p w:rsidRPr="00D9276C" w:rsidR="00D87E44" w:rsidRDefault="00D87E44" w14:paraId="154584BA"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Milestone</w:t>
            </w:r>
          </w:p>
        </w:tc>
        <w:tc>
          <w:tcPr>
            <w:tcW w:w="1559" w:type="dxa"/>
            <w:shd w:val="clear" w:color="auto" w:fill="C6EFCE"/>
          </w:tcPr>
          <w:p w:rsidRPr="00D9276C" w:rsidR="00D87E44" w:rsidRDefault="00D87E44" w14:paraId="154584BB"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Approved media and communications plan for the </w:t>
            </w:r>
            <w:r w:rsidRPr="00D9276C">
              <w:rPr>
                <w:rFonts w:eastAsia="Times New Roman"/>
                <w:noProof/>
                <w:color w:val="006100"/>
                <w:sz w:val="18"/>
                <w:szCs w:val="18"/>
                <w:lang w:val="en-IE"/>
              </w:rPr>
              <w:t>revised Recovery and Resilience Plan</w:t>
            </w:r>
          </w:p>
        </w:tc>
        <w:tc>
          <w:tcPr>
            <w:tcW w:w="1701" w:type="dxa"/>
            <w:shd w:val="clear" w:color="auto" w:fill="C6EFCE"/>
          </w:tcPr>
          <w:p w:rsidRPr="00D9276C" w:rsidR="00D87E44" w:rsidRDefault="00D87E44" w14:paraId="154584BC"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Approved media and communication plan for the revised Recovery and Resilience Plan</w:t>
            </w:r>
          </w:p>
        </w:tc>
        <w:tc>
          <w:tcPr>
            <w:tcW w:w="1387" w:type="dxa"/>
            <w:shd w:val="clear" w:color="auto" w:fill="C6EFCE"/>
          </w:tcPr>
          <w:p w:rsidRPr="00D9276C" w:rsidR="00D87E44" w:rsidRDefault="00D87E44" w14:paraId="154584BD"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BE"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BF"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D9276C" w:rsidR="00D87E44" w:rsidRDefault="00D87E44" w14:paraId="154584C0"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Q1</w:t>
            </w:r>
          </w:p>
        </w:tc>
        <w:tc>
          <w:tcPr>
            <w:tcW w:w="640" w:type="dxa"/>
            <w:shd w:val="clear" w:color="auto" w:fill="C6EFCE"/>
          </w:tcPr>
          <w:p w:rsidRPr="00D9276C" w:rsidR="00D87E44" w:rsidRDefault="00D87E44" w14:paraId="154584C1"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2024</w:t>
            </w:r>
          </w:p>
        </w:tc>
        <w:tc>
          <w:tcPr>
            <w:tcW w:w="3959" w:type="dxa"/>
            <w:shd w:val="clear" w:color="auto" w:fill="C6EFCE"/>
          </w:tcPr>
          <w:p w:rsidRPr="00D9276C" w:rsidR="00D87E44" w:rsidP="00E3458A" w:rsidRDefault="00D87E44" w14:paraId="154584C2"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Update of the media and communication plan for the revised Recovery and Resilience Plan shall be adopted. </w:t>
            </w:r>
          </w:p>
        </w:tc>
      </w:tr>
      <w:tr w:rsidRPr="00FE48E2" w:rsidR="00E3458A" w14:paraId="154584D6" w14:textId="77777777">
        <w:trPr>
          <w:trHeight w:val="309"/>
          <w:jc w:val="center"/>
        </w:trPr>
        <w:tc>
          <w:tcPr>
            <w:tcW w:w="851" w:type="dxa"/>
            <w:shd w:val="clear" w:color="auto" w:fill="C6EFCE"/>
          </w:tcPr>
          <w:p w:rsidRPr="00D9276C" w:rsidR="00D87E44" w:rsidRDefault="00D87E44" w14:paraId="154584C4" w14:textId="77777777">
            <w:pPr>
              <w:spacing w:before="0" w:after="0" w:line="240" w:lineRule="auto"/>
              <w:rPr>
                <w:rFonts w:eastAsia="Times New Roman"/>
                <w:noProof/>
                <w:color w:val="004300"/>
                <w:sz w:val="18"/>
                <w:szCs w:val="18"/>
                <w:lang w:val="en-IE"/>
              </w:rPr>
            </w:pPr>
            <w:r w:rsidRPr="00D9276C">
              <w:rPr>
                <w:rFonts w:eastAsia="Times New Roman"/>
                <w:noProof/>
                <w:color w:val="004300"/>
                <w:sz w:val="18"/>
                <w:szCs w:val="18"/>
                <w:lang w:val="en-IE"/>
              </w:rPr>
              <w:t xml:space="preserve"> 287</w:t>
            </w:r>
          </w:p>
        </w:tc>
        <w:tc>
          <w:tcPr>
            <w:tcW w:w="1554" w:type="dxa"/>
            <w:shd w:val="clear" w:color="auto" w:fill="C6EFCE"/>
          </w:tcPr>
          <w:p w:rsidRPr="00D9276C" w:rsidR="00D87E44" w:rsidRDefault="00D87E44" w14:paraId="154584C5"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Reform 4: </w:t>
            </w:r>
          </w:p>
          <w:p w:rsidRPr="00D9276C" w:rsidR="00D87E44" w:rsidRDefault="00D87E44" w14:paraId="154584C6"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The increase of effectiveness and enhancing the implementation of the National Recovery and Resilience Plan</w:t>
            </w:r>
          </w:p>
          <w:p w:rsidRPr="00D9276C" w:rsidR="00D87E44" w:rsidRDefault="00D87E44" w14:paraId="154584C7"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 </w:t>
            </w:r>
          </w:p>
        </w:tc>
        <w:tc>
          <w:tcPr>
            <w:tcW w:w="1134" w:type="dxa"/>
            <w:shd w:val="clear" w:color="auto" w:fill="C6EFCE"/>
          </w:tcPr>
          <w:p w:rsidRPr="00D9276C" w:rsidR="00D87E44" w:rsidRDefault="00D87E44" w14:paraId="154584C8"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Milestone</w:t>
            </w:r>
          </w:p>
        </w:tc>
        <w:tc>
          <w:tcPr>
            <w:tcW w:w="1559" w:type="dxa"/>
            <w:shd w:val="clear" w:color="auto" w:fill="C6EFCE"/>
          </w:tcPr>
          <w:p w:rsidRPr="00D9276C" w:rsidR="00D87E44" w:rsidRDefault="00D87E44" w14:paraId="154584C9"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Upgrade of the repository system (AIS)</w:t>
            </w:r>
          </w:p>
        </w:tc>
        <w:tc>
          <w:tcPr>
            <w:tcW w:w="1701" w:type="dxa"/>
            <w:shd w:val="clear" w:color="auto" w:fill="C6EFCE"/>
          </w:tcPr>
          <w:p w:rsidRPr="00D9276C" w:rsidR="00D87E44" w:rsidRDefault="00D87E44" w14:paraId="154584CA"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The upgraded repository system (AIS) becomes available to the bodies implementing the RRP</w:t>
            </w:r>
          </w:p>
        </w:tc>
        <w:tc>
          <w:tcPr>
            <w:tcW w:w="1387" w:type="dxa"/>
            <w:shd w:val="clear" w:color="auto" w:fill="C6EFCE"/>
          </w:tcPr>
          <w:p w:rsidRPr="00D9276C" w:rsidR="00D87E44" w:rsidRDefault="00D87E44" w14:paraId="154584CB"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CC"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D9276C" w:rsidR="00D87E44" w:rsidRDefault="00D87E44" w14:paraId="154584CD"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D9276C" w:rsidR="00D87E44" w:rsidRDefault="00D87E44" w14:paraId="154584CE"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Q3</w:t>
            </w:r>
          </w:p>
        </w:tc>
        <w:tc>
          <w:tcPr>
            <w:tcW w:w="640" w:type="dxa"/>
            <w:shd w:val="clear" w:color="auto" w:fill="C6EFCE"/>
          </w:tcPr>
          <w:p w:rsidRPr="00D9276C" w:rsidR="00D87E44" w:rsidRDefault="00D87E44" w14:paraId="154584CF"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2024</w:t>
            </w:r>
          </w:p>
        </w:tc>
        <w:tc>
          <w:tcPr>
            <w:tcW w:w="3959" w:type="dxa"/>
            <w:shd w:val="clear" w:color="auto" w:fill="C6EFCE"/>
          </w:tcPr>
          <w:p w:rsidRPr="00D9276C" w:rsidR="00D87E44" w:rsidRDefault="00D87E44" w14:paraId="154584D0"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The upgraded repository system shall be in place and operational. The system shall include, as a minimum, the following new elements:</w:t>
            </w:r>
          </w:p>
          <w:p w:rsidRPr="00D9276C" w:rsidR="00D87E44" w:rsidRDefault="00D87E44" w14:paraId="154584D1"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 </w:t>
            </w:r>
          </w:p>
          <w:p w:rsidRPr="00D9276C" w:rsidR="00D87E44" w:rsidP="00D226F4" w:rsidRDefault="00D87E44" w14:paraId="154584D2" w14:textId="77777777">
            <w:pPr>
              <w:pStyle w:val="ListParagraph"/>
              <w:numPr>
                <w:ilvl w:val="0"/>
                <w:numId w:val="69"/>
              </w:numPr>
              <w:spacing w:before="0" w:after="0" w:line="240" w:lineRule="auto"/>
              <w:rPr>
                <w:rFonts w:eastAsia="Times New Roman"/>
                <w:noProof/>
                <w:color w:val="006100"/>
                <w:sz w:val="18"/>
                <w:szCs w:val="18"/>
                <w:lang w:val="en-IE"/>
              </w:rPr>
            </w:pPr>
            <w:r w:rsidRPr="00E3458A">
              <w:rPr>
                <w:color w:val="006100"/>
                <w:sz w:val="18"/>
                <w:lang w:val="en-IE"/>
              </w:rPr>
              <w:t>New milestones and targets and modification of existing milestone/target data;</w:t>
            </w:r>
          </w:p>
          <w:p w:rsidRPr="00D9276C" w:rsidR="00D87E44" w:rsidP="00D226F4" w:rsidRDefault="00D87E44" w14:paraId="154584D3" w14:textId="77777777">
            <w:pPr>
              <w:pStyle w:val="ListParagraph"/>
              <w:numPr>
                <w:ilvl w:val="0"/>
                <w:numId w:val="69"/>
              </w:numPr>
              <w:spacing w:before="0" w:after="0" w:line="240" w:lineRule="auto"/>
              <w:rPr>
                <w:rFonts w:eastAsia="Times New Roman"/>
                <w:noProof/>
                <w:color w:val="006100"/>
                <w:sz w:val="18"/>
                <w:szCs w:val="18"/>
                <w:lang w:val="en-IE"/>
              </w:rPr>
            </w:pPr>
            <w:r w:rsidRPr="00E3458A">
              <w:rPr>
                <w:color w:val="006100"/>
                <w:sz w:val="18"/>
                <w:lang w:val="en-IE"/>
              </w:rPr>
              <w:t>New functionalities linked to creation of statistical reports;</w:t>
            </w:r>
          </w:p>
          <w:p w:rsidRPr="00D9276C" w:rsidR="00D87E44" w:rsidP="00D226F4" w:rsidRDefault="00D87E44" w14:paraId="154584D4" w14:textId="77777777">
            <w:pPr>
              <w:pStyle w:val="ListParagraph"/>
              <w:numPr>
                <w:ilvl w:val="0"/>
                <w:numId w:val="69"/>
              </w:numPr>
              <w:spacing w:before="0" w:after="0" w:line="240" w:lineRule="auto"/>
              <w:rPr>
                <w:rFonts w:eastAsia="Times New Roman"/>
                <w:noProof/>
                <w:color w:val="006100"/>
                <w:sz w:val="18"/>
                <w:szCs w:val="18"/>
                <w:lang w:val="en-IE"/>
              </w:rPr>
            </w:pPr>
            <w:r w:rsidRPr="00E3458A">
              <w:rPr>
                <w:color w:val="006100"/>
                <w:sz w:val="18"/>
                <w:lang w:val="en-IE"/>
              </w:rPr>
              <w:t>development of the system according to additional reporting requirements.</w:t>
            </w:r>
          </w:p>
          <w:p w:rsidRPr="00D9276C" w:rsidR="00D87E44" w:rsidRDefault="00D87E44" w14:paraId="154584D5"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 </w:t>
            </w:r>
          </w:p>
        </w:tc>
      </w:tr>
      <w:tr w:rsidRPr="00FE48E2" w:rsidR="00E3458A" w14:paraId="154584E4" w14:textId="77777777">
        <w:trPr>
          <w:trHeight w:val="309"/>
          <w:jc w:val="center"/>
        </w:trPr>
        <w:tc>
          <w:tcPr>
            <w:tcW w:w="851" w:type="dxa"/>
            <w:shd w:val="clear" w:color="auto" w:fill="C6EFCE"/>
          </w:tcPr>
          <w:p w:rsidRPr="00D9276C" w:rsidR="00D87E44" w:rsidRDefault="00D87E44" w14:paraId="154584D7" w14:textId="77777777">
            <w:pPr>
              <w:spacing w:before="0" w:after="0" w:line="240" w:lineRule="auto"/>
              <w:rPr>
                <w:rFonts w:eastAsia="Times New Roman"/>
                <w:noProof/>
                <w:color w:val="004300"/>
                <w:sz w:val="18"/>
                <w:szCs w:val="18"/>
                <w:lang w:val="en-IE"/>
              </w:rPr>
            </w:pPr>
            <w:r w:rsidRPr="00D9276C">
              <w:rPr>
                <w:rFonts w:eastAsia="Times New Roman"/>
                <w:noProof/>
                <w:color w:val="004300"/>
                <w:sz w:val="18"/>
                <w:szCs w:val="18"/>
                <w:lang w:val="en-IE"/>
              </w:rPr>
              <w:t>288</w:t>
            </w:r>
          </w:p>
        </w:tc>
        <w:tc>
          <w:tcPr>
            <w:tcW w:w="1554" w:type="dxa"/>
            <w:shd w:val="clear" w:color="auto" w:fill="C6EFCE"/>
          </w:tcPr>
          <w:p w:rsidRPr="00D9276C" w:rsidR="00D87E44" w:rsidRDefault="00D87E44" w14:paraId="154584D8"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Reform 4: </w:t>
            </w:r>
          </w:p>
          <w:p w:rsidRPr="00D9276C" w:rsidR="00D87E44" w:rsidRDefault="00D87E44" w14:paraId="154584D9"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The increase of effectiveness and enhancing the implementation of </w:t>
            </w:r>
            <w:r w:rsidRPr="00D9276C">
              <w:rPr>
                <w:rFonts w:eastAsia="Times New Roman"/>
                <w:noProof/>
                <w:color w:val="006100"/>
                <w:sz w:val="18"/>
                <w:szCs w:val="18"/>
                <w:lang w:val="en-IE"/>
              </w:rPr>
              <w:lastRenderedPageBreak/>
              <w:t>the National Recovery and Resilience Plan</w:t>
            </w:r>
          </w:p>
          <w:p w:rsidRPr="00D9276C" w:rsidR="00D87E44" w:rsidRDefault="00D87E44" w14:paraId="154584DA"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 </w:t>
            </w:r>
          </w:p>
        </w:tc>
        <w:tc>
          <w:tcPr>
            <w:tcW w:w="1134" w:type="dxa"/>
            <w:shd w:val="clear" w:color="auto" w:fill="C6EFCE"/>
          </w:tcPr>
          <w:p w:rsidRPr="00D9276C" w:rsidR="00D87E44" w:rsidRDefault="00D87E44" w14:paraId="154584DB"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lastRenderedPageBreak/>
              <w:t>Target</w:t>
            </w:r>
          </w:p>
        </w:tc>
        <w:tc>
          <w:tcPr>
            <w:tcW w:w="1559" w:type="dxa"/>
            <w:shd w:val="clear" w:color="auto" w:fill="C6EFCE"/>
          </w:tcPr>
          <w:p w:rsidRPr="00D9276C" w:rsidR="00D87E44" w:rsidRDefault="00D87E44" w14:paraId="154584DC"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 xml:space="preserve">Increasing the number of people working on the Recovery and </w:t>
            </w:r>
            <w:r w:rsidRPr="00D9276C">
              <w:rPr>
                <w:rFonts w:eastAsia="Times New Roman"/>
                <w:noProof/>
                <w:color w:val="006100"/>
                <w:sz w:val="18"/>
                <w:szCs w:val="18"/>
                <w:lang w:val="en-IE"/>
              </w:rPr>
              <w:lastRenderedPageBreak/>
              <w:t>Resilience Plan by 2024</w:t>
            </w:r>
          </w:p>
        </w:tc>
        <w:tc>
          <w:tcPr>
            <w:tcW w:w="1701" w:type="dxa"/>
            <w:shd w:val="clear" w:color="auto" w:fill="C6EFCE"/>
          </w:tcPr>
          <w:p w:rsidRPr="00D9276C" w:rsidR="00D87E44" w:rsidRDefault="00D87E44" w14:paraId="154584DD" w14:textId="77777777">
            <w:pPr>
              <w:spacing w:before="0" w:after="0" w:line="240" w:lineRule="auto"/>
              <w:rPr>
                <w:rFonts w:eastAsia="Times New Roman"/>
                <w:noProof/>
                <w:color w:val="006100"/>
                <w:sz w:val="18"/>
                <w:szCs w:val="18"/>
                <w:lang w:val="en-IE"/>
              </w:rPr>
            </w:pPr>
          </w:p>
        </w:tc>
        <w:tc>
          <w:tcPr>
            <w:tcW w:w="1387" w:type="dxa"/>
            <w:shd w:val="clear" w:color="auto" w:fill="C6EFCE"/>
          </w:tcPr>
          <w:p w:rsidRPr="00D9276C" w:rsidR="00D87E44" w:rsidRDefault="00D87E44" w14:paraId="154584DE"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Full-time equivalent people</w:t>
            </w:r>
          </w:p>
        </w:tc>
        <w:tc>
          <w:tcPr>
            <w:tcW w:w="955" w:type="dxa"/>
            <w:shd w:val="clear" w:color="auto" w:fill="C6EFCE"/>
          </w:tcPr>
          <w:p w:rsidRPr="00D9276C" w:rsidR="00D87E44" w:rsidRDefault="00D87E44" w14:paraId="154584DF"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338</w:t>
            </w:r>
          </w:p>
        </w:tc>
        <w:tc>
          <w:tcPr>
            <w:tcW w:w="955" w:type="dxa"/>
            <w:shd w:val="clear" w:color="auto" w:fill="C6EFCE"/>
          </w:tcPr>
          <w:p w:rsidRPr="00D9276C" w:rsidR="00D87E44" w:rsidRDefault="00D87E44" w14:paraId="154584E0"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470</w:t>
            </w:r>
          </w:p>
        </w:tc>
        <w:tc>
          <w:tcPr>
            <w:tcW w:w="1040" w:type="dxa"/>
            <w:shd w:val="clear" w:color="auto" w:fill="C6EFCE"/>
          </w:tcPr>
          <w:p w:rsidRPr="00D9276C" w:rsidR="00D87E44" w:rsidRDefault="00D87E44" w14:paraId="154584E1"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Q4</w:t>
            </w:r>
          </w:p>
        </w:tc>
        <w:tc>
          <w:tcPr>
            <w:tcW w:w="640" w:type="dxa"/>
            <w:shd w:val="clear" w:color="auto" w:fill="C6EFCE"/>
          </w:tcPr>
          <w:p w:rsidRPr="00D9276C" w:rsidR="00D87E44" w:rsidRDefault="00D87E44" w14:paraId="154584E2"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2024</w:t>
            </w:r>
          </w:p>
        </w:tc>
        <w:tc>
          <w:tcPr>
            <w:tcW w:w="3959" w:type="dxa"/>
            <w:shd w:val="clear" w:color="auto" w:fill="C6EFCE"/>
          </w:tcPr>
          <w:p w:rsidRPr="00D9276C" w:rsidR="00D87E44" w:rsidRDefault="00D87E44" w14:paraId="154584E3" w14:textId="77777777">
            <w:pPr>
              <w:spacing w:before="0" w:after="0" w:line="240" w:lineRule="auto"/>
              <w:rPr>
                <w:rFonts w:eastAsia="Times New Roman"/>
                <w:noProof/>
                <w:color w:val="006100"/>
                <w:sz w:val="18"/>
                <w:szCs w:val="18"/>
                <w:lang w:val="en-IE"/>
              </w:rPr>
            </w:pPr>
            <w:r w:rsidRPr="00D9276C">
              <w:rPr>
                <w:rFonts w:eastAsia="Times New Roman"/>
                <w:noProof/>
                <w:color w:val="006100"/>
                <w:sz w:val="18"/>
                <w:szCs w:val="18"/>
                <w:lang w:val="en-IE"/>
              </w:rPr>
              <w:t>At least 470 full-time equivalent people shall work on the Recovery and Resilience Plan</w:t>
            </w:r>
          </w:p>
        </w:tc>
      </w:tr>
    </w:tbl>
    <w:p w:rsidRPr="00FF1320" w:rsidR="00D87E44" w:rsidP="00FF1320" w:rsidRDefault="00D87E44" w14:paraId="154584E5" w14:textId="77777777">
      <w:pPr>
        <w:keepNext/>
        <w:spacing w:line="240" w:lineRule="auto"/>
        <w:jc w:val="both"/>
        <w:rPr>
          <w:b/>
          <w:color w:val="000000" w:themeColor="text1"/>
          <w:u w:val="single"/>
          <w:lang w:val="en-IE"/>
        </w:rPr>
        <w:sectPr w:rsidRPr="00FF1320" w:rsidR="00C16C1F" w:rsidSect="00D226F4">
          <w:headerReference w:type="even" r:id="R95410c179ce3473f"/>
          <w:headerReference w:type="default" r:id="R6cbf244d5cd84c21"/>
          <w:footerReference w:type="even" r:id="R3b79250e1fad480a"/>
          <w:footerReference w:type="default" r:id="Re360e787ec4f4dd4"/>
          <w:headerReference w:type="first" r:id="R3973912084734677"/>
          <w:footerReference w:type="first" r:id="R7e7ed4e02b1c4e56"/>
          <w:pgSz w:w="16839" w:h="11907" w:orient="landscape"/>
          <w:pgMar w:top="1134" w:right="1134" w:bottom="1134" w:left="1134" w:header="567" w:footer="567" w:gutter="0"/>
          <w:cols w:space="720"/>
          <w:docGrid w:linePitch="326"/>
        </w:sectPr>
      </w:pPr>
    </w:p>
    <w:p w:rsidRPr="00FE48E2" w:rsidR="00D87E44" w:rsidP="00D226F4" w:rsidRDefault="00D87E44" w14:paraId="154584E6"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 xml:space="preserve">V. COMPONENT 4.2: New Quasi-Equity Instruments for the Promotion of Entrepreneurship and Development of Czech-Moravian Guarantee and Development Bank (ČMZRB) as a National Development Bank </w:t>
      </w:r>
    </w:p>
    <w:p w:rsidRPr="00FE48E2" w:rsidR="00D87E44" w:rsidP="00D226F4" w:rsidRDefault="00D87E44" w14:paraId="154584E7" w14:textId="77777777">
      <w:pPr>
        <w:spacing w:line="240" w:lineRule="auto"/>
        <w:jc w:val="both"/>
        <w:rPr>
          <w:rFonts w:eastAsia="Times New Roman"/>
          <w:noProof/>
          <w:color w:val="000000"/>
          <w:lang w:val="en-IE"/>
        </w:rPr>
      </w:pPr>
      <w:r w:rsidRPr="00FE48E2">
        <w:rPr>
          <w:rFonts w:eastAsia="Times New Roman"/>
          <w:noProof/>
          <w:lang w:val="en-IE"/>
        </w:rPr>
        <w:t xml:space="preserve">This component of the Czech recovery and resilience plan addresses the </w:t>
      </w:r>
      <w:r w:rsidRPr="00FE48E2">
        <w:rPr>
          <w:rFonts w:eastAsia="Times New Roman"/>
          <w:noProof/>
          <w:color w:val="000000"/>
          <w:lang w:val="en-IE"/>
        </w:rPr>
        <w:t xml:space="preserve">challenges concerning the access to finance by </w:t>
      </w:r>
      <w:r w:rsidRPr="00FE48E2">
        <w:rPr>
          <w:rFonts w:eastAsia="Times New Roman"/>
          <w:noProof/>
          <w:lang w:val="en-IE"/>
        </w:rPr>
        <w:t>small and medium sized enterprises (SMEs).</w:t>
      </w:r>
    </w:p>
    <w:p w:rsidRPr="00FE48E2" w:rsidR="00D87E44" w:rsidP="00D226F4" w:rsidRDefault="00D87E44" w14:paraId="154584E8" w14:textId="77777777">
      <w:pPr>
        <w:spacing w:line="240" w:lineRule="auto"/>
        <w:jc w:val="both"/>
        <w:rPr>
          <w:rFonts w:ascii="Calibri" w:hAnsi="Calibri" w:eastAsia="Times New Roman"/>
          <w:noProof/>
          <w:sz w:val="22"/>
          <w:lang w:val="en-IE"/>
        </w:rPr>
      </w:pPr>
      <w:r w:rsidRPr="00FE48E2">
        <w:rPr>
          <w:rFonts w:eastAsia="Times New Roman"/>
          <w:noProof/>
          <w:szCs w:val="24"/>
          <w:lang w:val="en-IE"/>
        </w:rPr>
        <w:t xml:space="preserve">The objectives of the component are extending the ČMZRB’s product line to include a new quasi-equity instrument and strengthening ČMZRB’s capacities for its </w:t>
      </w:r>
      <w:r w:rsidRPr="00FE48E2">
        <w:rPr>
          <w:rFonts w:eastAsia="Times New Roman"/>
          <w:noProof/>
          <w:szCs w:val="24"/>
          <w:lang w:val="en-IE"/>
        </w:rPr>
        <w:t>implementation, including the design of internal regulatory procedures and IT systems. An integral part of the reform shall be to update the ČMZRB strategy to include principles for sustainable financing in line with EU environmental objectives with the full application of the ‘Do no significant harm principle’.</w:t>
      </w:r>
    </w:p>
    <w:p w:rsidRPr="00FE48E2" w:rsidR="00D87E44" w:rsidP="00D226F4" w:rsidRDefault="00D87E44" w14:paraId="154584E9" w14:textId="77777777">
      <w:pPr>
        <w:spacing w:line="240" w:lineRule="auto"/>
        <w:jc w:val="both"/>
        <w:rPr>
          <w:rFonts w:eastAsia="Times New Roman"/>
          <w:noProof/>
          <w:lang w:val="en-IE"/>
        </w:rPr>
      </w:pPr>
      <w:r w:rsidRPr="00FE48E2">
        <w:rPr>
          <w:rFonts w:eastAsia="Times New Roman"/>
          <w:noProof/>
          <w:lang w:val="en-IE"/>
        </w:rPr>
        <w:t>The component supports addressing the country specific recommendation on</w:t>
      </w:r>
      <w:r w:rsidRPr="00FE48E2">
        <w:rPr>
          <w:rFonts w:eastAsia="Times New Roman"/>
          <w:noProof/>
          <w:color w:val="000000"/>
          <w:lang w:val="en-IE"/>
        </w:rPr>
        <w:t xml:space="preserve"> supporting small and medium sized enterprises by making greater use of financial instruments to ensure liquidity support (Country Specific Recommendation</w:t>
      </w:r>
      <w:r w:rsidRPr="00FE48E2">
        <w:rPr>
          <w:rFonts w:eastAsia="Times New Roman"/>
          <w:noProof/>
          <w:lang w:val="en-IE"/>
        </w:rPr>
        <w:t xml:space="preserve"> 3 2019).</w:t>
      </w:r>
    </w:p>
    <w:p w:rsidRPr="007747A1" w:rsidR="00D87E44" w:rsidP="00D226F4" w:rsidRDefault="00D87E44" w14:paraId="154584EA"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84EB" w14:textId="77777777">
      <w:pPr>
        <w:spacing w:line="240" w:lineRule="auto"/>
        <w:jc w:val="both"/>
        <w:rPr>
          <w:noProof/>
          <w:szCs w:val="24"/>
          <w:lang w:val="en-IE"/>
        </w:rPr>
      </w:pPr>
    </w:p>
    <w:p w:rsidRPr="00FE48E2" w:rsidR="00D87E44" w:rsidP="00D226F4" w:rsidRDefault="00D87E44" w14:paraId="154584EC" w14:textId="77777777">
      <w:pPr>
        <w:spacing w:line="240" w:lineRule="auto"/>
        <w:jc w:val="both"/>
        <w:rPr>
          <w:b/>
          <w:bCs/>
          <w:i/>
          <w:iCs/>
          <w:noProof/>
          <w:lang w:val="en-IE"/>
        </w:rPr>
      </w:pPr>
      <w:r w:rsidRPr="1B282876">
        <w:rPr>
          <w:b/>
          <w:bCs/>
          <w:noProof/>
          <w:u w:val="single"/>
          <w:lang w:val="en-IE"/>
        </w:rPr>
        <w:t>V.1. Description of the reforms and investments for non-repayable financial support</w:t>
      </w:r>
    </w:p>
    <w:p w:rsidRPr="00FE48E2" w:rsidR="00D87E44" w:rsidP="00D226F4" w:rsidRDefault="00D87E44" w14:paraId="154584ED" w14:textId="77777777">
      <w:pPr>
        <w:pBdr>
          <w:top w:val="nil"/>
          <w:left w:val="nil"/>
          <w:bottom w:val="nil"/>
          <w:right w:val="nil"/>
          <w:between w:val="nil"/>
        </w:pBdr>
        <w:spacing w:line="240" w:lineRule="auto"/>
        <w:rPr>
          <w:b/>
          <w:noProof/>
          <w:szCs w:val="24"/>
          <w:lang w:val="en-IE"/>
        </w:rPr>
      </w:pPr>
      <w:r w:rsidRPr="00FE48E2">
        <w:rPr>
          <w:b/>
          <w:noProof/>
          <w:szCs w:val="24"/>
          <w:lang w:val="en-IE"/>
        </w:rPr>
        <w:t>Reform 1: Development of the Czech-Moravian Guarantee and Development Bank as a National Development Bank</w:t>
      </w:r>
    </w:p>
    <w:p w:rsidRPr="00FE48E2" w:rsidR="00D87E44" w:rsidP="00D226F4" w:rsidRDefault="00D87E44" w14:paraId="154584EE" w14:textId="77777777">
      <w:pPr>
        <w:pBdr>
          <w:top w:val="nil"/>
          <w:left w:val="nil"/>
          <w:bottom w:val="nil"/>
          <w:right w:val="nil"/>
          <w:between w:val="nil"/>
        </w:pBdr>
        <w:spacing w:line="240" w:lineRule="auto"/>
        <w:jc w:val="both"/>
        <w:rPr>
          <w:rFonts w:eastAsia="Times New Roman"/>
          <w:noProof/>
          <w:szCs w:val="24"/>
          <w:lang w:val="en-IE"/>
        </w:rPr>
      </w:pPr>
      <w:r w:rsidRPr="00FE48E2">
        <w:rPr>
          <w:rFonts w:eastAsia="Times New Roman"/>
          <w:noProof/>
          <w:szCs w:val="24"/>
          <w:lang w:val="en-IE"/>
        </w:rPr>
        <w:t xml:space="preserve">The purpose of the reform is to strengthen the ČMZRB position as a national development bank, its capacity to implement financial instruments, especially those supporting the objectives of green transition. </w:t>
      </w:r>
    </w:p>
    <w:p w:rsidRPr="00FE48E2" w:rsidR="00D87E44" w:rsidP="00D226F4" w:rsidRDefault="00D87E44" w14:paraId="154584EF" w14:textId="77777777">
      <w:pPr>
        <w:pBdr>
          <w:top w:val="nil"/>
          <w:left w:val="nil"/>
          <w:bottom w:val="nil"/>
          <w:right w:val="nil"/>
          <w:between w:val="nil"/>
        </w:pBdr>
        <w:spacing w:line="240" w:lineRule="auto"/>
        <w:jc w:val="both"/>
        <w:rPr>
          <w:rFonts w:eastAsia="Times New Roman"/>
          <w:noProof/>
          <w:szCs w:val="24"/>
          <w:lang w:val="en-IE"/>
        </w:rPr>
      </w:pPr>
      <w:r w:rsidRPr="00FE48E2">
        <w:rPr>
          <w:rFonts w:eastAsia="Times New Roman"/>
          <w:noProof/>
          <w:szCs w:val="24"/>
          <w:lang w:val="en-IE"/>
        </w:rPr>
        <w:t>The reform shall aim at completing the following objectives:</w:t>
      </w:r>
    </w:p>
    <w:p w:rsidRPr="00FE48E2" w:rsidR="00D87E44" w:rsidP="00D226F4" w:rsidRDefault="00D87E44" w14:paraId="154584F0" w14:textId="77777777">
      <w:pPr>
        <w:numPr>
          <w:ilvl w:val="0"/>
          <w:numId w:val="70"/>
        </w:numPr>
        <w:pBdr>
          <w:top w:val="nil"/>
          <w:left w:val="nil"/>
          <w:bottom w:val="nil"/>
          <w:right w:val="nil"/>
          <w:between w:val="nil"/>
        </w:pBdr>
        <w:spacing w:line="259" w:lineRule="auto"/>
        <w:ind w:left="360"/>
        <w:contextualSpacing/>
        <w:jc w:val="both"/>
        <w:rPr>
          <w:rFonts w:eastAsia="Times New Roman"/>
          <w:noProof/>
          <w:szCs w:val="24"/>
          <w:lang w:val="en-IE"/>
        </w:rPr>
      </w:pPr>
      <w:r w:rsidRPr="00FE48E2">
        <w:rPr>
          <w:rFonts w:eastAsia="Times New Roman"/>
          <w:noProof/>
          <w:szCs w:val="24"/>
          <w:lang w:val="en-IE"/>
        </w:rPr>
        <w:t>Updating of the ČMZRB strategy to include principles for sustainable financing in line with EU environmental objectives.</w:t>
      </w:r>
    </w:p>
    <w:p w:rsidRPr="00FE48E2" w:rsidR="00D87E44" w:rsidP="00D226F4" w:rsidRDefault="00D87E44" w14:paraId="154584F1" w14:textId="77777777">
      <w:pPr>
        <w:numPr>
          <w:ilvl w:val="0"/>
          <w:numId w:val="70"/>
        </w:numPr>
        <w:pBdr>
          <w:top w:val="nil"/>
          <w:left w:val="nil"/>
          <w:bottom w:val="nil"/>
          <w:right w:val="nil"/>
          <w:between w:val="nil"/>
        </w:pBdr>
        <w:spacing w:line="259" w:lineRule="auto"/>
        <w:ind w:left="360"/>
        <w:contextualSpacing/>
        <w:jc w:val="both"/>
        <w:rPr>
          <w:noProof/>
          <w:szCs w:val="24"/>
          <w:lang w:val="en-IE"/>
        </w:rPr>
      </w:pPr>
      <w:r w:rsidRPr="00FE48E2">
        <w:rPr>
          <w:noProof/>
          <w:szCs w:val="24"/>
          <w:lang w:val="en-IE"/>
        </w:rPr>
        <w:t xml:space="preserve">Strengthening institutional and human resources to ensure the efficient management of the new type of financial instruments, including through adjustment of internal regulatory procedures of the IT systems for the new product. </w:t>
      </w:r>
    </w:p>
    <w:p w:rsidRPr="00FE48E2" w:rsidR="00D87E44" w:rsidP="00D226F4" w:rsidRDefault="00D87E44" w14:paraId="154584F2" w14:textId="77777777">
      <w:pPr>
        <w:numPr>
          <w:ilvl w:val="0"/>
          <w:numId w:val="70"/>
        </w:numPr>
        <w:pBdr>
          <w:top w:val="nil"/>
          <w:left w:val="nil"/>
          <w:bottom w:val="nil"/>
          <w:right w:val="nil"/>
          <w:between w:val="nil"/>
        </w:pBdr>
        <w:spacing w:line="259" w:lineRule="auto"/>
        <w:ind w:left="360"/>
        <w:contextualSpacing/>
        <w:jc w:val="both"/>
        <w:rPr>
          <w:rFonts w:eastAsia="Times New Roman"/>
          <w:noProof/>
          <w:szCs w:val="24"/>
          <w:lang w:val="en-IE"/>
        </w:rPr>
      </w:pPr>
      <w:r w:rsidRPr="00FE48E2">
        <w:rPr>
          <w:rFonts w:eastAsia="Times New Roman"/>
          <w:noProof/>
          <w:szCs w:val="24"/>
          <w:lang w:val="en-IE"/>
        </w:rPr>
        <w:t xml:space="preserve">Development of a methodology for project evaluation and selection that </w:t>
      </w:r>
      <w:r w:rsidRPr="00FE48E2">
        <w:rPr>
          <w:rFonts w:eastAsia="Times New Roman"/>
          <w:noProof/>
          <w:color w:val="000000"/>
          <w:szCs w:val="24"/>
          <w:lang w:val="en-IE" w:eastAsia="fr-BE"/>
        </w:rPr>
        <w:t>complies with “Do no significant harm” (DNSH) Technical guidance (2021/C58/01) requirements</w:t>
      </w:r>
      <w:r w:rsidRPr="00FE48E2">
        <w:rPr>
          <w:rFonts w:eastAsia="Times New Roman"/>
          <w:i/>
          <w:noProof/>
          <w:szCs w:val="24"/>
          <w:lang w:val="en-IE"/>
        </w:rPr>
        <w:t xml:space="preserve"> </w:t>
      </w:r>
      <w:r w:rsidRPr="00FE48E2">
        <w:rPr>
          <w:rFonts w:eastAsia="Times New Roman"/>
          <w:noProof/>
          <w:szCs w:val="24"/>
          <w:lang w:val="en-IE"/>
        </w:rPr>
        <w:t xml:space="preserve">and green tagging criteria as established under Annex VI to the RRF Regulation, allowing for support of activities with a climate coefficient of 40% or 100%. </w:t>
      </w:r>
    </w:p>
    <w:p w:rsidR="00D87E44" w:rsidP="00D226F4" w:rsidRDefault="00D87E44" w14:paraId="154584F3" w14:textId="77777777">
      <w:pPr>
        <w:spacing w:line="240" w:lineRule="auto"/>
        <w:jc w:val="both"/>
        <w:rPr>
          <w:noProof/>
          <w:lang w:val="en-IE"/>
        </w:rPr>
      </w:pPr>
    </w:p>
    <w:p w:rsidRPr="00FE48E2" w:rsidR="00D87E44" w:rsidP="00D226F4" w:rsidRDefault="00D87E44" w14:paraId="154584F4" w14:textId="77777777">
      <w:pPr>
        <w:spacing w:line="240" w:lineRule="auto"/>
        <w:jc w:val="both"/>
        <w:rPr>
          <w:noProof/>
          <w:szCs w:val="24"/>
          <w:lang w:val="en-IE"/>
        </w:rPr>
      </w:pPr>
      <w:r w:rsidRPr="00FE48E2">
        <w:rPr>
          <w:noProof/>
          <w:lang w:val="en-IE"/>
        </w:rPr>
        <w:t xml:space="preserve">The reform shall be completed by 31 December 2021. </w:t>
      </w:r>
    </w:p>
    <w:p w:rsidR="00D87E44" w:rsidP="00D226F4" w:rsidRDefault="00D87E44" w14:paraId="154584F5" w14:textId="77777777">
      <w:pPr>
        <w:spacing w:line="240" w:lineRule="auto"/>
        <w:rPr>
          <w:b/>
          <w:noProof/>
          <w:szCs w:val="24"/>
          <w:lang w:val="en-IE"/>
        </w:rPr>
        <w:sectPr w:rsidR="00C16C1F" w:rsidSect="00D226F4">
          <w:headerReference w:type="even" r:id="Rdb7cf70eb813400c"/>
          <w:headerReference w:type="default" r:id="R6b6b633bab1c4fb3"/>
          <w:footerReference w:type="even" r:id="R34ff24e159d84796"/>
          <w:footerReference w:type="default" r:id="R199b86882d8e455a"/>
          <w:headerReference w:type="first" r:id="R2ed8902837a94dfd"/>
          <w:footerReference w:type="first" r:id="Rae0a46c3c11b479b"/>
          <w:pgSz w:w="11907" w:h="16839"/>
          <w:pgMar w:top="1134" w:right="1134" w:bottom="1134" w:left="1134" w:header="567" w:footer="567" w:gutter="0"/>
          <w:cols w:space="720"/>
          <w:docGrid w:linePitch="326"/>
        </w:sectPr>
      </w:pPr>
    </w:p>
    <w:p w:rsidRPr="00CF78B1" w:rsidR="00D87E44" w:rsidP="00D226F4" w:rsidRDefault="00D87E44" w14:paraId="154584F6" w14:textId="77777777">
      <w:pPr>
        <w:spacing w:line="240" w:lineRule="auto"/>
        <w:rPr>
          <w:b/>
          <w:bCs/>
          <w:noProof/>
          <w:lang w:val="en-IE"/>
        </w:rPr>
      </w:pPr>
      <w:r w:rsidRPr="5BB37758">
        <w:rPr>
          <w:b/>
          <w:bCs/>
          <w:noProof/>
          <w:lang w:val="en-IE"/>
        </w:rPr>
        <w:lastRenderedPageBreak/>
        <w:t>Investment 1: Development of a new line of quasi-equity and green loan instruments supporting entrepreneurship</w:t>
      </w:r>
    </w:p>
    <w:p w:rsidR="00D87E44" w:rsidP="00D226F4" w:rsidRDefault="00D87E44" w14:paraId="154584F7" w14:textId="77777777">
      <w:pPr>
        <w:pBdr>
          <w:top w:val="nil"/>
          <w:left w:val="nil"/>
          <w:bottom w:val="nil"/>
          <w:right w:val="nil"/>
          <w:between w:val="nil"/>
        </w:pBdr>
        <w:spacing w:line="240" w:lineRule="auto"/>
        <w:jc w:val="both"/>
        <w:rPr>
          <w:rFonts w:eastAsia="Times New Roman"/>
          <w:noProof/>
          <w:lang w:val="en-IE"/>
        </w:rPr>
      </w:pPr>
      <w:r w:rsidRPr="472B26A9">
        <w:rPr>
          <w:rFonts w:eastAsia="Times New Roman"/>
          <w:noProof/>
          <w:lang w:val="en-IE"/>
        </w:rPr>
        <w:t>This measure shall consist of a public investment in a Facility in order to incentivise private investment and improve access to finance for Czechia’s small and medium sized enterprises (SMEs). The Facility shall operate by providing financing directly to the private sector.</w:t>
      </w:r>
    </w:p>
    <w:p w:rsidRPr="00FE48E2" w:rsidR="00D87E44" w:rsidP="00D226F4" w:rsidRDefault="00D87E44" w14:paraId="154584F8" w14:textId="77777777">
      <w:pPr>
        <w:pBdr>
          <w:top w:val="nil"/>
          <w:left w:val="nil"/>
          <w:bottom w:val="nil"/>
          <w:right w:val="nil"/>
          <w:between w:val="nil"/>
        </w:pBdr>
        <w:spacing w:line="240" w:lineRule="auto"/>
        <w:jc w:val="both"/>
        <w:rPr>
          <w:rFonts w:eastAsia="Times New Roman"/>
          <w:noProof/>
          <w:szCs w:val="24"/>
          <w:lang w:val="en-IE"/>
        </w:rPr>
      </w:pPr>
      <w:r w:rsidRPr="00FE48E2">
        <w:rPr>
          <w:rFonts w:eastAsia="Times New Roman"/>
          <w:noProof/>
          <w:szCs w:val="24"/>
          <w:lang w:val="en-IE"/>
        </w:rPr>
        <w:t>Czechia shall complete the following measures:</w:t>
      </w:r>
    </w:p>
    <w:p w:rsidRPr="001B44F6" w:rsidR="00D87E44" w:rsidP="00D226F4" w:rsidRDefault="00D87E44" w14:paraId="154584F9" w14:textId="77777777">
      <w:pPr>
        <w:numPr>
          <w:ilvl w:val="0"/>
          <w:numId w:val="70"/>
        </w:numPr>
        <w:pBdr>
          <w:top w:val="nil"/>
          <w:left w:val="nil"/>
          <w:bottom w:val="nil"/>
          <w:right w:val="nil"/>
          <w:between w:val="nil"/>
        </w:pBdr>
        <w:spacing w:line="259" w:lineRule="auto"/>
        <w:ind w:left="360"/>
        <w:contextualSpacing/>
        <w:jc w:val="both"/>
        <w:rPr>
          <w:rFonts w:eastAsia="Times New Roman"/>
          <w:noProof/>
          <w:lang w:val="en-IE"/>
        </w:rPr>
      </w:pPr>
      <w:r w:rsidRPr="27B414D4">
        <w:rPr>
          <w:rFonts w:eastAsia="Times New Roman"/>
          <w:noProof/>
          <w:lang w:val="en-IE"/>
        </w:rPr>
        <w:t xml:space="preserve">Concluding a funding agreement between the </w:t>
      </w:r>
      <w:r w:rsidRPr="27B414D4">
        <w:rPr>
          <w:rFonts w:eastAsia="Times New Roman"/>
          <w:noProof/>
        </w:rPr>
        <w:t>National Development Bank, as a successor of</w:t>
      </w:r>
      <w:r w:rsidRPr="27B414D4">
        <w:rPr>
          <w:rFonts w:eastAsia="Times New Roman"/>
          <w:noProof/>
          <w:lang w:val="en-IE"/>
        </w:rPr>
        <w:t xml:space="preserve"> ČMZRB, and the Ministry of Industry and Trade, which clearly sets that the projects supported by the ČMZRB under the recovery and resilience plan shall comply with the objectives of the Regulation (EU) 2021/241, including the DNSH and green tagging criteria</w:t>
      </w:r>
      <w:r>
        <w:rPr>
          <w:rFonts w:eastAsia="Times New Roman"/>
          <w:noProof/>
          <w:lang w:val="en-IE"/>
        </w:rPr>
        <w:t>.</w:t>
      </w:r>
    </w:p>
    <w:p w:rsidRPr="00FE48E2" w:rsidR="00D87E44" w:rsidP="00D226F4" w:rsidRDefault="00D87E44" w14:paraId="154584FA" w14:textId="77777777">
      <w:pPr>
        <w:numPr>
          <w:ilvl w:val="0"/>
          <w:numId w:val="70"/>
        </w:numPr>
        <w:pBdr>
          <w:top w:val="nil"/>
          <w:left w:val="nil"/>
          <w:bottom w:val="nil"/>
          <w:right w:val="nil"/>
          <w:between w:val="nil"/>
        </w:pBdr>
        <w:spacing w:line="259" w:lineRule="auto"/>
        <w:ind w:left="360"/>
        <w:contextualSpacing/>
        <w:jc w:val="both"/>
        <w:rPr>
          <w:rFonts w:eastAsia="Times New Roman"/>
          <w:noProof/>
          <w:lang w:val="en-IE"/>
        </w:rPr>
      </w:pPr>
      <w:r w:rsidRPr="27B414D4">
        <w:rPr>
          <w:rFonts w:eastAsia="Times New Roman"/>
          <w:noProof/>
          <w:lang w:val="en-IE"/>
        </w:rPr>
        <w:t>In order to ensure that the measure complies with the ‘Do no significant harm’ Technical Guidance (2021/C58/01), the legal agreement between the Ministr</w:t>
      </w:r>
      <w:r>
        <w:rPr>
          <w:rFonts w:eastAsia="Times New Roman"/>
          <w:noProof/>
          <w:lang w:val="en-IE"/>
        </w:rPr>
        <w:t>y</w:t>
      </w:r>
      <w:r w:rsidRPr="27B414D4">
        <w:rPr>
          <w:rFonts w:eastAsia="Times New Roman"/>
          <w:noProof/>
          <w:lang w:val="en-IE"/>
        </w:rPr>
        <w:t xml:space="preserve"> of Industry and Trade and the </w:t>
      </w:r>
      <w:r w:rsidRPr="27B414D4">
        <w:rPr>
          <w:rFonts w:eastAsia="Times New Roman"/>
          <w:noProof/>
          <w:szCs w:val="24"/>
        </w:rPr>
        <w:t xml:space="preserve">National Development Bank </w:t>
      </w:r>
      <w:r w:rsidRPr="27B414D4">
        <w:rPr>
          <w:rFonts w:eastAsia="Times New Roman"/>
          <w:noProof/>
          <w:lang w:val="en-IE"/>
        </w:rPr>
        <w:t>and the subsequent investment policy of the financial instrument shall:</w:t>
      </w:r>
    </w:p>
    <w:p w:rsidRPr="00FE48E2" w:rsidR="00D87E44" w:rsidP="00D226F4" w:rsidRDefault="00D87E44" w14:paraId="154584FB" w14:textId="77777777">
      <w:pPr>
        <w:numPr>
          <w:ilvl w:val="0"/>
          <w:numId w:val="71"/>
        </w:numPr>
        <w:spacing w:line="259" w:lineRule="auto"/>
        <w:contextualSpacing/>
        <w:jc w:val="both"/>
        <w:rPr>
          <w:rFonts w:eastAsia="Times New Roman"/>
          <w:noProof/>
          <w:szCs w:val="24"/>
          <w:lang w:val="en-IE"/>
        </w:rPr>
      </w:pPr>
      <w:r w:rsidRPr="00FE48E2">
        <w:rPr>
          <w:rFonts w:eastAsia="Times New Roman"/>
          <w:noProof/>
          <w:szCs w:val="24"/>
          <w:lang w:val="en-IE"/>
        </w:rPr>
        <w:t>require the application of the European Commission’s technical guidance on sustainability proofing for the InvestEU Fund; and</w:t>
      </w:r>
    </w:p>
    <w:p w:rsidRPr="00FE48E2" w:rsidR="00D87E44" w:rsidP="00D226F4" w:rsidRDefault="00D87E44" w14:paraId="154584FC" w14:textId="77777777">
      <w:pPr>
        <w:numPr>
          <w:ilvl w:val="0"/>
          <w:numId w:val="71"/>
        </w:numPr>
        <w:spacing w:line="259" w:lineRule="auto"/>
        <w:contextualSpacing/>
        <w:jc w:val="both"/>
        <w:rPr>
          <w:rFonts w:eastAsia="Times New Roman"/>
          <w:noProof/>
          <w:szCs w:val="24"/>
          <w:lang w:val="en-IE"/>
        </w:rPr>
      </w:pPr>
      <w:r w:rsidRPr="077DF33C">
        <w:rPr>
          <w:rFonts w:eastAsia="Times New Roman"/>
          <w:noProof/>
          <w:lang w:val="en-IE"/>
        </w:rPr>
        <w:t>exclude the following list of activities and assets from eligibility: (i) activities and assets related to fossil fuels, including downstream use</w:t>
      </w:r>
      <w:r w:rsidRPr="077DF33C">
        <w:rPr>
          <w:rFonts w:eastAsia="Times New Roman"/>
          <w:noProof/>
          <w:vertAlign w:val="superscript"/>
          <w:lang w:val="en-IE"/>
        </w:rPr>
        <w:footnoteReference w:id="15"/>
      </w:r>
      <w:r w:rsidRPr="077DF33C">
        <w:rPr>
          <w:rFonts w:eastAsia="Times New Roman"/>
          <w:noProof/>
          <w:lang w:val="en-IE"/>
        </w:rPr>
        <w:t>; (ii) activities and assets under the EU Emission Trading System (ETS) achieving projected greenhouse gas emissions that are not lower than the relevant benchmarks</w:t>
      </w:r>
      <w:r w:rsidRPr="077DF33C">
        <w:rPr>
          <w:rFonts w:eastAsia="Times New Roman"/>
          <w:noProof/>
          <w:vertAlign w:val="superscript"/>
          <w:lang w:val="en-IE"/>
        </w:rPr>
        <w:footnoteReference w:id="16"/>
      </w:r>
      <w:r w:rsidRPr="077DF33C">
        <w:rPr>
          <w:rFonts w:eastAsia="Times New Roman"/>
          <w:noProof/>
          <w:lang w:val="en-IE"/>
        </w:rPr>
        <w:t>; (iii) activities and assets related to waste landfills, incinerators</w:t>
      </w:r>
      <w:r w:rsidRPr="077DF33C">
        <w:rPr>
          <w:rFonts w:eastAsia="Times New Roman"/>
          <w:noProof/>
          <w:vertAlign w:val="superscript"/>
          <w:lang w:val="en-IE"/>
        </w:rPr>
        <w:footnoteReference w:id="17"/>
      </w:r>
      <w:r w:rsidRPr="077DF33C">
        <w:rPr>
          <w:rFonts w:eastAsia="Times New Roman"/>
          <w:noProof/>
          <w:lang w:val="en-IE"/>
        </w:rPr>
        <w:t xml:space="preserve"> and mechanical biological treatment plants</w:t>
      </w:r>
      <w:r w:rsidRPr="077DF33C">
        <w:rPr>
          <w:rFonts w:eastAsia="Times New Roman"/>
          <w:noProof/>
          <w:vertAlign w:val="superscript"/>
          <w:lang w:val="en-IE"/>
        </w:rPr>
        <w:footnoteReference w:id="18"/>
      </w:r>
      <w:r w:rsidRPr="077DF33C">
        <w:rPr>
          <w:rFonts w:eastAsia="Times New Roman"/>
          <w:noProof/>
          <w:lang w:val="en-IE"/>
        </w:rPr>
        <w:t>; and (iv) activities and assets where the long-term disposal of waste may cause harm to the environment; and</w:t>
      </w:r>
    </w:p>
    <w:p w:rsidRPr="00FE48E2" w:rsidR="00D87E44" w:rsidP="00D226F4" w:rsidRDefault="00D87E44" w14:paraId="154584FD" w14:textId="77777777">
      <w:pPr>
        <w:numPr>
          <w:ilvl w:val="0"/>
          <w:numId w:val="71"/>
        </w:numPr>
        <w:spacing w:line="259" w:lineRule="auto"/>
        <w:contextualSpacing/>
        <w:jc w:val="both"/>
        <w:rPr>
          <w:rFonts w:eastAsia="Times New Roman"/>
          <w:noProof/>
          <w:lang w:val="en-IE"/>
        </w:rPr>
      </w:pPr>
      <w:r w:rsidRPr="27B414D4">
        <w:rPr>
          <w:rFonts w:eastAsia="Times New Roman"/>
          <w:noProof/>
          <w:lang w:val="en-IE"/>
        </w:rPr>
        <w:t>require the verification of legal compliance with the relevant EU and national environmental legislation of the beneficiary by the entrusted entity or financial intermediary for all transactions, including those exempted from sustainability proofing.</w:t>
      </w:r>
    </w:p>
    <w:p w:rsidR="00D87E44" w:rsidRDefault="00D87E44" w14:paraId="154584FE" w14:textId="77777777">
      <w:pPr>
        <w:spacing w:before="0" w:after="160" w:line="259" w:lineRule="auto"/>
        <w:rPr>
          <w:rFonts w:eastAsia="Times New Roman"/>
          <w:noProof/>
          <w:szCs w:val="24"/>
        </w:rPr>
      </w:pPr>
      <w:r>
        <w:rPr>
          <w:rFonts w:eastAsia="Times New Roman"/>
          <w:noProof/>
          <w:szCs w:val="24"/>
        </w:rPr>
        <w:br w:type="page"/>
      </w:r>
    </w:p>
    <w:p w:rsidR="00D87E44" w:rsidP="00D226F4" w:rsidRDefault="00D87E44" w14:paraId="154584FF" w14:textId="77777777">
      <w:pPr>
        <w:spacing w:line="240" w:lineRule="auto"/>
        <w:jc w:val="both"/>
        <w:rPr>
          <w:rFonts w:eastAsia="Times New Roman"/>
          <w:noProof/>
          <w:szCs w:val="24"/>
        </w:rPr>
      </w:pPr>
      <w:r w:rsidRPr="27B414D4">
        <w:rPr>
          <w:rFonts w:eastAsia="Times New Roman"/>
          <w:noProof/>
          <w:szCs w:val="24"/>
        </w:rPr>
        <w:lastRenderedPageBreak/>
        <w:t xml:space="preserve">The Facility shall be managed by the National Development Bank as the implementing partner. The Facility shall include the following product lines: </w:t>
      </w:r>
    </w:p>
    <w:p w:rsidRPr="00E3458A" w:rsidR="00D87E44" w:rsidP="00FF1320" w:rsidRDefault="00D87E44" w14:paraId="15458500" w14:textId="77777777">
      <w:pPr>
        <w:pStyle w:val="ListParagraph"/>
        <w:numPr>
          <w:ilvl w:val="0"/>
          <w:numId w:val="72"/>
        </w:numPr>
        <w:spacing w:before="0" w:after="0" w:line="259" w:lineRule="auto"/>
        <w:jc w:val="both"/>
      </w:pPr>
      <w:r w:rsidRPr="00E3458A">
        <w:t>Subordinated (mezzanine) loans co-financed by a commercial loan on a project basis where the National Development Bank acts as a subordinated creditor; and</w:t>
      </w:r>
    </w:p>
    <w:p w:rsidRPr="00E3458A" w:rsidR="00D87E44" w:rsidP="00FF1320" w:rsidRDefault="00D87E44" w14:paraId="15458501" w14:textId="77777777">
      <w:pPr>
        <w:pStyle w:val="ListParagraph"/>
        <w:numPr>
          <w:ilvl w:val="0"/>
          <w:numId w:val="72"/>
        </w:numPr>
        <w:spacing w:before="0" w:after="0" w:line="259" w:lineRule="auto"/>
        <w:jc w:val="both"/>
      </w:pPr>
      <w:r w:rsidRPr="00E3458A">
        <w:t>Green loans co-financed by a commercial loan on a project basis without subordination.</w:t>
      </w:r>
    </w:p>
    <w:p w:rsidR="00D87E44" w:rsidP="00D226F4" w:rsidRDefault="00D87E44" w14:paraId="15458502" w14:textId="77777777">
      <w:pPr>
        <w:spacing w:line="240" w:lineRule="auto"/>
        <w:jc w:val="both"/>
        <w:rPr>
          <w:rFonts w:eastAsia="Times New Roman"/>
          <w:noProof/>
          <w:szCs w:val="24"/>
        </w:rPr>
      </w:pPr>
      <w:r w:rsidRPr="27B414D4">
        <w:rPr>
          <w:rFonts w:eastAsia="Times New Roman"/>
          <w:noProof/>
          <w:szCs w:val="24"/>
          <w:lang w:val="en-IE"/>
        </w:rPr>
        <w:t xml:space="preserve">In order to implement the investment into the Facility, the updated Funding Agreement concluded between </w:t>
      </w:r>
      <w:r w:rsidRPr="27B414D4">
        <w:rPr>
          <w:rFonts w:eastAsia="Times New Roman"/>
          <w:noProof/>
          <w:szCs w:val="24"/>
        </w:rPr>
        <w:t>Czechia and the National Development Bank shall also include the following content:</w:t>
      </w:r>
    </w:p>
    <w:p w:rsidR="00D87E44" w:rsidP="00D226F4" w:rsidRDefault="00D87E44" w14:paraId="15458503" w14:textId="77777777">
      <w:pPr>
        <w:spacing w:before="0" w:after="0" w:line="257" w:lineRule="auto"/>
        <w:jc w:val="both"/>
        <w:rPr>
          <w:rFonts w:eastAsia="Times New Roman"/>
          <w:noProof/>
          <w:lang w:val="en-IE"/>
        </w:rPr>
      </w:pPr>
      <w:r w:rsidRPr="758B738B">
        <w:rPr>
          <w:rFonts w:eastAsia="Times New Roman"/>
          <w:noProof/>
          <w:szCs w:val="24"/>
          <w:lang w:val="en-US"/>
        </w:rPr>
        <w:t xml:space="preserve">1. </w:t>
      </w:r>
      <w:r w:rsidRPr="758B738B">
        <w:rPr>
          <w:rFonts w:eastAsia="Times New Roman"/>
          <w:noProof/>
          <w:lang w:val="en-US"/>
        </w:rPr>
        <w:t xml:space="preserve">Description of the decision-making process of the Facility: </w:t>
      </w:r>
      <w:r w:rsidRPr="758B738B">
        <w:rPr>
          <w:rFonts w:eastAsia="Times New Roman"/>
          <w:noProof/>
          <w:lang w:val="en-IE"/>
        </w:rPr>
        <w:t>The final investment decision of the Facility shall be taken by an investment committee or other relevant equivalent governing body and approved by a majority of votes from members who are independent from the government.</w:t>
      </w:r>
    </w:p>
    <w:p w:rsidR="00D87E44" w:rsidP="00D226F4" w:rsidRDefault="00D87E44" w14:paraId="15458504" w14:textId="77777777">
      <w:pPr>
        <w:spacing w:before="0" w:after="0" w:line="257" w:lineRule="auto"/>
        <w:jc w:val="both"/>
        <w:rPr>
          <w:rFonts w:eastAsia="Times New Roman"/>
          <w:noProof/>
          <w:szCs w:val="24"/>
          <w:lang w:val="en-IE"/>
        </w:rPr>
      </w:pPr>
    </w:p>
    <w:p w:rsidRPr="00E3458A" w:rsidR="00D87E44" w:rsidP="00D226F4" w:rsidRDefault="00D87E44" w14:paraId="15458505" w14:textId="77777777">
      <w:pPr>
        <w:pStyle w:val="ListParagraph"/>
        <w:spacing w:before="0" w:after="0" w:line="257" w:lineRule="auto"/>
        <w:ind w:left="360" w:hanging="360"/>
        <w:jc w:val="both"/>
        <w:rPr>
          <w:color w:val="000000" w:themeColor="text1"/>
          <w:lang w:val="en-IE"/>
        </w:rPr>
      </w:pPr>
      <w:r w:rsidRPr="00E3458A">
        <w:rPr>
          <w:color w:val="000000" w:themeColor="text1"/>
          <w:lang w:val="en-IE"/>
        </w:rPr>
        <w:t>2.</w:t>
      </w:r>
      <w:r>
        <w:rPr>
          <w:color w:val="000000" w:themeColor="text1"/>
          <w:lang w:val="en-IE"/>
        </w:rPr>
        <w:t xml:space="preserve"> </w:t>
      </w:r>
      <w:r w:rsidRPr="00E3458A">
        <w:rPr>
          <w:color w:val="000000" w:themeColor="text1"/>
          <w:lang w:val="en-IE"/>
        </w:rPr>
        <w:t>Key requirements of the associated investment policy, which shall include:</w:t>
      </w:r>
    </w:p>
    <w:p w:rsidRPr="00E3458A" w:rsidR="00D87E44" w:rsidP="00D226F4" w:rsidRDefault="00D87E44" w14:paraId="15458506" w14:textId="77777777">
      <w:pPr>
        <w:pStyle w:val="ListParagraph"/>
        <w:numPr>
          <w:ilvl w:val="0"/>
          <w:numId w:val="73"/>
        </w:numPr>
        <w:spacing w:before="0" w:after="0" w:line="257" w:lineRule="auto"/>
        <w:jc w:val="both"/>
        <w:rPr>
          <w:color w:val="000000" w:themeColor="text1"/>
          <w:lang w:val="en-IE"/>
        </w:rPr>
      </w:pPr>
      <w:r w:rsidRPr="00E3458A">
        <w:rPr>
          <w:color w:val="000000" w:themeColor="text1"/>
          <w:lang w:val="en-IE"/>
        </w:rPr>
        <w:t>The description of the financial product(s) and eligible final beneficiaries.</w:t>
      </w:r>
    </w:p>
    <w:p w:rsidRPr="00E3458A" w:rsidR="00D87E44" w:rsidP="00D226F4" w:rsidRDefault="00D87E44" w14:paraId="15458507" w14:textId="77777777">
      <w:pPr>
        <w:pStyle w:val="ListParagraph"/>
        <w:numPr>
          <w:ilvl w:val="0"/>
          <w:numId w:val="73"/>
        </w:numPr>
        <w:spacing w:before="0" w:after="0" w:line="257" w:lineRule="auto"/>
        <w:jc w:val="both"/>
        <w:rPr>
          <w:color w:val="000000" w:themeColor="text1"/>
          <w:lang w:val="en-IE"/>
        </w:rPr>
      </w:pPr>
      <w:r w:rsidRPr="00E3458A">
        <w:rPr>
          <w:color w:val="000000" w:themeColor="text1"/>
          <w:lang w:val="en-IE"/>
        </w:rPr>
        <w:t>The requirement that all investments supported are economically viable.</w:t>
      </w:r>
    </w:p>
    <w:p w:rsidR="00D87E44" w:rsidP="00D226F4" w:rsidRDefault="00D87E44" w14:paraId="15458508" w14:textId="77777777">
      <w:pPr>
        <w:pStyle w:val="ListParagraph"/>
        <w:numPr>
          <w:ilvl w:val="0"/>
          <w:numId w:val="73"/>
        </w:numPr>
        <w:spacing w:before="0" w:after="0" w:line="257" w:lineRule="auto"/>
        <w:jc w:val="both"/>
        <w:rPr>
          <w:rFonts w:eastAsia="Times New Roman"/>
          <w:noProof/>
          <w:color w:val="000000" w:themeColor="text1"/>
          <w:szCs w:val="24"/>
          <w:lang w:val="en-IE"/>
        </w:rPr>
      </w:pPr>
      <w:r w:rsidRPr="00E3458A">
        <w:rPr>
          <w:color w:val="000000" w:themeColor="text1"/>
          <w:lang w:val="en-IE"/>
        </w:rPr>
        <w:t>The requirement that final beneficiaries of the Facility shall not receive support from other Union instruments to cover the same cost.</w:t>
      </w:r>
    </w:p>
    <w:p w:rsidR="00D87E44" w:rsidP="00D226F4" w:rsidRDefault="00D87E44" w14:paraId="15458509" w14:textId="77777777">
      <w:pPr>
        <w:spacing w:before="0" w:after="160" w:line="257" w:lineRule="auto"/>
        <w:ind w:left="360"/>
        <w:contextualSpacing/>
        <w:jc w:val="both"/>
        <w:rPr>
          <w:rFonts w:eastAsia="Times New Roman"/>
          <w:b/>
          <w:bCs/>
          <w:noProof/>
          <w:color w:val="000000" w:themeColor="text1"/>
          <w:szCs w:val="24"/>
          <w:lang w:val="en-IE"/>
        </w:rPr>
      </w:pPr>
      <w:r w:rsidRPr="758B738B">
        <w:rPr>
          <w:rFonts w:eastAsia="Times New Roman"/>
          <w:b/>
          <w:bCs/>
          <w:noProof/>
          <w:color w:val="000000" w:themeColor="text1"/>
          <w:szCs w:val="24"/>
          <w:lang w:val="en-IE"/>
        </w:rPr>
        <w:t xml:space="preserve"> </w:t>
      </w:r>
    </w:p>
    <w:p w:rsidR="00D87E44" w:rsidP="00D226F4" w:rsidRDefault="00D87E44" w14:paraId="1545850A" w14:textId="77777777">
      <w:pPr>
        <w:spacing w:line="259" w:lineRule="auto"/>
        <w:contextualSpacing/>
        <w:jc w:val="both"/>
        <w:rPr>
          <w:rFonts w:eastAsia="Times New Roman"/>
          <w:noProof/>
          <w:lang w:val="en-IE"/>
        </w:rPr>
      </w:pPr>
      <w:r w:rsidRPr="09295A3B">
        <w:rPr>
          <w:rFonts w:eastAsia="Times New Roman"/>
          <w:noProof/>
        </w:rPr>
        <w:t>3.</w:t>
      </w:r>
      <w:r>
        <w:rPr>
          <w:rFonts w:eastAsia="Times New Roman"/>
          <w:noProof/>
        </w:rPr>
        <w:t xml:space="preserve"> </w:t>
      </w:r>
      <w:r w:rsidRPr="09295A3B">
        <w:rPr>
          <w:rFonts w:eastAsia="Times New Roman"/>
          <w:noProof/>
        </w:rPr>
        <w:t>The amount covered by the updated Funding Agreement and the fee structure for the National Development Bank.</w:t>
      </w:r>
    </w:p>
    <w:p w:rsidRPr="00FE48E2" w:rsidR="00D87E44" w:rsidP="00D226F4" w:rsidRDefault="00D87E44" w14:paraId="1545850B" w14:textId="77777777">
      <w:pPr>
        <w:spacing w:line="240" w:lineRule="auto"/>
        <w:jc w:val="both"/>
        <w:rPr>
          <w:rFonts w:eastAsia="Times New Roman"/>
          <w:noProof/>
          <w:lang w:val="en-IE"/>
        </w:rPr>
      </w:pPr>
      <w:r w:rsidRPr="00FE48E2">
        <w:rPr>
          <w:rFonts w:eastAsia="Times New Roman"/>
          <w:noProof/>
          <w:lang w:val="en-IE"/>
        </w:rPr>
        <w:t xml:space="preserve">In </w:t>
      </w:r>
      <w:r w:rsidRPr="00FE48E2">
        <w:rPr>
          <w:rFonts w:eastAsia="Times New Roman"/>
          <w:noProof/>
          <w:lang w:val="en-IE"/>
        </w:rPr>
        <w:t>order to ensure that the activities are in line with Annex VI to Regulation (EU) 2021/241, the selection criteria shall require that the supported activities comply with the requirements of the applicable intervention fields of Annex VI of that Regulation (with a 40% or 100% coefficient).</w:t>
      </w:r>
    </w:p>
    <w:p w:rsidRPr="00FE48E2" w:rsidR="00D87E44" w:rsidP="00D226F4" w:rsidRDefault="00D87E44" w14:paraId="1545850C" w14:textId="77777777">
      <w:pPr>
        <w:spacing w:line="240" w:lineRule="auto"/>
        <w:jc w:val="both"/>
        <w:rPr>
          <w:noProof/>
          <w:color w:val="4F81BD"/>
          <w:lang w:val="en-IE"/>
        </w:rPr>
      </w:pPr>
      <w:r w:rsidRPr="00FE48E2">
        <w:rPr>
          <w:noProof/>
          <w:lang w:val="en-IE"/>
        </w:rPr>
        <w:t xml:space="preserve">The </w:t>
      </w:r>
      <w:r w:rsidRPr="44DAD674">
        <w:rPr>
          <w:rFonts w:eastAsia="Times New Roman"/>
          <w:noProof/>
          <w:szCs w:val="24"/>
          <w:lang w:val="en-IE"/>
        </w:rPr>
        <w:t xml:space="preserve">implementation of the measure </w:t>
      </w:r>
      <w:r w:rsidRPr="00FE48E2">
        <w:rPr>
          <w:noProof/>
          <w:lang w:val="en-IE"/>
        </w:rPr>
        <w:t>shall be completed by 31</w:t>
      </w:r>
      <w:r w:rsidRPr="44DAD674">
        <w:rPr>
          <w:noProof/>
          <w:lang w:val="en-IE"/>
        </w:rPr>
        <w:t xml:space="preserve"> August </w:t>
      </w:r>
      <w:r w:rsidRPr="00FE48E2">
        <w:rPr>
          <w:noProof/>
          <w:lang w:val="en-IE"/>
        </w:rPr>
        <w:t>202</w:t>
      </w:r>
      <w:r w:rsidRPr="0A4DE686">
        <w:rPr>
          <w:noProof/>
          <w:lang w:val="en-IE"/>
        </w:rPr>
        <w:t>6</w:t>
      </w:r>
      <w:r w:rsidRPr="00FE48E2">
        <w:rPr>
          <w:noProof/>
          <w:lang w:val="en-IE"/>
        </w:rPr>
        <w:t>.</w:t>
      </w:r>
    </w:p>
    <w:p w:rsidRPr="00FE48E2" w:rsidR="00D87E44" w:rsidP="00D226F4" w:rsidRDefault="00D87E44" w14:paraId="1545850D" w14:textId="77777777">
      <w:pPr>
        <w:spacing w:line="240" w:lineRule="auto"/>
        <w:rPr>
          <w:rFonts w:ascii="Calibri" w:hAnsi="Calibri"/>
          <w:b/>
          <w:noProof/>
          <w:sz w:val="22"/>
          <w:lang w:val="en-IE"/>
        </w:rPr>
      </w:pPr>
    </w:p>
    <w:p w:rsidRPr="00FE48E2" w:rsidR="00D87E44" w:rsidP="00D226F4" w:rsidRDefault="00D87E44" w14:paraId="1545850E" w14:textId="77777777">
      <w:pPr>
        <w:spacing w:line="240" w:lineRule="auto"/>
        <w:rPr>
          <w:rFonts w:ascii="Calibri" w:hAnsi="Calibri"/>
          <w:noProof/>
          <w:sz w:val="22"/>
          <w:lang w:val="en-IE"/>
        </w:rPr>
        <w:sectPr w:rsidRPr="00FE48E2" w:rsidR="00C16C1F" w:rsidSect="00D226F4">
          <w:headerReference w:type="even" r:id="Rbe2d2ad3078942b8"/>
          <w:footerReference w:type="even" r:id="R4126f07c9102477b"/>
          <w:headerReference w:type="first" r:id="R6252905d13e54733"/>
          <w:footerReference w:type="first" r:id="Rcc2f296f35d04c44"/>
          <w:pgSz w:w="11907" w:h="16839"/>
          <w:pgMar w:top="1134" w:right="1134" w:bottom="1134" w:left="1134" w:header="567" w:footer="567" w:gutter="0"/>
          <w:cols w:space="720"/>
          <w:docGrid w:linePitch="326"/>
        </w:sectPr>
      </w:pPr>
    </w:p>
    <w:p w:rsidRPr="00FE48E2" w:rsidR="00D87E44" w:rsidP="00D226F4" w:rsidRDefault="00D87E44" w14:paraId="1545850F" w14:textId="77777777">
      <w:pPr>
        <w:pBdr>
          <w:top w:val="nil"/>
          <w:left w:val="nil"/>
          <w:bottom w:val="nil"/>
          <w:right w:val="nil"/>
          <w:between w:val="nil"/>
        </w:pBdr>
        <w:tabs>
          <w:tab w:val="left" w:pos="993"/>
        </w:tabs>
        <w:spacing w:line="240" w:lineRule="auto"/>
        <w:rPr>
          <w:b/>
          <w:bCs/>
          <w:noProof/>
          <w:color w:val="000000"/>
          <w:u w:val="single"/>
          <w:lang w:val="en-IE"/>
        </w:rPr>
      </w:pPr>
      <w:r w:rsidRPr="1B282876">
        <w:rPr>
          <w:b/>
          <w:bCs/>
          <w:noProof/>
          <w:color w:val="000000" w:themeColor="text1"/>
          <w:u w:val="single"/>
          <w:lang w:val="en-IE"/>
        </w:rPr>
        <w:lastRenderedPageBreak/>
        <w:t xml:space="preserve">V.2. Milestones, targets, indicators, and timetable for monitoring and implementation for non-repayable financial support </w:t>
      </w:r>
    </w:p>
    <w:tbl>
      <w:tblPr>
        <w:tblW w:w="1601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left w:w="0" w:type="dxa"/>
          <w:right w:w="0" w:type="dxa"/>
        </w:tblCellMar>
        <w:tblLook w:val="0400" w:firstRow="0" w:lastRow="0" w:firstColumn="0" w:lastColumn="0" w:noHBand="0" w:noVBand="1"/>
      </w:tblPr>
      <w:tblGrid>
        <w:gridCol w:w="993"/>
        <w:gridCol w:w="1843"/>
        <w:gridCol w:w="992"/>
        <w:gridCol w:w="1560"/>
        <w:gridCol w:w="1445"/>
        <w:gridCol w:w="1248"/>
        <w:gridCol w:w="1134"/>
        <w:gridCol w:w="1417"/>
        <w:gridCol w:w="993"/>
        <w:gridCol w:w="992"/>
        <w:gridCol w:w="3399"/>
      </w:tblGrid>
      <w:tr w:rsidRPr="00FE48E2" w:rsidR="00E3458A" w14:paraId="15458518" w14:textId="77777777">
        <w:trPr>
          <w:trHeight w:val="610"/>
          <w:tblHeader/>
          <w:jc w:val="center"/>
        </w:trPr>
        <w:tc>
          <w:tcPr>
            <w:tcW w:w="993"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51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843"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511"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992"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51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560"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51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Name </w:t>
            </w:r>
          </w:p>
        </w:tc>
        <w:tc>
          <w:tcPr>
            <w:tcW w:w="1445"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51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 </w:t>
            </w:r>
          </w:p>
        </w:tc>
        <w:tc>
          <w:tcPr>
            <w:tcW w:w="3799"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FE48E2" w:rsidR="00D87E44" w:rsidRDefault="00D87E44" w14:paraId="15458515"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1985" w:type="dxa"/>
            <w:gridSpan w:val="2"/>
            <w:tcBorders>
              <w:top w:val="single" w:color="000000" w:themeColor="text1" w:sz="8" w:space="0"/>
              <w:left w:val="nil"/>
              <w:bottom w:val="single" w:color="000000" w:themeColor="text1" w:sz="8" w:space="0"/>
              <w:right w:val="single" w:color="000000" w:themeColor="text1" w:sz="8" w:space="0"/>
            </w:tcBorders>
            <w:shd w:val="clear" w:color="auto" w:fill="BDD7EE"/>
            <w:vAlign w:val="center"/>
          </w:tcPr>
          <w:p w:rsidRPr="00FE48E2" w:rsidR="00D87E44" w:rsidRDefault="00D87E44" w14:paraId="1545851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3399" w:type="dxa"/>
            <w:vMerge w:val="restart"/>
            <w:tcBorders>
              <w:top w:val="single" w:color="000000" w:themeColor="text1" w:sz="8" w:space="0"/>
              <w:left w:val="nil"/>
              <w:right w:val="single" w:color="000000" w:themeColor="text1" w:sz="8" w:space="0"/>
            </w:tcBorders>
            <w:shd w:val="clear" w:color="auto" w:fill="BDD7EE"/>
            <w:vAlign w:val="center"/>
          </w:tcPr>
          <w:p w:rsidRPr="00FE48E2" w:rsidR="00D87E44" w:rsidRDefault="00D87E44" w14:paraId="15458517"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Description and clear definition of each milestone and target </w:t>
            </w:r>
          </w:p>
        </w:tc>
      </w:tr>
      <w:tr w:rsidRPr="00FE48E2" w:rsidR="00E3458A" w14:paraId="15458524" w14:textId="77777777">
        <w:trPr>
          <w:trHeight w:val="506"/>
          <w:tblHeader/>
          <w:jc w:val="center"/>
        </w:trPr>
        <w:tc>
          <w:tcPr>
            <w:tcW w:w="993" w:type="dxa"/>
            <w:vMerge/>
            <w:vAlign w:val="center"/>
          </w:tcPr>
          <w:p w:rsidRPr="00FE48E2" w:rsidR="00D87E44" w:rsidRDefault="00D87E44" w14:paraId="15458519"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843" w:type="dxa"/>
            <w:vMerge/>
            <w:vAlign w:val="center"/>
          </w:tcPr>
          <w:p w:rsidRPr="00FE48E2" w:rsidR="00D87E44" w:rsidRDefault="00D87E44" w14:paraId="1545851A"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vMerge/>
            <w:vAlign w:val="center"/>
          </w:tcPr>
          <w:p w:rsidRPr="00FE48E2" w:rsidR="00D87E44" w:rsidRDefault="00D87E44" w14:paraId="1545851B"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60" w:type="dxa"/>
            <w:vMerge/>
            <w:vAlign w:val="center"/>
          </w:tcPr>
          <w:p w:rsidRPr="00FE48E2" w:rsidR="00D87E44" w:rsidRDefault="00D87E44" w14:paraId="1545851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45" w:type="dxa"/>
            <w:vMerge/>
            <w:vAlign w:val="center"/>
          </w:tcPr>
          <w:p w:rsidRPr="00FE48E2" w:rsidR="00D87E44" w:rsidRDefault="00D87E44" w14:paraId="1545851D"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4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51E"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Unit of measure</w:t>
            </w:r>
          </w:p>
        </w:tc>
        <w:tc>
          <w:tcPr>
            <w:tcW w:w="1134"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51F"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Baseline</w:t>
            </w:r>
          </w:p>
        </w:tc>
        <w:tc>
          <w:tcPr>
            <w:tcW w:w="1417"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520"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Goal</w:t>
            </w:r>
          </w:p>
        </w:tc>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521"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Quarter</w:t>
            </w:r>
          </w:p>
        </w:tc>
        <w:tc>
          <w:tcPr>
            <w:tcW w:w="992"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C86F28" w:rsidR="00D87E44" w:rsidRDefault="00D87E44" w14:paraId="15458522" w14:textId="77777777">
            <w:pPr>
              <w:spacing w:line="240" w:lineRule="auto"/>
              <w:jc w:val="center"/>
              <w:rPr>
                <w:rFonts w:eastAsia="Times New Roman"/>
                <w:noProof/>
                <w:sz w:val="18"/>
                <w:szCs w:val="18"/>
                <w:lang w:val="en-IE"/>
              </w:rPr>
            </w:pPr>
            <w:r w:rsidRPr="00C86F28">
              <w:rPr>
                <w:rFonts w:eastAsia="Times New Roman"/>
                <w:b/>
                <w:noProof/>
                <w:sz w:val="18"/>
                <w:szCs w:val="18"/>
                <w:lang w:val="en-IE"/>
              </w:rPr>
              <w:t>Year</w:t>
            </w:r>
          </w:p>
        </w:tc>
        <w:tc>
          <w:tcPr>
            <w:tcW w:w="3399" w:type="dxa"/>
            <w:vMerge/>
            <w:vAlign w:val="center"/>
          </w:tcPr>
          <w:p w:rsidRPr="00FE48E2" w:rsidR="00D87E44" w:rsidRDefault="00D87E44" w14:paraId="15458523"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14:paraId="15458530" w14:textId="77777777">
        <w:trPr>
          <w:trHeight w:val="945"/>
          <w:jc w:val="center"/>
        </w:trPr>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198</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Development of the Czech-Moravian Guarantee and Development Bank as a National Development Bank</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Adoption of the medium-term strategy of the Czech-Moravian Guarantee and Development Bank (ČMZRB) approved by the bank's shareholders (represented by the Ministries of Industry and Trade, Finance and Local Development)</w:t>
            </w:r>
          </w:p>
        </w:tc>
        <w:tc>
          <w:tcPr>
            <w:tcW w:w="14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Adoption of the medium-term strategy of the Czech-Moravian Guarantee and Development Bank (ČMZRB) </w:t>
            </w:r>
          </w:p>
        </w:tc>
        <w:tc>
          <w:tcPr>
            <w:tcW w:w="124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A" w14:textId="77777777">
            <w:pPr>
              <w:spacing w:before="0" w:after="0" w:line="240" w:lineRule="auto"/>
              <w:rPr>
                <w:rFonts w:eastAsia="Times New Roman"/>
                <w:noProof/>
                <w:color w:val="006100"/>
                <w:sz w:val="18"/>
                <w:szCs w:val="18"/>
                <w:lang w:val="en-IE"/>
              </w:rPr>
            </w:pP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B" w14:textId="77777777">
            <w:pPr>
              <w:spacing w:before="0" w:after="0" w:line="240" w:lineRule="auto"/>
              <w:rPr>
                <w:rFonts w:eastAsia="Times New Roman"/>
                <w:noProof/>
                <w:color w:val="006100"/>
                <w:sz w:val="18"/>
                <w:szCs w:val="18"/>
                <w:lang w:val="en-IE"/>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C" w14:textId="77777777">
            <w:pPr>
              <w:spacing w:before="0" w:after="0" w:line="240" w:lineRule="auto"/>
              <w:rPr>
                <w:rFonts w:eastAsia="Times New Roman"/>
                <w:noProof/>
                <w:color w:val="006100"/>
                <w:sz w:val="18"/>
                <w:szCs w:val="18"/>
                <w:lang w:val="en-IE"/>
              </w:rPr>
            </w:pPr>
          </w:p>
        </w:tc>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2021</w:t>
            </w:r>
          </w:p>
        </w:tc>
        <w:tc>
          <w:tcPr>
            <w:tcW w:w="339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2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new strategy shall be approved by the bank's shareholders: Ministries of Industry and Trade, Finance and Local development). It shall include provisions on ensuring compliance with the ‘Do no significant harm’ Technical Guidance (2021/C58/01).</w:t>
            </w:r>
          </w:p>
        </w:tc>
      </w:tr>
      <w:tr w:rsidRPr="00FE48E2" w:rsidR="00E3458A" w14:paraId="1545853D" w14:textId="77777777">
        <w:trPr>
          <w:trHeight w:val="573"/>
          <w:jc w:val="center"/>
        </w:trPr>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199</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Development of the Czech-Moravian Guarantee and Development Bank as a National Development Bank</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Delivery of a management model for the new quasi-equity instrument </w:t>
            </w:r>
          </w:p>
        </w:tc>
        <w:tc>
          <w:tcPr>
            <w:tcW w:w="14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Approval of the implementation plan and internal regulations for the management of the new type of financial instruments by the Board of Directors of the Czech-Moravian Guarantee and Development Bank (ČMZRB) </w:t>
            </w:r>
          </w:p>
        </w:tc>
        <w:tc>
          <w:tcPr>
            <w:tcW w:w="124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6" w14:textId="77777777">
            <w:pPr>
              <w:spacing w:before="0" w:after="0" w:line="240" w:lineRule="auto"/>
              <w:rPr>
                <w:rFonts w:eastAsia="Times New Roman"/>
                <w:noProof/>
                <w:color w:val="006100"/>
                <w:sz w:val="18"/>
                <w:szCs w:val="18"/>
                <w:lang w:val="en-IE"/>
              </w:rPr>
            </w:pP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7" w14:textId="77777777">
            <w:pPr>
              <w:spacing w:before="0" w:after="0" w:line="240" w:lineRule="auto"/>
              <w:rPr>
                <w:rFonts w:eastAsia="Times New Roman"/>
                <w:noProof/>
                <w:color w:val="006100"/>
                <w:sz w:val="18"/>
                <w:szCs w:val="18"/>
                <w:lang w:val="en-IE"/>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8" w14:textId="77777777">
            <w:pPr>
              <w:spacing w:before="0" w:after="0" w:line="240" w:lineRule="auto"/>
              <w:rPr>
                <w:rFonts w:eastAsia="Times New Roman"/>
                <w:noProof/>
                <w:color w:val="006100"/>
                <w:sz w:val="18"/>
                <w:szCs w:val="18"/>
                <w:lang w:val="en-IE"/>
              </w:rPr>
            </w:pPr>
          </w:p>
        </w:tc>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2021</w:t>
            </w:r>
          </w:p>
        </w:tc>
        <w:tc>
          <w:tcPr>
            <w:tcW w:w="339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milestone shall be achieved through the approval of the implementation plan and internal regulations for the management of new type of financial instruments by the Board of Directors of the Czech-Moravian Guarantee and Development Bank (ČMZRB).</w:t>
            </w:r>
          </w:p>
          <w:p w:rsidRPr="00FE48E2" w:rsidR="00D87E44" w:rsidRDefault="00D87E44" w14:paraId="1545853C"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new rules shall include conditions and methods of project evaluation ensuring compliance with the “Do no significant harm” (DNSH) Technical guidance (2021/C58/01) and with the requirements of the applicable intervention fields of Annex VI of Regulation (EU) 2021/241 (with a 40% or 100% coefficient). The new rules shall be consulted with market entities and professional advisers.</w:t>
            </w:r>
          </w:p>
        </w:tc>
      </w:tr>
      <w:tr w:rsidRPr="00FE48E2" w:rsidR="00E3458A" w14:paraId="1545854A" w14:textId="77777777">
        <w:trPr>
          <w:trHeight w:val="945"/>
          <w:jc w:val="center"/>
        </w:trPr>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200</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3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Investment 1: Development of a new line of quasi-equity </w:t>
            </w:r>
            <w:r>
              <w:rPr>
                <w:rFonts w:eastAsia="Times New Roman"/>
                <w:noProof/>
                <w:color w:val="006100"/>
                <w:sz w:val="18"/>
                <w:szCs w:val="18"/>
                <w:lang w:val="en-IE"/>
              </w:rPr>
              <w:t xml:space="preserve">and green loan </w:t>
            </w:r>
            <w:r w:rsidRPr="00FE48E2">
              <w:rPr>
                <w:rFonts w:eastAsia="Times New Roman"/>
                <w:noProof/>
                <w:color w:val="006100"/>
                <w:sz w:val="18"/>
                <w:szCs w:val="18"/>
                <w:lang w:val="en-IE"/>
              </w:rPr>
              <w:t xml:space="preserve">instruments </w:t>
            </w:r>
            <w:r w:rsidRPr="00FE48E2">
              <w:rPr>
                <w:rFonts w:eastAsia="Times New Roman"/>
                <w:noProof/>
                <w:color w:val="006100"/>
                <w:sz w:val="18"/>
                <w:szCs w:val="18"/>
                <w:lang w:val="en-IE"/>
              </w:rPr>
              <w:lastRenderedPageBreak/>
              <w:t>supporting entrepreneurship</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Milestone</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Funding agreement with the Czech-Moravian Guarantee and Development </w:t>
            </w:r>
            <w:r w:rsidRPr="00FE48E2">
              <w:rPr>
                <w:rFonts w:eastAsia="Times New Roman"/>
                <w:noProof/>
                <w:color w:val="006100"/>
                <w:sz w:val="18"/>
                <w:szCs w:val="18"/>
                <w:lang w:val="en-IE"/>
              </w:rPr>
              <w:lastRenderedPageBreak/>
              <w:t>Bank as a National Development Bank (ČMZRB)</w:t>
            </w:r>
          </w:p>
        </w:tc>
        <w:tc>
          <w:tcPr>
            <w:tcW w:w="14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 xml:space="preserve">Signing of the Funding agreement, </w:t>
            </w:r>
          </w:p>
        </w:tc>
        <w:tc>
          <w:tcPr>
            <w:tcW w:w="124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3" w14:textId="77777777">
            <w:pPr>
              <w:spacing w:before="0" w:after="0" w:line="240" w:lineRule="auto"/>
              <w:rPr>
                <w:rFonts w:eastAsia="Times New Roman"/>
                <w:noProof/>
                <w:color w:val="006100"/>
                <w:sz w:val="18"/>
                <w:szCs w:val="18"/>
                <w:lang w:val="en-IE"/>
              </w:rPr>
            </w:pP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4" w14:textId="77777777">
            <w:pPr>
              <w:spacing w:before="0" w:after="0" w:line="240" w:lineRule="auto"/>
              <w:rPr>
                <w:rFonts w:eastAsia="Times New Roman"/>
                <w:noProof/>
                <w:color w:val="006100"/>
                <w:sz w:val="18"/>
                <w:szCs w:val="18"/>
                <w:lang w:val="en-IE"/>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5" w14:textId="77777777">
            <w:pPr>
              <w:spacing w:before="0" w:after="0" w:line="240" w:lineRule="auto"/>
              <w:rPr>
                <w:rFonts w:eastAsia="Times New Roman"/>
                <w:noProof/>
                <w:color w:val="006100"/>
                <w:sz w:val="18"/>
                <w:szCs w:val="18"/>
                <w:lang w:val="en-IE"/>
              </w:rPr>
            </w:pPr>
          </w:p>
        </w:tc>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2021</w:t>
            </w:r>
          </w:p>
        </w:tc>
        <w:tc>
          <w:tcPr>
            <w:tcW w:w="339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milestone shall be achieved upon signing the funding agreement between the Czech-Moravian Guarantee and Development Bank as a National Development Bank (ČMZRB) </w:t>
            </w:r>
            <w:r w:rsidRPr="00FE48E2">
              <w:rPr>
                <w:rFonts w:eastAsia="Times New Roman"/>
                <w:noProof/>
                <w:color w:val="006100"/>
                <w:sz w:val="18"/>
                <w:szCs w:val="18"/>
                <w:lang w:val="en-IE"/>
              </w:rPr>
              <w:lastRenderedPageBreak/>
              <w:t>and the Ministry of Industry and Trade. The agreement shall include: 1) investment policy, 2) eligibility criteria, 3) compliance with the ‘Do no significant harm’ Technical Guidance (2021/C58/01) of supported beneficiaries under this measure through the use of sustainability proofing, an exclusion list and the requirement of compliance with the relevant EU and national environmental legislation.</w:t>
            </w:r>
          </w:p>
          <w:p w:rsidRPr="00FE48E2" w:rsidR="00D87E44" w:rsidRDefault="00D87E44" w14:paraId="15458549"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selection criteria shall require that the supported activities comply with are in line with the requirements of the applicable intervention fields of Annex VI to Regulation (EU) 2021/241  (with a 40% or 100% coefficient). The funding agreement shall specify that the use of reflows from the financial instrument for the Czech-Moravian Guarantee and Development Bank as a National Development Bank (ČMZRB) core capital shall take place only after 2026.</w:t>
            </w:r>
          </w:p>
        </w:tc>
      </w:tr>
      <w:tr w:rsidRPr="00FE48E2" w:rsidR="00E3458A" w14:paraId="15458559" w14:textId="77777777">
        <w:trPr>
          <w:trHeight w:val="945"/>
          <w:jc w:val="center"/>
        </w:trPr>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201</w:t>
            </w:r>
          </w:p>
        </w:tc>
        <w:tc>
          <w:tcPr>
            <w:tcW w:w="184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Investment 1: Development of a new line of quasi-equity </w:t>
            </w:r>
            <w:r>
              <w:rPr>
                <w:rFonts w:eastAsia="Times New Roman"/>
                <w:noProof/>
                <w:color w:val="006100"/>
                <w:sz w:val="18"/>
                <w:szCs w:val="18"/>
                <w:lang w:val="en-IE"/>
              </w:rPr>
              <w:t xml:space="preserve">and green loan </w:t>
            </w:r>
            <w:r w:rsidRPr="00FE48E2">
              <w:rPr>
                <w:rFonts w:eastAsia="Times New Roman"/>
                <w:noProof/>
                <w:color w:val="006100"/>
                <w:sz w:val="18"/>
                <w:szCs w:val="18"/>
                <w:lang w:val="en-IE"/>
              </w:rPr>
              <w:t xml:space="preserve">instruments supporting entrepreneurship </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D" w14:textId="77777777">
            <w:pPr>
              <w:spacing w:before="0" w:after="0" w:line="240" w:lineRule="auto"/>
              <w:rPr>
                <w:rFonts w:eastAsia="Times New Roman"/>
                <w:noProof/>
                <w:color w:val="006100"/>
                <w:sz w:val="18"/>
                <w:szCs w:val="18"/>
                <w:lang w:val="en-IE"/>
              </w:rPr>
            </w:pPr>
            <w:r w:rsidRPr="09295A3B">
              <w:rPr>
                <w:rFonts w:eastAsia="Times New Roman"/>
                <w:noProof/>
                <w:color w:val="006100"/>
                <w:sz w:val="18"/>
                <w:szCs w:val="18"/>
                <w:lang w:val="en-IE"/>
              </w:rPr>
              <w:t>Milestone</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E" w14:textId="77777777">
            <w:pPr>
              <w:spacing w:before="0" w:after="0" w:line="240" w:lineRule="auto"/>
              <w:rPr>
                <w:rFonts w:eastAsia="Times New Roman"/>
                <w:noProof/>
                <w:color w:val="006100"/>
                <w:sz w:val="18"/>
                <w:szCs w:val="18"/>
                <w:lang w:val="en-IE"/>
              </w:rPr>
            </w:pPr>
            <w:r w:rsidRPr="09295A3B">
              <w:rPr>
                <w:rFonts w:eastAsia="Times New Roman"/>
                <w:noProof/>
                <w:color w:val="006100"/>
                <w:sz w:val="18"/>
                <w:szCs w:val="18"/>
                <w:lang w:val="en-IE"/>
              </w:rPr>
              <w:t xml:space="preserve">Legal agreements signed with final beneficiaries and </w:t>
            </w:r>
            <w:r>
              <w:rPr>
                <w:rFonts w:eastAsia="Times New Roman"/>
                <w:noProof/>
                <w:color w:val="006100"/>
                <w:sz w:val="18"/>
                <w:szCs w:val="18"/>
                <w:lang w:val="en-IE"/>
              </w:rPr>
              <w:t>transfer of funds</w:t>
            </w:r>
            <w:r w:rsidRPr="09295A3B">
              <w:rPr>
                <w:rFonts w:eastAsia="Times New Roman"/>
                <w:noProof/>
                <w:color w:val="006100"/>
                <w:sz w:val="18"/>
                <w:szCs w:val="18"/>
                <w:lang w:val="en-IE"/>
              </w:rPr>
              <w:t xml:space="preserve"> </w:t>
            </w:r>
          </w:p>
        </w:tc>
        <w:tc>
          <w:tcPr>
            <w:tcW w:w="14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4F" w14:textId="77777777">
            <w:pPr>
              <w:spacing w:before="0" w:after="0" w:line="240" w:lineRule="auto"/>
              <w:rPr>
                <w:rFonts w:eastAsia="Times New Roman"/>
                <w:noProof/>
                <w:color w:val="006100"/>
                <w:sz w:val="18"/>
                <w:szCs w:val="18"/>
                <w:lang w:val="en-IE"/>
              </w:rPr>
            </w:pPr>
            <w:r w:rsidRPr="09295A3B">
              <w:rPr>
                <w:rFonts w:eastAsia="Times New Roman"/>
                <w:noProof/>
                <w:color w:val="006100"/>
                <w:sz w:val="18"/>
                <w:szCs w:val="18"/>
                <w:lang w:val="en-IE"/>
              </w:rPr>
              <w:t>Legal agreements and certificate of transfer</w:t>
            </w:r>
          </w:p>
          <w:p w:rsidRPr="00FE48E2" w:rsidR="00D87E44" w:rsidRDefault="00D87E44" w14:paraId="15458550" w14:textId="77777777">
            <w:pPr>
              <w:spacing w:before="0" w:after="0" w:line="240" w:lineRule="auto"/>
              <w:rPr>
                <w:rFonts w:eastAsia="Times New Roman"/>
                <w:noProof/>
                <w:color w:val="006100"/>
                <w:sz w:val="18"/>
                <w:szCs w:val="18"/>
                <w:lang w:val="en-IE"/>
              </w:rPr>
            </w:pPr>
          </w:p>
        </w:tc>
        <w:tc>
          <w:tcPr>
            <w:tcW w:w="124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51" w14:textId="77777777">
            <w:pPr>
              <w:spacing w:before="0" w:after="0" w:line="240" w:lineRule="auto"/>
              <w:rPr>
                <w:rFonts w:eastAsia="Times New Roman"/>
                <w:noProof/>
                <w:color w:val="006100"/>
                <w:sz w:val="18"/>
                <w:szCs w:val="18"/>
                <w:lang w:val="en-IE"/>
              </w:rPr>
            </w:pP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52" w14:textId="77777777">
            <w:pPr>
              <w:spacing w:before="0" w:after="0" w:line="240" w:lineRule="auto"/>
              <w:rPr>
                <w:rFonts w:eastAsia="Times New Roman"/>
                <w:noProof/>
                <w:color w:val="006100"/>
                <w:sz w:val="18"/>
                <w:szCs w:val="18"/>
                <w:lang w:val="en-IE"/>
              </w:rPr>
            </w:pP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53" w14:textId="77777777">
            <w:pPr>
              <w:spacing w:before="0" w:after="0" w:line="240" w:lineRule="auto"/>
              <w:rPr>
                <w:rFonts w:eastAsia="Times New Roman"/>
                <w:noProof/>
                <w:color w:val="006100"/>
                <w:sz w:val="18"/>
                <w:szCs w:val="18"/>
                <w:lang w:val="en-IE"/>
              </w:rPr>
            </w:pPr>
          </w:p>
        </w:tc>
        <w:tc>
          <w:tcPr>
            <w:tcW w:w="99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5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sidRPr="0A4DE686">
              <w:rPr>
                <w:rFonts w:eastAsia="Times New Roman"/>
                <w:noProof/>
                <w:color w:val="006100"/>
                <w:sz w:val="18"/>
                <w:szCs w:val="18"/>
                <w:lang w:val="en-IE"/>
              </w:rPr>
              <w:t>2</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55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w:t>
            </w:r>
            <w:r w:rsidRPr="0A4DE686">
              <w:rPr>
                <w:rFonts w:eastAsia="Times New Roman"/>
                <w:noProof/>
                <w:color w:val="006100"/>
                <w:sz w:val="18"/>
                <w:szCs w:val="18"/>
                <w:lang w:val="en-IE"/>
              </w:rPr>
              <w:t>6</w:t>
            </w:r>
          </w:p>
        </w:tc>
        <w:tc>
          <w:tcPr>
            <w:tcW w:w="339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Del="00396BB1" w:rsidRDefault="00D87E44" w14:paraId="15458556" w14:textId="77777777">
            <w:pPr>
              <w:spacing w:before="0" w:after="0" w:line="240" w:lineRule="auto"/>
              <w:rPr>
                <w:rFonts w:eastAsia="Times New Roman"/>
                <w:noProof/>
                <w:color w:val="006100"/>
                <w:sz w:val="18"/>
                <w:szCs w:val="18"/>
                <w:lang w:val="en-IE"/>
              </w:rPr>
            </w:pPr>
            <w:r w:rsidRPr="09295A3B">
              <w:rPr>
                <w:rFonts w:eastAsia="Times New Roman"/>
                <w:noProof/>
                <w:color w:val="006100"/>
                <w:sz w:val="18"/>
                <w:szCs w:val="18"/>
                <w:lang w:val="en-IE"/>
              </w:rPr>
              <w:t>The National Development Bank shall have entered into legal financing agreements with final beneficiaries for an amount necessary to use 100% of the RRF investment into the Facility (taking into account management fees) in line with the updated Funding Agreement.</w:t>
            </w:r>
          </w:p>
          <w:p w:rsidRPr="00FE48E2" w:rsidR="00D87E44" w:rsidDel="00396BB1" w:rsidRDefault="00D87E44" w14:paraId="15458557" w14:textId="77777777">
            <w:pPr>
              <w:spacing w:after="0" w:line="240" w:lineRule="auto"/>
              <w:rPr>
                <w:noProof/>
              </w:rPr>
            </w:pPr>
            <w:r w:rsidRPr="09295A3B">
              <w:rPr>
                <w:rFonts w:eastAsia="Times New Roman"/>
                <w:noProof/>
                <w:color w:val="006100"/>
                <w:sz w:val="18"/>
                <w:szCs w:val="18"/>
                <w:lang w:val="en-IE"/>
              </w:rPr>
              <w:t xml:space="preserve">The National Development </w:t>
            </w:r>
            <w:r w:rsidRPr="69BD1277">
              <w:rPr>
                <w:rFonts w:eastAsia="Times New Roman"/>
                <w:noProof/>
                <w:color w:val="006100"/>
                <w:sz w:val="18"/>
                <w:szCs w:val="18"/>
                <w:lang w:val="en-IE"/>
              </w:rPr>
              <w:t>Bank</w:t>
            </w:r>
            <w:r w:rsidRPr="09295A3B">
              <w:rPr>
                <w:rFonts w:eastAsia="Times New Roman"/>
                <w:noProof/>
                <w:color w:val="006100"/>
                <w:sz w:val="18"/>
                <w:szCs w:val="18"/>
                <w:lang w:val="en-IE"/>
              </w:rPr>
              <w:t xml:space="preserve"> shall produce a report detailing the percentage of this financing that contributes to climate objectives using the methodology in Annex VI  of the RRF Regulation.</w:t>
            </w:r>
          </w:p>
          <w:p w:rsidRPr="008D13E3" w:rsidR="00D87E44" w:rsidRDefault="00D87E44" w14:paraId="15458558" w14:textId="77777777">
            <w:pPr>
              <w:spacing w:line="240" w:lineRule="auto"/>
              <w:rPr>
                <w:rFonts w:eastAsia="Times New Roman"/>
                <w:noProof/>
                <w:color w:val="006100"/>
                <w:sz w:val="18"/>
                <w:szCs w:val="18"/>
              </w:rPr>
            </w:pPr>
            <w:r w:rsidRPr="09295A3B">
              <w:rPr>
                <w:rFonts w:eastAsia="Times New Roman"/>
                <w:noProof/>
                <w:color w:val="006100"/>
                <w:sz w:val="18"/>
                <w:szCs w:val="18"/>
                <w:lang w:val="en-IE"/>
              </w:rPr>
              <w:t xml:space="preserve">Czechia shall transfer EUR </w:t>
            </w:r>
            <w:r w:rsidRPr="79BB933B">
              <w:rPr>
                <w:rFonts w:eastAsia="Times New Roman"/>
                <w:noProof/>
                <w:color w:val="006100"/>
                <w:sz w:val="18"/>
                <w:szCs w:val="18"/>
                <w:lang w:val="en-IE"/>
              </w:rPr>
              <w:t>6</w:t>
            </w:r>
            <w:r>
              <w:rPr>
                <w:rFonts w:eastAsia="Times New Roman"/>
                <w:noProof/>
                <w:color w:val="006100"/>
                <w:sz w:val="18"/>
                <w:szCs w:val="18"/>
                <w:lang w:val="en-IE"/>
              </w:rPr>
              <w:t> </w:t>
            </w:r>
            <w:r w:rsidRPr="79BB933B">
              <w:rPr>
                <w:rFonts w:eastAsia="Times New Roman"/>
                <w:noProof/>
                <w:color w:val="006100"/>
                <w:sz w:val="18"/>
                <w:szCs w:val="18"/>
                <w:lang w:val="en-IE"/>
              </w:rPr>
              <w:t>000</w:t>
            </w:r>
            <w:r>
              <w:rPr>
                <w:rFonts w:eastAsia="Times New Roman"/>
                <w:noProof/>
                <w:color w:val="006100"/>
                <w:sz w:val="18"/>
                <w:szCs w:val="18"/>
                <w:lang w:val="en-IE"/>
              </w:rPr>
              <w:t> </w:t>
            </w:r>
            <w:r w:rsidRPr="09295A3B">
              <w:rPr>
                <w:rFonts w:eastAsia="Times New Roman"/>
                <w:noProof/>
                <w:color w:val="006100"/>
                <w:sz w:val="18"/>
                <w:szCs w:val="18"/>
                <w:lang w:val="en-IE"/>
              </w:rPr>
              <w:t xml:space="preserve">000 to the National Development Bank for the Facility. </w:t>
            </w:r>
            <w:r>
              <w:rPr>
                <w:rFonts w:eastAsia="Times New Roman"/>
                <w:noProof/>
                <w:color w:val="006100"/>
                <w:sz w:val="18"/>
                <w:szCs w:val="18"/>
                <w:lang w:val="en-IE"/>
              </w:rPr>
              <w:lastRenderedPageBreak/>
              <w:t>The transfer shall be conditional upon the inclusion of the requirements of the measure description in the relevant contractual agreements.</w:t>
            </w:r>
          </w:p>
        </w:tc>
      </w:tr>
    </w:tbl>
    <w:p w:rsidRPr="00FF1320" w:rsidR="00D87E44" w:rsidP="00FF1320" w:rsidRDefault="00D87E44" w14:paraId="1545855A" w14:textId="77777777">
      <w:pPr>
        <w:sectPr w:rsidRPr="00FF1320" w:rsidR="00C16C1F" w:rsidSect="00D226F4">
          <w:headerReference w:type="even" r:id="Ra70a68f4f4d94897"/>
          <w:headerReference w:type="default" r:id="Re6078efe11134513"/>
          <w:footerReference w:type="even" r:id="Rd7e5f994b1b948b5"/>
          <w:footerReference w:type="default" r:id="Rd2ffae64214344bb"/>
          <w:headerReference w:type="first" r:id="Rcd3d022ab2364a90"/>
          <w:footerReference w:type="first" r:id="Rca993b3d08e8488e"/>
          <w:pgSz w:w="16839" w:h="11907" w:orient="landscape"/>
          <w:pgMar w:top="1134" w:right="1134" w:bottom="1134" w:left="1134" w:header="567" w:footer="567" w:gutter="0"/>
          <w:cols w:space="720"/>
          <w:docGrid w:linePitch="360"/>
        </w:sectPr>
      </w:pPr>
    </w:p>
    <w:p w:rsidRPr="00FE48E2" w:rsidR="00D87E44" w:rsidP="00D226F4" w:rsidRDefault="00D87E44" w14:paraId="1545855B" w14:textId="77777777">
      <w:pPr>
        <w:keepNext/>
        <w:tabs>
          <w:tab w:val="left" w:pos="850"/>
        </w:tabs>
        <w:spacing w:line="240" w:lineRule="auto"/>
        <w:jc w:val="both"/>
        <w:outlineLvl w:val="0"/>
        <w:rPr>
          <w:b/>
          <w:bCs/>
          <w:smallCaps/>
          <w:noProof/>
          <w:lang w:val="en-IE"/>
        </w:rPr>
      </w:pPr>
      <w:r w:rsidRPr="00E570D3">
        <w:rPr>
          <w:b/>
          <w:bCs/>
          <w:smallCaps/>
          <w:noProof/>
          <w:lang w:val="en-IE"/>
        </w:rPr>
        <w:lastRenderedPageBreak/>
        <w:t>W. COMPONENT 4.3: Anti-Corruption Reforms</w:t>
      </w:r>
    </w:p>
    <w:p w:rsidRPr="00FE48E2" w:rsidR="00D87E44" w:rsidP="00D226F4" w:rsidRDefault="00D87E44" w14:paraId="1545855C"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This component </w:t>
      </w:r>
      <w:r w:rsidRPr="00FE48E2">
        <w:rPr>
          <w:rFonts w:eastAsia="Times New Roman"/>
          <w:noProof/>
          <w:szCs w:val="24"/>
          <w:lang w:val="en-IE"/>
        </w:rPr>
        <w:t xml:space="preserve">of the Czech recovery and resilience plan contributes to </w:t>
      </w:r>
      <w:r w:rsidRPr="00FE48E2">
        <w:rPr>
          <w:rFonts w:eastAsia="Times New Roman"/>
          <w:noProof/>
          <w:szCs w:val="24"/>
          <w:lang w:val="en-IE" w:eastAsia="cs-CZ"/>
        </w:rPr>
        <w:t xml:space="preserve">addressing the challenge of strengthening the anti-corruption framework of the Czech Republic through the </w:t>
      </w:r>
      <w:r w:rsidRPr="00FE48E2">
        <w:rPr>
          <w:rFonts w:eastAsia="Times New Roman"/>
          <w:noProof/>
          <w:szCs w:val="24"/>
          <w:lang w:val="en-IE" w:eastAsia="cs-CZ"/>
        </w:rPr>
        <w:t xml:space="preserve">adoption of legislation on whistle-blower protection and lobbying regulation. The reform shall also aim at building analytical databases on corruption, which may subsequently be used in designing and implementing more effective and better targeted anti-corruption measures. The component also includes a reform of the judiciary aiming at strengthening the legislative framework and transparency in the areas of courts, judges, prosecutors and bailiffs. </w:t>
      </w:r>
    </w:p>
    <w:p w:rsidRPr="00FE48E2" w:rsidR="00D87E44" w:rsidP="00D226F4" w:rsidRDefault="00D87E44" w14:paraId="1545855D"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component supports addressing the country-specific recommendation 1, 2019, according to which Czechia shall adopt pending anti-corruption measures.</w:t>
      </w:r>
    </w:p>
    <w:p w:rsidRPr="001401E1" w:rsidR="00D87E44" w:rsidP="00D226F4" w:rsidRDefault="00D87E44" w14:paraId="1545855E"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855F" w14:textId="77777777">
      <w:pPr>
        <w:spacing w:line="240" w:lineRule="auto"/>
        <w:jc w:val="both"/>
        <w:rPr>
          <w:rFonts w:eastAsia="Times New Roman"/>
          <w:i/>
          <w:noProof/>
          <w:szCs w:val="24"/>
          <w:lang w:val="en-IE" w:eastAsia="en-GB"/>
        </w:rPr>
      </w:pPr>
    </w:p>
    <w:p w:rsidRPr="00FE48E2" w:rsidR="00D87E44" w:rsidP="00D226F4" w:rsidRDefault="00D87E44" w14:paraId="15458560" w14:textId="77777777">
      <w:pPr>
        <w:spacing w:line="240" w:lineRule="auto"/>
        <w:jc w:val="both"/>
        <w:rPr>
          <w:rFonts w:eastAsia="Times New Roman"/>
          <w:noProof/>
          <w:lang w:val="en-IE" w:eastAsia="cs-CZ"/>
        </w:rPr>
      </w:pPr>
      <w:r w:rsidRPr="1B282876">
        <w:rPr>
          <w:rFonts w:eastAsia="Times New Roman"/>
          <w:b/>
          <w:bCs/>
          <w:noProof/>
          <w:u w:val="single"/>
          <w:lang w:val="en-IE" w:eastAsia="cs-CZ"/>
        </w:rPr>
        <w:t>W.1. Description of the reforms and investments for non-repayable financial support</w:t>
      </w:r>
    </w:p>
    <w:p w:rsidRPr="00FE48E2" w:rsidR="00D87E44" w:rsidP="00D226F4" w:rsidRDefault="00D87E44" w14:paraId="15458561" w14:textId="77777777">
      <w:pPr>
        <w:spacing w:line="240" w:lineRule="auto"/>
        <w:jc w:val="both"/>
        <w:rPr>
          <w:rFonts w:eastAsia="Times New Roman"/>
          <w:b/>
          <w:noProof/>
          <w:szCs w:val="24"/>
          <w:lang w:val="en-IE" w:eastAsia="cs-CZ"/>
        </w:rPr>
      </w:pPr>
      <w:r w:rsidRPr="00E570D3">
        <w:rPr>
          <w:rFonts w:eastAsia="Times New Roman"/>
          <w:b/>
          <w:noProof/>
          <w:szCs w:val="24"/>
          <w:lang w:val="en-IE" w:eastAsia="cs-CZ"/>
        </w:rPr>
        <w:t>Reform 1: Protection of whistle-blowers</w:t>
      </w:r>
    </w:p>
    <w:p w:rsidRPr="00FE48E2" w:rsidR="00D87E44" w:rsidP="00D226F4" w:rsidRDefault="00D87E44" w14:paraId="15458562" w14:textId="77777777">
      <w:pPr>
        <w:spacing w:line="240" w:lineRule="auto"/>
        <w:jc w:val="both"/>
        <w:rPr>
          <w:rFonts w:eastAsia="Times New Roman"/>
          <w:noProof/>
          <w:color w:val="000000"/>
          <w:szCs w:val="24"/>
          <w:lang w:val="en-IE" w:eastAsia="cs-CZ"/>
        </w:rPr>
      </w:pPr>
      <w:r w:rsidRPr="00FE48E2">
        <w:rPr>
          <w:rFonts w:eastAsia="Times New Roman"/>
          <w:noProof/>
          <w:szCs w:val="24"/>
          <w:lang w:val="en-IE" w:eastAsia="cs-CZ"/>
        </w:rPr>
        <w:t xml:space="preserve">The measure aims at improving the legal safeguards for whistle-blowers and improving the perception of whistle-blowers within the public administration and in civil society. A new legislation </w:t>
      </w:r>
      <w:r w:rsidRPr="00FE48E2">
        <w:rPr>
          <w:rFonts w:eastAsia="Times New Roman"/>
          <w:noProof/>
          <w:color w:val="000000"/>
          <w:szCs w:val="24"/>
          <w:lang w:val="en-IE" w:eastAsia="cs-CZ"/>
        </w:rPr>
        <w:t xml:space="preserve">is foreseen to ensure effective protection of whistle-blowers against retaliation at work, establishing internal reporting channels for whistleblowing by public institutions, municipalities and large companies. An external notification system for whistleblowing shall be set up at the Ministry of Justice. In order to improve the perception of whistle-blowers, an awareness-raising campaign shall be carried out targeting both public administration and judiciary, as well as the general public. </w:t>
      </w:r>
    </w:p>
    <w:p w:rsidRPr="00FE48E2" w:rsidR="00D87E44" w:rsidP="00D226F4" w:rsidRDefault="00D87E44" w14:paraId="15458563"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reform shall be completed by 31 December 202</w:t>
      </w:r>
      <w:r>
        <w:rPr>
          <w:rFonts w:eastAsia="Times New Roman"/>
          <w:noProof/>
          <w:szCs w:val="24"/>
          <w:lang w:val="en-IE" w:eastAsia="cs-CZ"/>
        </w:rPr>
        <w:t>3</w:t>
      </w:r>
      <w:r w:rsidRPr="00FE48E2">
        <w:rPr>
          <w:rFonts w:eastAsia="Times New Roman"/>
          <w:noProof/>
          <w:szCs w:val="24"/>
          <w:lang w:val="en-IE" w:eastAsia="cs-CZ"/>
        </w:rPr>
        <w:t xml:space="preserve">. </w:t>
      </w:r>
    </w:p>
    <w:p w:rsidRPr="00FE48E2" w:rsidR="00D87E44" w:rsidP="00D226F4" w:rsidRDefault="00D87E44" w14:paraId="15458564" w14:textId="77777777">
      <w:pPr>
        <w:spacing w:line="240" w:lineRule="auto"/>
        <w:jc w:val="both"/>
        <w:rPr>
          <w:rFonts w:eastAsia="Times New Roman"/>
          <w:b/>
          <w:noProof/>
          <w:szCs w:val="24"/>
          <w:lang w:val="en-IE" w:eastAsia="cs-CZ"/>
        </w:rPr>
      </w:pPr>
      <w:r w:rsidRPr="00E570D3">
        <w:rPr>
          <w:rFonts w:eastAsia="Times New Roman"/>
          <w:b/>
          <w:noProof/>
          <w:szCs w:val="24"/>
          <w:lang w:val="en-IE" w:eastAsia="cs-CZ"/>
        </w:rPr>
        <w:t>Reform 2: Strengthening the legislative framework and transparency in the areas of courts, judges, prosecutors and bailiffs</w:t>
      </w:r>
    </w:p>
    <w:p w:rsidRPr="00FE48E2" w:rsidR="00D87E44" w:rsidP="00D226F4" w:rsidRDefault="00D87E44" w14:paraId="15458565"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aim of this reform is to </w:t>
      </w:r>
      <w:r w:rsidRPr="00FE48E2">
        <w:rPr>
          <w:rFonts w:eastAsia="Times New Roman"/>
          <w:noProof/>
          <w:szCs w:val="24"/>
          <w:lang w:val="en-IE"/>
        </w:rPr>
        <w:t xml:space="preserve">establish a transparent and uniform system of recruitment </w:t>
      </w:r>
      <w:r w:rsidRPr="00FE48E2">
        <w:rPr>
          <w:rFonts w:eastAsia="Times New Roman"/>
          <w:noProof/>
          <w:szCs w:val="24"/>
          <w:lang w:val="en-IE" w:eastAsia="cs-CZ"/>
        </w:rPr>
        <w:t xml:space="preserve">and selection of judges and judicial officeholders </w:t>
      </w:r>
      <w:r w:rsidRPr="00FE48E2">
        <w:rPr>
          <w:rFonts w:eastAsia="Times New Roman"/>
          <w:noProof/>
          <w:szCs w:val="24"/>
          <w:lang w:val="en-IE"/>
        </w:rPr>
        <w:t>based on precise, objective and uniform criteria. Furthermore, the reform aims at</w:t>
      </w:r>
      <w:r w:rsidRPr="00FE48E2">
        <w:rPr>
          <w:rFonts w:eastAsia="Times New Roman"/>
          <w:noProof/>
          <w:szCs w:val="24"/>
          <w:lang w:val="en-IE" w:eastAsia="cs-CZ"/>
        </w:rPr>
        <w:t xml:space="preserve"> regulating in more detail the ancillary activities of judges and to streamline court proceedings involving assessors. It also seeks to strengthen the safeguards of disciplinary proceedings for judges, prosecutors and bailiffs by introducing an appeal review. The reform shall be achieved by the following measures: </w:t>
      </w:r>
    </w:p>
    <w:p w:rsidRPr="00FE48E2" w:rsidR="00D87E44" w:rsidP="00D226F4" w:rsidRDefault="00D87E44" w14:paraId="15458566" w14:textId="77777777">
      <w:pPr>
        <w:numPr>
          <w:ilvl w:val="0"/>
          <w:numId w:val="74"/>
        </w:numPr>
        <w:pBdr>
          <w:top w:val="nil"/>
          <w:left w:val="nil"/>
          <w:bottom w:val="nil"/>
          <w:right w:val="nil"/>
          <w:between w:val="nil"/>
        </w:pBdr>
        <w:spacing w:line="259" w:lineRule="auto"/>
        <w:ind w:left="360"/>
        <w:jc w:val="both"/>
        <w:rPr>
          <w:rFonts w:eastAsia="Times New Roman"/>
          <w:noProof/>
          <w:color w:val="000000"/>
          <w:szCs w:val="24"/>
          <w:lang w:val="en-IE" w:eastAsia="cs-CZ"/>
        </w:rPr>
      </w:pPr>
      <w:r w:rsidRPr="00FE48E2">
        <w:rPr>
          <w:rFonts w:eastAsia="Times New Roman"/>
          <w:noProof/>
          <w:szCs w:val="24"/>
          <w:lang w:val="en-IE" w:eastAsia="cs-CZ"/>
        </w:rPr>
        <w:t>Entry into force</w:t>
      </w:r>
      <w:r w:rsidRPr="00FE48E2">
        <w:rPr>
          <w:rFonts w:eastAsia="Times New Roman"/>
          <w:noProof/>
          <w:color w:val="000000"/>
          <w:szCs w:val="24"/>
          <w:lang w:val="en-IE" w:eastAsia="cs-CZ"/>
        </w:rPr>
        <w:t>, by 31 December 2021, of the law on courts, judges, assessors and state administration of courts (Courts and Judges Act);</w:t>
      </w:r>
    </w:p>
    <w:p w:rsidR="00D87E44" w:rsidP="00D226F4" w:rsidRDefault="00D87E44" w14:paraId="15458567" w14:textId="77777777">
      <w:pPr>
        <w:numPr>
          <w:ilvl w:val="0"/>
          <w:numId w:val="74"/>
        </w:numPr>
        <w:pBdr>
          <w:top w:val="nil"/>
          <w:left w:val="nil"/>
          <w:bottom w:val="nil"/>
          <w:right w:val="nil"/>
          <w:between w:val="nil"/>
        </w:pBdr>
        <w:spacing w:line="259" w:lineRule="auto"/>
        <w:ind w:left="360"/>
        <w:jc w:val="both"/>
        <w:rPr>
          <w:rFonts w:eastAsia="Times New Roman"/>
          <w:noProof/>
          <w:color w:val="000000"/>
          <w:szCs w:val="24"/>
          <w:lang w:val="en-IE" w:eastAsia="cs-CZ"/>
        </w:rPr>
      </w:pPr>
      <w:r w:rsidRPr="00FE48E2">
        <w:rPr>
          <w:rFonts w:eastAsia="Times New Roman"/>
          <w:noProof/>
          <w:color w:val="000000"/>
          <w:szCs w:val="24"/>
          <w:lang w:val="en-IE" w:eastAsia="cs-CZ"/>
        </w:rPr>
        <w:t xml:space="preserve">Entry into force by 31 </w:t>
      </w:r>
      <w:r>
        <w:rPr>
          <w:rFonts w:eastAsia="Times New Roman"/>
          <w:noProof/>
          <w:color w:val="000000"/>
          <w:szCs w:val="24"/>
          <w:lang w:val="en-IE" w:eastAsia="cs-CZ"/>
        </w:rPr>
        <w:t>January 2025</w:t>
      </w:r>
      <w:r w:rsidRPr="00FE48E2">
        <w:rPr>
          <w:rFonts w:eastAsia="Times New Roman"/>
          <w:noProof/>
          <w:color w:val="000000"/>
          <w:szCs w:val="24"/>
          <w:lang w:val="en-IE" w:eastAsia="cs-CZ"/>
        </w:rPr>
        <w:t xml:space="preserve"> of the law on proceedings in cases of judges, prosecutors and bailiffs. </w:t>
      </w:r>
    </w:p>
    <w:p w:rsidRPr="00491A26" w:rsidR="00D87E44" w:rsidP="00D226F4" w:rsidRDefault="00D87E44" w14:paraId="15458568" w14:textId="77777777">
      <w:pPr>
        <w:tabs>
          <w:tab w:val="left" w:pos="6345"/>
        </w:tabs>
        <w:rPr>
          <w:rFonts w:eastAsia="Times New Roman"/>
          <w:noProof/>
          <w:szCs w:val="24"/>
          <w:lang w:val="en-IE" w:eastAsia="cs-CZ"/>
        </w:rPr>
      </w:pPr>
      <w:r>
        <w:rPr>
          <w:rFonts w:eastAsia="Times New Roman"/>
          <w:noProof/>
          <w:szCs w:val="24"/>
          <w:lang w:val="en-IE" w:eastAsia="cs-CZ"/>
        </w:rPr>
        <w:tab/>
      </w:r>
    </w:p>
    <w:p w:rsidR="00D87E44" w:rsidRDefault="00D87E44" w14:paraId="15458569" w14:textId="77777777">
      <w:pPr>
        <w:spacing w:before="0" w:after="160" w:line="259" w:lineRule="auto"/>
        <w:rPr>
          <w:rFonts w:eastAsia="Times New Roman"/>
          <w:b/>
          <w:noProof/>
          <w:szCs w:val="24"/>
          <w:lang w:val="en-IE" w:eastAsia="cs-CZ"/>
        </w:rPr>
      </w:pPr>
      <w:r>
        <w:rPr>
          <w:rFonts w:eastAsia="Times New Roman"/>
          <w:b/>
          <w:noProof/>
          <w:szCs w:val="24"/>
          <w:lang w:val="en-IE" w:eastAsia="cs-CZ"/>
        </w:rPr>
        <w:lastRenderedPageBreak/>
        <w:br w:type="page"/>
      </w:r>
    </w:p>
    <w:p w:rsidRPr="00FE48E2" w:rsidR="00D87E44" w:rsidP="00D226F4" w:rsidRDefault="00D87E44" w14:paraId="1545856A" w14:textId="77777777">
      <w:pPr>
        <w:keepNext/>
        <w:spacing w:line="240" w:lineRule="auto"/>
        <w:jc w:val="both"/>
        <w:rPr>
          <w:rFonts w:eastAsia="Times New Roman"/>
          <w:b/>
          <w:noProof/>
          <w:szCs w:val="24"/>
          <w:lang w:val="en-IE" w:eastAsia="cs-CZ"/>
        </w:rPr>
      </w:pPr>
      <w:r w:rsidRPr="00E570D3">
        <w:rPr>
          <w:rFonts w:eastAsia="Times New Roman"/>
          <w:b/>
          <w:noProof/>
          <w:szCs w:val="24"/>
          <w:lang w:val="en-IE" w:eastAsia="cs-CZ"/>
        </w:rPr>
        <w:lastRenderedPageBreak/>
        <w:t>Reform 3: Collection and analysis of data on corruption</w:t>
      </w:r>
      <w:r w:rsidRPr="00FE48E2">
        <w:rPr>
          <w:rFonts w:eastAsia="Times New Roman"/>
          <w:b/>
          <w:noProof/>
          <w:szCs w:val="24"/>
          <w:lang w:val="en-IE" w:eastAsia="cs-CZ"/>
        </w:rPr>
        <w:t xml:space="preserve"> </w:t>
      </w:r>
    </w:p>
    <w:p w:rsidRPr="00FE48E2" w:rsidR="00D87E44" w:rsidP="00D226F4" w:rsidRDefault="00D87E44" w14:paraId="1545856B"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reform aims at obtaining quantitative and qualitative data on the </w:t>
      </w:r>
      <w:r w:rsidRPr="00FE48E2">
        <w:rPr>
          <w:rFonts w:eastAsia="Times New Roman"/>
          <w:noProof/>
          <w:szCs w:val="24"/>
          <w:lang w:val="en-IE" w:eastAsia="cs-CZ"/>
        </w:rPr>
        <w:t>prevalence of corruption and broadening the range of tools to map and analyse the predominant types of corruption in different sectors. This shall be achieved by a research project, which shall identify the extent and forms of corruption in selected sectors in the Czech Republic. The analysis shall result in recommendations of measures to reduce corruption in the selected sectors and is expected to feed into the future anti-corruption strategies of the government. The final research report shall propose a m</w:t>
      </w:r>
      <w:r w:rsidRPr="00FE48E2">
        <w:rPr>
          <w:rFonts w:eastAsia="Times New Roman"/>
          <w:noProof/>
          <w:szCs w:val="24"/>
          <w:lang w:val="en-IE" w:eastAsia="cs-CZ"/>
        </w:rPr>
        <w:t xml:space="preserve">ethodology for the measurement of direct and indirect experience of corruption. The methodology shall be made available to government authorities, non-profit organisations and academic communities for further development and application. </w:t>
      </w:r>
    </w:p>
    <w:p w:rsidRPr="00FE48E2" w:rsidR="00D87E44" w:rsidP="00D226F4" w:rsidRDefault="00D87E44" w14:paraId="1545856C" w14:textId="77777777">
      <w:pPr>
        <w:spacing w:line="240" w:lineRule="auto"/>
        <w:jc w:val="both"/>
        <w:rPr>
          <w:rFonts w:eastAsia="Times New Roman"/>
          <w:noProof/>
          <w:lang w:val="en-IE" w:eastAsia="cs-CZ"/>
        </w:rPr>
      </w:pPr>
      <w:r w:rsidRPr="12191D7C">
        <w:rPr>
          <w:rFonts w:eastAsia="Times New Roman"/>
          <w:noProof/>
          <w:lang w:val="en-IE" w:eastAsia="cs-CZ"/>
        </w:rPr>
        <w:t xml:space="preserve">The reform shall be completed by 31 </w:t>
      </w:r>
      <w:r>
        <w:rPr>
          <w:rFonts w:eastAsia="Times New Roman"/>
          <w:noProof/>
          <w:lang w:val="en-IE" w:eastAsia="cs-CZ"/>
        </w:rPr>
        <w:t xml:space="preserve">December </w:t>
      </w:r>
      <w:r w:rsidRPr="12191D7C">
        <w:rPr>
          <w:rFonts w:eastAsia="Times New Roman"/>
          <w:noProof/>
          <w:lang w:val="en-IE" w:eastAsia="cs-CZ"/>
        </w:rPr>
        <w:t>2023.</w:t>
      </w:r>
    </w:p>
    <w:p w:rsidRPr="00FE48E2" w:rsidR="00D87E44" w:rsidP="00D226F4" w:rsidRDefault="00D87E44" w14:paraId="1545856D" w14:textId="77777777">
      <w:pPr>
        <w:spacing w:line="240" w:lineRule="auto"/>
        <w:jc w:val="both"/>
        <w:rPr>
          <w:rFonts w:eastAsia="Times New Roman"/>
          <w:b/>
          <w:noProof/>
          <w:szCs w:val="24"/>
          <w:lang w:val="en-IE" w:eastAsia="cs-CZ"/>
        </w:rPr>
      </w:pPr>
      <w:r w:rsidRPr="00E570D3">
        <w:rPr>
          <w:rFonts w:eastAsia="Times New Roman"/>
          <w:b/>
          <w:noProof/>
          <w:szCs w:val="24"/>
          <w:lang w:val="en-IE" w:eastAsia="cs-CZ"/>
        </w:rPr>
        <w:t>Reform 4: Establishing rules for lobbying</w:t>
      </w:r>
    </w:p>
    <w:p w:rsidRPr="00FE48E2" w:rsidR="00D87E44" w:rsidP="00D226F4" w:rsidRDefault="00D87E44" w14:paraId="1545856E"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Lobbying is currently not regulated in Czechia. The aim of this reform is to establish a legal framework for lobbying activities in the legislative process, to enable public scrutiny of lobbying and thereby to increase transparency of the entire legislative process. A new law on lobbying shall be adopted, which shall lay down rules for lobbying activities in order to distinguish between legitimate lobbying activities and undesirable, non-transparent lobbying.</w:t>
      </w:r>
    </w:p>
    <w:p w:rsidRPr="00FE48E2" w:rsidR="00D87E44" w:rsidP="00D226F4" w:rsidRDefault="00D87E44" w14:paraId="1545856F"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reform shall be completed by 3</w:t>
      </w:r>
      <w:r w:rsidRPr="0A4DE686">
        <w:rPr>
          <w:rFonts w:eastAsia="Times New Roman"/>
          <w:noProof/>
          <w:lang w:val="en-IE" w:eastAsia="cs-CZ"/>
        </w:rPr>
        <w:t>1</w:t>
      </w:r>
      <w:r w:rsidRPr="00FE48E2">
        <w:rPr>
          <w:rFonts w:eastAsia="Times New Roman"/>
          <w:noProof/>
          <w:szCs w:val="24"/>
          <w:lang w:val="en-IE" w:eastAsia="cs-CZ"/>
        </w:rPr>
        <w:t xml:space="preserve"> </w:t>
      </w:r>
      <w:r w:rsidRPr="0A4DE686">
        <w:rPr>
          <w:rFonts w:eastAsia="Times New Roman"/>
          <w:noProof/>
          <w:lang w:val="en-IE" w:eastAsia="cs-CZ"/>
        </w:rPr>
        <w:t>December</w:t>
      </w:r>
      <w:r w:rsidRPr="00FE48E2">
        <w:rPr>
          <w:rFonts w:eastAsia="Times New Roman"/>
          <w:noProof/>
          <w:szCs w:val="24"/>
          <w:lang w:val="en-IE" w:eastAsia="cs-CZ"/>
        </w:rPr>
        <w:t xml:space="preserve"> 202</w:t>
      </w:r>
      <w:r w:rsidRPr="0A4DE686">
        <w:rPr>
          <w:rFonts w:eastAsia="Times New Roman"/>
          <w:noProof/>
          <w:lang w:val="en-IE" w:eastAsia="cs-CZ"/>
        </w:rPr>
        <w:t>4</w:t>
      </w:r>
      <w:r w:rsidRPr="00FE48E2">
        <w:rPr>
          <w:rFonts w:eastAsia="Times New Roman"/>
          <w:noProof/>
          <w:szCs w:val="24"/>
          <w:lang w:val="en-IE" w:eastAsia="cs-CZ"/>
        </w:rPr>
        <w:t>.</w:t>
      </w:r>
    </w:p>
    <w:p w:rsidRPr="00FE48E2" w:rsidR="00D87E44" w:rsidP="00D226F4" w:rsidRDefault="00D87E44" w14:paraId="15458570" w14:textId="77777777">
      <w:pPr>
        <w:spacing w:line="240" w:lineRule="auto"/>
        <w:jc w:val="both"/>
        <w:rPr>
          <w:rFonts w:eastAsia="Times New Roman"/>
          <w:b/>
          <w:noProof/>
          <w:szCs w:val="24"/>
          <w:lang w:val="en-IE" w:eastAsia="cs-CZ"/>
        </w:rPr>
      </w:pPr>
      <w:r w:rsidRPr="00E570D3">
        <w:rPr>
          <w:rFonts w:eastAsia="Times New Roman"/>
          <w:b/>
          <w:noProof/>
          <w:szCs w:val="24"/>
          <w:lang w:val="en-IE" w:eastAsia="cs-CZ"/>
        </w:rPr>
        <w:t>Reform 5: Control and audit</w:t>
      </w:r>
    </w:p>
    <w:p w:rsidRPr="00FE48E2" w:rsidR="00D87E44" w:rsidP="00D226F4" w:rsidRDefault="00D87E44" w14:paraId="15458571" w14:textId="77777777">
      <w:pPr>
        <w:spacing w:line="240" w:lineRule="auto"/>
        <w:jc w:val="both"/>
        <w:rPr>
          <w:noProof/>
          <w:szCs w:val="24"/>
          <w:lang w:val="en-IE" w:eastAsia="cs-CZ"/>
        </w:rPr>
      </w:pPr>
      <w:r w:rsidRPr="00FE48E2">
        <w:rPr>
          <w:noProof/>
          <w:szCs w:val="24"/>
          <w:lang w:val="en-IE" w:eastAsia="cs-CZ"/>
        </w:rPr>
        <w:t xml:space="preserve">The efficient protection of the financial interests of the Union when implementing the Recovery and Resilience Facility is subject to the establishment of appropriate measures to prevent, detect and correct fraud, corruption and conflict of interests as defined in Article 61 of the Financial Regulation. Therefore, the improvement of the control and audit environment is a pre-requisite for the efficient implementation of the plan in compliance with the applicable Union and national law. This reform includes </w:t>
      </w:r>
      <w:r w:rsidRPr="00FE48E2">
        <w:rPr>
          <w:noProof/>
          <w:szCs w:val="24"/>
          <w:lang w:val="en-IE" w:eastAsia="cs-CZ"/>
        </w:rPr>
        <w:t xml:space="preserve">several measures to protect the financial interests of the Union, in particular (i) improvements of the national control system to prevent, detect and correct situations of the conflict of interests, (ii) </w:t>
      </w:r>
      <w:r w:rsidRPr="00FE48E2">
        <w:rPr>
          <w:noProof/>
          <w:szCs w:val="24"/>
          <w:lang w:val="en-IE"/>
        </w:rPr>
        <w:t>a compliance review of the national procedures to ensure that the application of beneficial ownership in the context of the Facility’s internal control system is fully aligned with the definition of ‘beneficial owners’ as defined in Article 3, point 6 of Directive 2015/849, as amended by Directive 2018/843</w:t>
      </w:r>
      <w:r w:rsidRPr="00FE48E2">
        <w:rPr>
          <w:noProof/>
          <w:szCs w:val="24"/>
          <w:lang w:val="en-IE"/>
        </w:rPr>
        <w:t xml:space="preserve">, (iii) </w:t>
      </w:r>
      <w:r w:rsidRPr="00FE48E2">
        <w:rPr>
          <w:noProof/>
          <w:szCs w:val="24"/>
          <w:lang w:val="en-IE" w:eastAsia="cs-CZ"/>
        </w:rPr>
        <w:t>adoption of an audit strategy ensuring the independent and effective audit of the RRF implementation, (iv) approval of the procedures for the system to collect, store and process data in relation to all final recipients, including all beneficial owners as established by Article 3 of the Directive (EU) 2015/849, and (v) a repository system for monitoring the implementation of the RRF and for collection and storage of all the data referred to in Article 22(2)(d) of the Regulation (EU) 2021/241.</w:t>
      </w:r>
    </w:p>
    <w:p w:rsidRPr="00FE48E2" w:rsidR="00D87E44" w:rsidP="00D226F4" w:rsidRDefault="00D87E44" w14:paraId="15458572" w14:textId="77777777">
      <w:pPr>
        <w:spacing w:line="240" w:lineRule="auto"/>
        <w:jc w:val="both"/>
        <w:rPr>
          <w:rFonts w:eastAsia="Times New Roman"/>
          <w:b/>
          <w:noProof/>
          <w:szCs w:val="24"/>
          <w:lang w:val="en-IE" w:eastAsia="cs-CZ"/>
        </w:rPr>
      </w:pPr>
      <w:r w:rsidRPr="00FE48E2">
        <w:rPr>
          <w:noProof/>
          <w:szCs w:val="24"/>
          <w:lang w:val="en-IE" w:eastAsia="cs-CZ"/>
        </w:rPr>
        <w:t>The reform shall be completed by 30 June 2022. All these milestones shall be fulfilled before the first payment request is submitted to the Commission.</w:t>
      </w:r>
    </w:p>
    <w:p w:rsidRPr="00FE48E2" w:rsidR="00D87E44" w:rsidP="00D226F4" w:rsidRDefault="00D87E44" w14:paraId="15458573" w14:textId="77777777">
      <w:pPr>
        <w:spacing w:line="240" w:lineRule="auto"/>
        <w:jc w:val="both"/>
        <w:rPr>
          <w:rFonts w:eastAsia="Times New Roman"/>
          <w:noProof/>
          <w:sz w:val="22"/>
          <w:lang w:val="en-IE" w:eastAsia="cs-CZ"/>
        </w:rPr>
      </w:pPr>
    </w:p>
    <w:p w:rsidRPr="00FE48E2" w:rsidR="00D87E44" w:rsidP="00D226F4" w:rsidRDefault="00D87E44" w14:paraId="15458574" w14:textId="77777777">
      <w:pPr>
        <w:spacing w:line="240" w:lineRule="auto"/>
        <w:jc w:val="both"/>
        <w:rPr>
          <w:rFonts w:eastAsia="Times New Roman"/>
          <w:b/>
          <w:noProof/>
          <w:sz w:val="22"/>
          <w:highlight w:val="yellow"/>
          <w:lang w:val="en-IE" w:eastAsia="cs-CZ"/>
        </w:rPr>
        <w:sectPr w:rsidRPr="00FE48E2" w:rsidR="00C16C1F" w:rsidSect="00D226F4">
          <w:headerReference w:type="even" r:id="R9839fba0ebd946f5"/>
          <w:headerReference w:type="default" r:id="R99a922adf8434f40"/>
          <w:footerReference w:type="even" r:id="Ref19ab176531463b"/>
          <w:footerReference w:type="default" r:id="R7f309ee79a754acb"/>
          <w:headerReference w:type="first" r:id="Re078a95ed6b14ce9"/>
          <w:footerReference w:type="first" r:id="Rc6ed84495ebe4ca2"/>
          <w:pgSz w:w="11907" w:h="16839"/>
          <w:pgMar w:top="1134" w:right="1134" w:bottom="1134" w:left="1134" w:header="567" w:footer="567" w:gutter="0"/>
          <w:cols w:space="708"/>
          <w:docGrid w:linePitch="326"/>
        </w:sectPr>
      </w:pPr>
    </w:p>
    <w:p w:rsidRPr="00FE48E2" w:rsidR="00D87E44" w:rsidP="00D226F4" w:rsidRDefault="00D87E44" w14:paraId="15458575" w14:textId="77777777">
      <w:pPr>
        <w:pBdr>
          <w:top w:val="nil"/>
          <w:left w:val="nil"/>
          <w:bottom w:val="nil"/>
          <w:right w:val="nil"/>
          <w:between w:val="nil"/>
        </w:pBdr>
        <w:tabs>
          <w:tab w:val="left" w:pos="993"/>
        </w:tabs>
        <w:spacing w:line="240" w:lineRule="auto"/>
        <w:jc w:val="both"/>
        <w:rPr>
          <w:rFonts w:eastAsia="Times New Roman"/>
          <w:b/>
          <w:bCs/>
          <w:noProof/>
          <w:color w:val="000000"/>
          <w:u w:val="single"/>
          <w:lang w:val="en-IE" w:eastAsia="cs-CZ"/>
        </w:rPr>
      </w:pPr>
      <w:r w:rsidRPr="1B282876">
        <w:rPr>
          <w:rFonts w:eastAsia="Times New Roman"/>
          <w:b/>
          <w:bCs/>
          <w:noProof/>
          <w:color w:val="000000" w:themeColor="text1"/>
          <w:u w:val="single"/>
          <w:lang w:val="en-IE" w:eastAsia="cs-CZ"/>
        </w:rPr>
        <w:lastRenderedPageBreak/>
        <w:t xml:space="preserve">W.2. Milestones, targets, indicators, and timetable for monitoring and implementation for non-repayable financial support </w:t>
      </w:r>
    </w:p>
    <w:tbl>
      <w:tblPr>
        <w:tblW w:w="16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10"/>
        <w:gridCol w:w="1270"/>
        <w:gridCol w:w="992"/>
        <w:gridCol w:w="1851"/>
        <w:gridCol w:w="1559"/>
        <w:gridCol w:w="1077"/>
        <w:gridCol w:w="1077"/>
        <w:gridCol w:w="1077"/>
        <w:gridCol w:w="851"/>
        <w:gridCol w:w="891"/>
        <w:gridCol w:w="4745"/>
      </w:tblGrid>
      <w:tr w:rsidRPr="00FE48E2" w:rsidR="00E3458A" w:rsidTr="001A4D46" w14:paraId="1545857E" w14:textId="77777777">
        <w:trPr>
          <w:trHeight w:val="107"/>
          <w:tblHeader/>
          <w:jc w:val="center"/>
        </w:trPr>
        <w:tc>
          <w:tcPr>
            <w:tcW w:w="710" w:type="dxa"/>
            <w:vMerge w:val="restart"/>
            <w:shd w:val="clear" w:color="auto" w:fill="BDD7EE"/>
            <w:vAlign w:val="center"/>
          </w:tcPr>
          <w:p w:rsidRPr="00FE48E2" w:rsidR="00D87E44" w:rsidRDefault="00D87E44" w14:paraId="15458576" w14:textId="77777777">
            <w:pPr>
              <w:spacing w:line="240" w:lineRule="auto"/>
              <w:jc w:val="center"/>
              <w:rPr>
                <w:noProof/>
                <w:sz w:val="18"/>
                <w:szCs w:val="18"/>
                <w:lang w:val="en-IE"/>
              </w:rPr>
            </w:pPr>
            <w:r w:rsidRPr="00FE48E2">
              <w:rPr>
                <w:b/>
                <w:noProof/>
                <w:sz w:val="18"/>
                <w:szCs w:val="18"/>
                <w:lang w:val="en-IE"/>
              </w:rPr>
              <w:t>Seq. Num.</w:t>
            </w:r>
          </w:p>
        </w:tc>
        <w:tc>
          <w:tcPr>
            <w:tcW w:w="1270" w:type="dxa"/>
            <w:vMerge w:val="restart"/>
            <w:shd w:val="clear" w:color="auto" w:fill="BDD7EE"/>
            <w:vAlign w:val="center"/>
          </w:tcPr>
          <w:p w:rsidRPr="00FE48E2" w:rsidR="00D87E44" w:rsidRDefault="00D87E44" w14:paraId="15458577"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992" w:type="dxa"/>
            <w:vMerge w:val="restart"/>
            <w:shd w:val="clear" w:color="auto" w:fill="BDD7EE"/>
            <w:vAlign w:val="center"/>
          </w:tcPr>
          <w:p w:rsidRPr="00FE48E2" w:rsidR="00D87E44" w:rsidRDefault="00D87E44" w14:paraId="15458578"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851" w:type="dxa"/>
            <w:vMerge w:val="restart"/>
            <w:shd w:val="clear" w:color="auto" w:fill="BDD7EE"/>
            <w:vAlign w:val="center"/>
          </w:tcPr>
          <w:p w:rsidRPr="00FE48E2" w:rsidR="00D87E44" w:rsidRDefault="00D87E44" w14:paraId="15458579"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559" w:type="dxa"/>
            <w:vMerge w:val="restart"/>
            <w:shd w:val="clear" w:color="auto" w:fill="BDD7EE"/>
            <w:vAlign w:val="center"/>
          </w:tcPr>
          <w:p w:rsidRPr="00FE48E2" w:rsidR="00D87E44" w:rsidRDefault="00D87E44" w14:paraId="1545857A"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3231" w:type="dxa"/>
            <w:gridSpan w:val="3"/>
            <w:shd w:val="clear" w:color="auto" w:fill="BDD7EE"/>
            <w:vAlign w:val="center"/>
          </w:tcPr>
          <w:p w:rsidRPr="00FE48E2" w:rsidR="00D87E44" w:rsidRDefault="00D87E44" w14:paraId="1545857B"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742" w:type="dxa"/>
            <w:gridSpan w:val="2"/>
            <w:shd w:val="clear" w:color="auto" w:fill="BDD7EE"/>
            <w:vAlign w:val="center"/>
          </w:tcPr>
          <w:p w:rsidRPr="00FE48E2" w:rsidR="00D87E44" w:rsidRDefault="00D87E44" w14:paraId="1545857C"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745" w:type="dxa"/>
            <w:vMerge w:val="restart"/>
            <w:shd w:val="clear" w:color="auto" w:fill="BDD7EE"/>
            <w:vAlign w:val="center"/>
          </w:tcPr>
          <w:p w:rsidRPr="00FE48E2" w:rsidR="00D87E44" w:rsidRDefault="00D87E44" w14:paraId="1545857D"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001A4D46" w14:paraId="1545858A" w14:textId="77777777">
        <w:trPr>
          <w:trHeight w:val="173"/>
          <w:tblHeader/>
          <w:jc w:val="center"/>
        </w:trPr>
        <w:tc>
          <w:tcPr>
            <w:tcW w:w="710" w:type="dxa"/>
            <w:vMerge/>
            <w:vAlign w:val="center"/>
          </w:tcPr>
          <w:p w:rsidRPr="00FE48E2" w:rsidR="00D87E44" w:rsidRDefault="00D87E44" w14:paraId="1545857F" w14:textId="77777777">
            <w:pPr>
              <w:spacing w:line="240" w:lineRule="auto"/>
              <w:jc w:val="center"/>
              <w:rPr>
                <w:noProof/>
                <w:sz w:val="18"/>
                <w:szCs w:val="18"/>
                <w:lang w:val="en-IE"/>
              </w:rPr>
            </w:pPr>
          </w:p>
        </w:tc>
        <w:tc>
          <w:tcPr>
            <w:tcW w:w="1270" w:type="dxa"/>
            <w:vMerge/>
            <w:vAlign w:val="center"/>
          </w:tcPr>
          <w:p w:rsidRPr="00FE48E2" w:rsidR="00D87E44" w:rsidRDefault="00D87E44" w14:paraId="15458580" w14:textId="77777777">
            <w:pPr>
              <w:spacing w:line="240" w:lineRule="auto"/>
              <w:jc w:val="center"/>
              <w:rPr>
                <w:noProof/>
                <w:sz w:val="18"/>
                <w:szCs w:val="18"/>
                <w:lang w:val="en-IE"/>
              </w:rPr>
            </w:pPr>
          </w:p>
        </w:tc>
        <w:tc>
          <w:tcPr>
            <w:tcW w:w="992" w:type="dxa"/>
            <w:vMerge/>
            <w:vAlign w:val="center"/>
          </w:tcPr>
          <w:p w:rsidRPr="00FE48E2" w:rsidR="00D87E44" w:rsidRDefault="00D87E44" w14:paraId="15458581" w14:textId="77777777">
            <w:pPr>
              <w:spacing w:line="240" w:lineRule="auto"/>
              <w:jc w:val="center"/>
              <w:rPr>
                <w:noProof/>
                <w:sz w:val="18"/>
                <w:szCs w:val="18"/>
                <w:lang w:val="en-IE"/>
              </w:rPr>
            </w:pPr>
          </w:p>
        </w:tc>
        <w:tc>
          <w:tcPr>
            <w:tcW w:w="1851" w:type="dxa"/>
            <w:vMerge/>
            <w:vAlign w:val="center"/>
          </w:tcPr>
          <w:p w:rsidRPr="00FE48E2" w:rsidR="00D87E44" w:rsidRDefault="00D87E44" w14:paraId="15458582" w14:textId="77777777">
            <w:pPr>
              <w:spacing w:line="240" w:lineRule="auto"/>
              <w:jc w:val="center"/>
              <w:rPr>
                <w:noProof/>
                <w:sz w:val="18"/>
                <w:szCs w:val="18"/>
                <w:lang w:val="en-IE"/>
              </w:rPr>
            </w:pPr>
          </w:p>
        </w:tc>
        <w:tc>
          <w:tcPr>
            <w:tcW w:w="1559" w:type="dxa"/>
            <w:vMerge/>
            <w:vAlign w:val="center"/>
          </w:tcPr>
          <w:p w:rsidRPr="00FE48E2" w:rsidR="00D87E44" w:rsidRDefault="00D87E44" w14:paraId="15458583" w14:textId="77777777">
            <w:pPr>
              <w:spacing w:line="240" w:lineRule="auto"/>
              <w:jc w:val="center"/>
              <w:rPr>
                <w:noProof/>
                <w:sz w:val="18"/>
                <w:szCs w:val="18"/>
                <w:lang w:val="en-IE"/>
              </w:rPr>
            </w:pPr>
          </w:p>
        </w:tc>
        <w:tc>
          <w:tcPr>
            <w:tcW w:w="1077" w:type="dxa"/>
            <w:shd w:val="clear" w:color="auto" w:fill="BDD7EE"/>
            <w:vAlign w:val="center"/>
          </w:tcPr>
          <w:p w:rsidRPr="00C86F28" w:rsidR="00D87E44" w:rsidRDefault="00D87E44" w14:paraId="15458584" w14:textId="77777777">
            <w:pPr>
              <w:spacing w:line="240" w:lineRule="auto"/>
              <w:jc w:val="center"/>
              <w:rPr>
                <w:noProof/>
                <w:sz w:val="18"/>
                <w:szCs w:val="18"/>
                <w:lang w:val="en-IE"/>
              </w:rPr>
            </w:pPr>
            <w:r w:rsidRPr="00C86F28">
              <w:rPr>
                <w:rFonts w:eastAsia="Times New Roman"/>
                <w:b/>
                <w:noProof/>
                <w:sz w:val="18"/>
                <w:szCs w:val="18"/>
                <w:lang w:val="en-IE"/>
              </w:rPr>
              <w:t>Unit of measure</w:t>
            </w:r>
          </w:p>
        </w:tc>
        <w:tc>
          <w:tcPr>
            <w:tcW w:w="1077" w:type="dxa"/>
            <w:shd w:val="clear" w:color="auto" w:fill="BDD7EE"/>
            <w:vAlign w:val="center"/>
          </w:tcPr>
          <w:p w:rsidRPr="00C86F28" w:rsidR="00D87E44" w:rsidRDefault="00D87E44" w14:paraId="15458585" w14:textId="77777777">
            <w:pPr>
              <w:spacing w:line="240" w:lineRule="auto"/>
              <w:jc w:val="center"/>
              <w:rPr>
                <w:noProof/>
                <w:sz w:val="18"/>
                <w:szCs w:val="18"/>
                <w:lang w:val="en-IE"/>
              </w:rPr>
            </w:pPr>
            <w:r w:rsidRPr="00C86F28">
              <w:rPr>
                <w:rFonts w:eastAsia="Times New Roman"/>
                <w:b/>
                <w:noProof/>
                <w:sz w:val="18"/>
                <w:szCs w:val="18"/>
                <w:lang w:val="en-IE"/>
              </w:rPr>
              <w:t>Baseline</w:t>
            </w:r>
          </w:p>
        </w:tc>
        <w:tc>
          <w:tcPr>
            <w:tcW w:w="1077" w:type="dxa"/>
            <w:shd w:val="clear" w:color="auto" w:fill="BDD7EE"/>
            <w:vAlign w:val="center"/>
          </w:tcPr>
          <w:p w:rsidRPr="00C86F28" w:rsidR="00D87E44" w:rsidRDefault="00D87E44" w14:paraId="15458586" w14:textId="77777777">
            <w:pPr>
              <w:spacing w:line="240" w:lineRule="auto"/>
              <w:jc w:val="center"/>
              <w:rPr>
                <w:noProof/>
                <w:sz w:val="18"/>
                <w:szCs w:val="18"/>
                <w:lang w:val="en-IE"/>
              </w:rPr>
            </w:pPr>
            <w:r w:rsidRPr="00C86F28">
              <w:rPr>
                <w:rFonts w:eastAsia="Times New Roman"/>
                <w:b/>
                <w:noProof/>
                <w:sz w:val="18"/>
                <w:szCs w:val="18"/>
                <w:lang w:val="en-IE"/>
              </w:rPr>
              <w:t>Goal</w:t>
            </w:r>
          </w:p>
        </w:tc>
        <w:tc>
          <w:tcPr>
            <w:tcW w:w="851" w:type="dxa"/>
            <w:shd w:val="clear" w:color="auto" w:fill="BDD7EE"/>
            <w:vAlign w:val="center"/>
          </w:tcPr>
          <w:p w:rsidRPr="00C86F28" w:rsidR="00D87E44" w:rsidRDefault="00D87E44" w14:paraId="15458587" w14:textId="77777777">
            <w:pPr>
              <w:spacing w:line="240" w:lineRule="auto"/>
              <w:jc w:val="center"/>
              <w:rPr>
                <w:noProof/>
                <w:sz w:val="18"/>
                <w:szCs w:val="18"/>
                <w:lang w:val="en-IE"/>
              </w:rPr>
            </w:pPr>
            <w:r w:rsidRPr="00C86F28">
              <w:rPr>
                <w:rFonts w:eastAsia="Times New Roman"/>
                <w:b/>
                <w:noProof/>
                <w:sz w:val="18"/>
                <w:szCs w:val="18"/>
                <w:lang w:val="en-IE"/>
              </w:rPr>
              <w:t>Quarter</w:t>
            </w:r>
          </w:p>
        </w:tc>
        <w:tc>
          <w:tcPr>
            <w:tcW w:w="891" w:type="dxa"/>
            <w:shd w:val="clear" w:color="auto" w:fill="BDD7EE"/>
            <w:vAlign w:val="center"/>
          </w:tcPr>
          <w:p w:rsidRPr="00C86F28" w:rsidR="00D87E44" w:rsidRDefault="00D87E44" w14:paraId="15458588" w14:textId="77777777">
            <w:pPr>
              <w:spacing w:line="240" w:lineRule="auto"/>
              <w:jc w:val="center"/>
              <w:rPr>
                <w:noProof/>
                <w:sz w:val="18"/>
                <w:szCs w:val="18"/>
                <w:lang w:val="en-IE"/>
              </w:rPr>
            </w:pPr>
            <w:r w:rsidRPr="00C86F28">
              <w:rPr>
                <w:rFonts w:eastAsia="Times New Roman"/>
                <w:b/>
                <w:noProof/>
                <w:sz w:val="18"/>
                <w:szCs w:val="18"/>
                <w:lang w:val="en-IE"/>
              </w:rPr>
              <w:t>Year</w:t>
            </w:r>
          </w:p>
        </w:tc>
        <w:tc>
          <w:tcPr>
            <w:tcW w:w="4745" w:type="dxa"/>
            <w:vMerge/>
            <w:vAlign w:val="center"/>
          </w:tcPr>
          <w:p w:rsidRPr="00FE48E2" w:rsidR="00D87E44" w:rsidRDefault="00D87E44" w14:paraId="15458589" w14:textId="77777777">
            <w:pPr>
              <w:spacing w:line="240" w:lineRule="auto"/>
              <w:jc w:val="center"/>
              <w:rPr>
                <w:noProof/>
                <w:sz w:val="18"/>
                <w:szCs w:val="18"/>
                <w:lang w:val="en-IE"/>
              </w:rPr>
            </w:pPr>
          </w:p>
        </w:tc>
      </w:tr>
      <w:tr w:rsidRPr="00FE48E2" w:rsidR="00E3458A" w:rsidTr="001A4D46" w14:paraId="15458599" w14:textId="77777777">
        <w:trPr>
          <w:trHeight w:val="2470"/>
          <w:jc w:val="center"/>
        </w:trPr>
        <w:tc>
          <w:tcPr>
            <w:tcW w:w="710" w:type="dxa"/>
            <w:shd w:val="clear" w:color="auto" w:fill="C6EFCE"/>
          </w:tcPr>
          <w:p w:rsidRPr="00EF5287" w:rsidR="00D87E44" w:rsidRDefault="00D87E44" w14:paraId="1545858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w:t>
            </w:r>
          </w:p>
        </w:tc>
        <w:tc>
          <w:tcPr>
            <w:tcW w:w="1270" w:type="dxa"/>
            <w:shd w:val="clear" w:color="auto" w:fill="C6EFCE"/>
          </w:tcPr>
          <w:p w:rsidRPr="00EF5287" w:rsidR="00D87E44" w:rsidRDefault="00D87E44" w14:paraId="1545858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Reform 1: Protection of whistle-blowers </w:t>
            </w:r>
          </w:p>
        </w:tc>
        <w:tc>
          <w:tcPr>
            <w:tcW w:w="992" w:type="dxa"/>
            <w:shd w:val="clear" w:color="auto" w:fill="C6EFCE"/>
          </w:tcPr>
          <w:p w:rsidRPr="00EF5287" w:rsidR="00D87E44" w:rsidRDefault="00D87E44" w14:paraId="1545858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8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Entry into force of the law on the protection of whistle-blowers and the accompanying amending law</w:t>
            </w:r>
          </w:p>
        </w:tc>
        <w:tc>
          <w:tcPr>
            <w:tcW w:w="1559" w:type="dxa"/>
            <w:shd w:val="clear" w:color="auto" w:fill="C6EFCE"/>
          </w:tcPr>
          <w:p w:rsidRPr="00EF5287" w:rsidR="00D87E44" w:rsidRDefault="00D87E44" w14:paraId="1545858F"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Provision in the law on the protection of whistle-blowers indicating the entry into force </w:t>
            </w:r>
          </w:p>
        </w:tc>
        <w:tc>
          <w:tcPr>
            <w:tcW w:w="1077" w:type="dxa"/>
            <w:shd w:val="clear" w:color="auto" w:fill="C6EFCE"/>
          </w:tcPr>
          <w:p w:rsidRPr="00EF5287" w:rsidR="00D87E44" w:rsidRDefault="00D87E44" w14:paraId="15458590"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91"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92"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9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94"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2023</w:t>
            </w:r>
          </w:p>
        </w:tc>
        <w:tc>
          <w:tcPr>
            <w:tcW w:w="4745" w:type="dxa"/>
            <w:shd w:val="clear" w:color="auto" w:fill="C6EFCE"/>
          </w:tcPr>
          <w:p w:rsidRPr="00FE48E2" w:rsidR="00D87E44" w:rsidRDefault="00D87E44" w14:paraId="15458595" w14:textId="77777777">
            <w:pPr>
              <w:pBdr>
                <w:top w:val="nil"/>
                <w:left w:val="nil"/>
                <w:bottom w:val="nil"/>
                <w:right w:val="nil"/>
                <w:between w:val="nil"/>
              </w:pBdr>
              <w:spacing w:before="0" w:after="0" w:line="240" w:lineRule="auto"/>
              <w:rPr>
                <w:noProof/>
                <w:color w:val="004300"/>
                <w:sz w:val="18"/>
                <w:szCs w:val="18"/>
                <w:lang w:val="en-IE" w:eastAsia="cs-CZ"/>
              </w:rPr>
            </w:pPr>
            <w:r w:rsidRPr="00FE48E2">
              <w:rPr>
                <w:noProof/>
                <w:color w:val="004300"/>
                <w:sz w:val="18"/>
                <w:szCs w:val="18"/>
                <w:lang w:val="en-IE" w:eastAsia="cs-CZ"/>
              </w:rPr>
              <w:t xml:space="preserve">The law on protection of whistle-blowers shall: </w:t>
            </w:r>
          </w:p>
          <w:p w:rsidRPr="00FE48E2" w:rsidR="00D87E44" w:rsidP="00D226F4" w:rsidRDefault="00D87E44" w14:paraId="15458596" w14:textId="77777777">
            <w:pPr>
              <w:numPr>
                <w:ilvl w:val="0"/>
                <w:numId w:val="75"/>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 xml:space="preserve">prohibit retaliatory measures against whistle-blowers </w:t>
            </w:r>
          </w:p>
          <w:p w:rsidRPr="00FE48E2" w:rsidR="00D87E44" w:rsidP="00D226F4" w:rsidRDefault="00D87E44" w14:paraId="15458597" w14:textId="77777777">
            <w:pPr>
              <w:numPr>
                <w:ilvl w:val="0"/>
                <w:numId w:val="75"/>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require establishment of an external notification channel for whistleblowing at the Ministry of Justice</w:t>
            </w:r>
          </w:p>
          <w:p w:rsidRPr="00FE48E2" w:rsidR="00D87E44" w:rsidP="00D226F4" w:rsidRDefault="00D87E44" w14:paraId="15458598" w14:textId="77777777">
            <w:pPr>
              <w:numPr>
                <w:ilvl w:val="0"/>
                <w:numId w:val="75"/>
              </w:numPr>
              <w:pBdr>
                <w:top w:val="nil"/>
                <w:left w:val="nil"/>
                <w:bottom w:val="nil"/>
                <w:right w:val="nil"/>
                <w:between w:val="nil"/>
              </w:pBdr>
              <w:spacing w:after="0" w:line="259" w:lineRule="auto"/>
              <w:rPr>
                <w:noProof/>
                <w:color w:val="004300"/>
                <w:sz w:val="18"/>
                <w:szCs w:val="18"/>
                <w:lang w:val="en-IE"/>
              </w:rPr>
            </w:pPr>
            <w:r w:rsidRPr="00FE48E2">
              <w:rPr>
                <w:noProof/>
                <w:color w:val="004300"/>
                <w:sz w:val="18"/>
                <w:szCs w:val="18"/>
                <w:lang w:val="en-IE" w:eastAsia="cs-CZ"/>
              </w:rPr>
              <w:t>require public institutions, large municipalities and large companies to set up internal notification systems for whistleblowing</w:t>
            </w:r>
          </w:p>
        </w:tc>
      </w:tr>
      <w:tr w:rsidRPr="00FE48E2" w:rsidR="00E3458A" w:rsidTr="001A4D46" w14:paraId="154585A8" w14:textId="77777777">
        <w:trPr>
          <w:trHeight w:val="945"/>
          <w:jc w:val="center"/>
        </w:trPr>
        <w:tc>
          <w:tcPr>
            <w:tcW w:w="710" w:type="dxa"/>
            <w:shd w:val="clear" w:color="auto" w:fill="C6EFCE"/>
          </w:tcPr>
          <w:p w:rsidRPr="00EF5287" w:rsidR="00D87E44" w:rsidRDefault="00D87E44" w14:paraId="1545859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203</w:t>
            </w:r>
          </w:p>
        </w:tc>
        <w:tc>
          <w:tcPr>
            <w:tcW w:w="1270" w:type="dxa"/>
            <w:shd w:val="clear" w:color="auto" w:fill="C6EFCE"/>
          </w:tcPr>
          <w:p w:rsidRPr="00EF5287" w:rsidR="00D87E44" w:rsidRDefault="00D87E44" w14:paraId="1545859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2: Judiciary reform aimed at strengthening the legislative framework and transparency in the areas of courts, judges, prosecutors and bailiffs</w:t>
            </w:r>
          </w:p>
        </w:tc>
        <w:tc>
          <w:tcPr>
            <w:tcW w:w="992" w:type="dxa"/>
            <w:shd w:val="clear" w:color="auto" w:fill="C6EFCE"/>
          </w:tcPr>
          <w:p w:rsidRPr="00EF5287" w:rsidR="00D87E44" w:rsidRDefault="00D87E44" w14:paraId="1545859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9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Entry into force of the Courts and Judges Act </w:t>
            </w:r>
          </w:p>
        </w:tc>
        <w:tc>
          <w:tcPr>
            <w:tcW w:w="1559" w:type="dxa"/>
            <w:shd w:val="clear" w:color="auto" w:fill="C6EFCE"/>
          </w:tcPr>
          <w:p w:rsidRPr="00EF5287" w:rsidR="00D87E44" w:rsidRDefault="00D87E44" w14:paraId="1545859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Provision in Courts and Judges Act indicating the entry into force</w:t>
            </w:r>
          </w:p>
        </w:tc>
        <w:tc>
          <w:tcPr>
            <w:tcW w:w="1077" w:type="dxa"/>
            <w:shd w:val="clear" w:color="auto" w:fill="C6EFCE"/>
          </w:tcPr>
          <w:p w:rsidRPr="00EF5287" w:rsidR="00D87E44" w:rsidRDefault="00D87E44" w14:paraId="1545859F"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A0"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A1"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A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A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2021</w:t>
            </w:r>
          </w:p>
        </w:tc>
        <w:tc>
          <w:tcPr>
            <w:tcW w:w="4745" w:type="dxa"/>
            <w:shd w:val="clear" w:color="auto" w:fill="C6EFCE"/>
          </w:tcPr>
          <w:p w:rsidRPr="00FE48E2" w:rsidR="00D87E44" w:rsidRDefault="00D87E44" w14:paraId="154585A4" w14:textId="77777777">
            <w:pPr>
              <w:spacing w:before="0" w:after="0" w:line="240" w:lineRule="auto"/>
              <w:rPr>
                <w:noProof/>
                <w:color w:val="004300"/>
                <w:sz w:val="18"/>
                <w:szCs w:val="18"/>
                <w:lang w:val="en-IE" w:eastAsia="cs-CZ"/>
              </w:rPr>
            </w:pPr>
            <w:r w:rsidRPr="00FE48E2">
              <w:rPr>
                <w:noProof/>
                <w:color w:val="004300"/>
                <w:sz w:val="18"/>
                <w:szCs w:val="18"/>
                <w:lang w:val="en-IE" w:eastAsia="cs-CZ"/>
              </w:rPr>
              <w:t xml:space="preserve">The Courts and Judges Act shall: </w:t>
            </w:r>
          </w:p>
          <w:p w:rsidRPr="00FE48E2" w:rsidR="00D87E44" w:rsidP="00D226F4" w:rsidRDefault="00D87E44" w14:paraId="154585A5" w14:textId="77777777">
            <w:pPr>
              <w:numPr>
                <w:ilvl w:val="0"/>
                <w:numId w:val="76"/>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 xml:space="preserve">introduce objective rules for the selection of judges and court officials </w:t>
            </w:r>
          </w:p>
          <w:p w:rsidRPr="00FE48E2" w:rsidR="00D87E44" w:rsidP="00D226F4" w:rsidRDefault="00D87E44" w14:paraId="154585A6" w14:textId="77777777">
            <w:pPr>
              <w:numPr>
                <w:ilvl w:val="0"/>
                <w:numId w:val="76"/>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provide a more detailed regulation of secondary activity of judges</w:t>
            </w:r>
          </w:p>
          <w:p w:rsidRPr="00FE48E2" w:rsidR="00D87E44" w:rsidP="00D226F4" w:rsidRDefault="00D87E44" w14:paraId="154585A7" w14:textId="77777777">
            <w:pPr>
              <w:numPr>
                <w:ilvl w:val="0"/>
                <w:numId w:val="76"/>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 xml:space="preserve">streamline court proceedings in which lay judges participate </w:t>
            </w:r>
          </w:p>
        </w:tc>
      </w:tr>
      <w:tr w:rsidRPr="00FE48E2" w:rsidR="00E3458A" w:rsidTr="001A4D46" w14:paraId="154585B6" w14:textId="77777777">
        <w:trPr>
          <w:trHeight w:val="324"/>
          <w:jc w:val="center"/>
        </w:trPr>
        <w:tc>
          <w:tcPr>
            <w:tcW w:w="710" w:type="dxa"/>
            <w:shd w:val="clear" w:color="auto" w:fill="C6EFCE"/>
          </w:tcPr>
          <w:p w:rsidRPr="00EF5287" w:rsidR="00D87E44" w:rsidRDefault="00D87E44" w14:paraId="154585A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204</w:t>
            </w:r>
          </w:p>
        </w:tc>
        <w:tc>
          <w:tcPr>
            <w:tcW w:w="1270" w:type="dxa"/>
            <w:shd w:val="clear" w:color="auto" w:fill="C6EFCE"/>
          </w:tcPr>
          <w:p w:rsidRPr="00EF5287" w:rsidR="00D87E44" w:rsidRDefault="00D87E44" w14:paraId="154585A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Reform 2: Judiciary reform aimed at </w:t>
            </w:r>
            <w:r w:rsidRPr="00EF5287">
              <w:rPr>
                <w:rFonts w:eastAsia="Times New Roman"/>
                <w:noProof/>
                <w:color w:val="006100"/>
                <w:sz w:val="18"/>
                <w:szCs w:val="18"/>
                <w:lang w:val="en-IE"/>
              </w:rPr>
              <w:t>strengthening the legislative framework and transparency in the areas of courts, judges, prosecutors and bailiffs</w:t>
            </w:r>
          </w:p>
        </w:tc>
        <w:tc>
          <w:tcPr>
            <w:tcW w:w="992" w:type="dxa"/>
            <w:shd w:val="clear" w:color="auto" w:fill="C6EFCE"/>
          </w:tcPr>
          <w:p w:rsidRPr="00EF5287" w:rsidR="00D87E44" w:rsidRDefault="00D87E44" w14:paraId="154585A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A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Entry into force of the law on proceedings in cases of judges, prosecutors and bailiffs</w:t>
            </w:r>
          </w:p>
        </w:tc>
        <w:tc>
          <w:tcPr>
            <w:tcW w:w="1559" w:type="dxa"/>
            <w:shd w:val="clear" w:color="auto" w:fill="C6EFCE"/>
          </w:tcPr>
          <w:p w:rsidRPr="00EF5287" w:rsidR="00D87E44" w:rsidRDefault="00D87E44" w14:paraId="154585A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Provision in the law on proceedings in cases of judges, prosecutors and bailiffs indicating the entry into force</w:t>
            </w:r>
          </w:p>
        </w:tc>
        <w:tc>
          <w:tcPr>
            <w:tcW w:w="1077" w:type="dxa"/>
            <w:shd w:val="clear" w:color="auto" w:fill="C6EFCE"/>
          </w:tcPr>
          <w:p w:rsidRPr="00EF5287" w:rsidR="00D87E44" w:rsidRDefault="00D87E44" w14:paraId="154585AE"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AF"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B0"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B1"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B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2024</w:t>
            </w:r>
          </w:p>
        </w:tc>
        <w:tc>
          <w:tcPr>
            <w:tcW w:w="4745" w:type="dxa"/>
            <w:shd w:val="clear" w:color="auto" w:fill="C6EFCE"/>
          </w:tcPr>
          <w:p w:rsidRPr="00FE48E2" w:rsidR="00D87E44" w:rsidRDefault="00D87E44" w14:paraId="154585B3" w14:textId="77777777">
            <w:pPr>
              <w:spacing w:before="0" w:after="0" w:line="240" w:lineRule="auto"/>
              <w:rPr>
                <w:noProof/>
                <w:color w:val="004300"/>
                <w:sz w:val="18"/>
                <w:szCs w:val="18"/>
                <w:lang w:val="en-IE" w:eastAsia="cs-CZ"/>
              </w:rPr>
            </w:pPr>
            <w:r w:rsidRPr="00FE48E2">
              <w:rPr>
                <w:noProof/>
                <w:color w:val="004300"/>
                <w:sz w:val="18"/>
                <w:szCs w:val="18"/>
                <w:lang w:val="en-IE" w:eastAsia="cs-CZ"/>
              </w:rPr>
              <w:t xml:space="preserve">The law on proceedings in cases of judges, prosecutors and bailiffs shall: </w:t>
            </w:r>
          </w:p>
          <w:p w:rsidRPr="00FE48E2" w:rsidR="00D87E44" w:rsidP="00D226F4" w:rsidRDefault="00D87E44" w14:paraId="154585B4" w14:textId="77777777">
            <w:pPr>
              <w:numPr>
                <w:ilvl w:val="0"/>
                <w:numId w:val="77"/>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introduce an appeal-based instance review of decisions by the Disciplinary Board</w:t>
            </w:r>
          </w:p>
          <w:p w:rsidRPr="00FE48E2" w:rsidR="00D87E44" w:rsidP="00D226F4" w:rsidRDefault="00D87E44" w14:paraId="154585B5" w14:textId="77777777">
            <w:pPr>
              <w:numPr>
                <w:ilvl w:val="0"/>
                <w:numId w:val="77"/>
              </w:numPr>
              <w:spacing w:after="0" w:line="259" w:lineRule="auto"/>
              <w:contextualSpacing/>
              <w:rPr>
                <w:i/>
                <w:noProof/>
                <w:color w:val="004300"/>
                <w:sz w:val="18"/>
                <w:szCs w:val="18"/>
                <w:lang w:val="en-IE" w:eastAsia="cs-CZ"/>
              </w:rPr>
            </w:pPr>
            <w:r w:rsidRPr="00FE48E2">
              <w:rPr>
                <w:noProof/>
                <w:color w:val="004300"/>
                <w:sz w:val="18"/>
                <w:szCs w:val="18"/>
                <w:lang w:val="en-IE" w:eastAsia="cs-CZ"/>
              </w:rPr>
              <w:t xml:space="preserve">introduce measures to increase efficiency in proceedings of judges, prosecutors, and bailiffs, namely as regards the composition of the Disciplinary Boards, salaries for </w:t>
            </w:r>
            <w:r w:rsidRPr="00FE48E2">
              <w:rPr>
                <w:noProof/>
                <w:color w:val="004300"/>
                <w:sz w:val="18"/>
                <w:szCs w:val="18"/>
                <w:lang w:val="en-IE" w:eastAsia="cs-CZ"/>
              </w:rPr>
              <w:t>civil servants convicted for disciplinary misconduct and settlement of a disciplinary case by agreement</w:t>
            </w:r>
          </w:p>
        </w:tc>
      </w:tr>
      <w:tr w:rsidRPr="00FE48E2" w:rsidR="00E3458A" w:rsidTr="001A4D46" w14:paraId="154585C4" w14:textId="77777777">
        <w:trPr>
          <w:trHeight w:val="945"/>
          <w:jc w:val="center"/>
        </w:trPr>
        <w:tc>
          <w:tcPr>
            <w:tcW w:w="710" w:type="dxa"/>
            <w:shd w:val="clear" w:color="auto" w:fill="C6EFCE"/>
          </w:tcPr>
          <w:p w:rsidRPr="00EF5287" w:rsidR="00D87E44" w:rsidRDefault="00D87E44" w14:paraId="154585B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lastRenderedPageBreak/>
              <w:t>205</w:t>
            </w:r>
          </w:p>
        </w:tc>
        <w:tc>
          <w:tcPr>
            <w:tcW w:w="1270" w:type="dxa"/>
            <w:shd w:val="clear" w:color="auto" w:fill="C6EFCE"/>
          </w:tcPr>
          <w:p w:rsidRPr="00EF5287" w:rsidR="00D87E44" w:rsidRDefault="00D87E44" w14:paraId="154585B8"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3: Collection and analysis of data on corruption</w:t>
            </w:r>
          </w:p>
        </w:tc>
        <w:tc>
          <w:tcPr>
            <w:tcW w:w="992" w:type="dxa"/>
            <w:shd w:val="clear" w:color="auto" w:fill="C6EFCE"/>
          </w:tcPr>
          <w:p w:rsidRPr="00EF5287" w:rsidR="00D87E44" w:rsidRDefault="00D87E44" w14:paraId="154585B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B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Creation of methodology for measuring of corruption in the Czech Republic</w:t>
            </w:r>
          </w:p>
        </w:tc>
        <w:tc>
          <w:tcPr>
            <w:tcW w:w="1559" w:type="dxa"/>
            <w:shd w:val="clear" w:color="auto" w:fill="C6EFCE"/>
          </w:tcPr>
          <w:p w:rsidRPr="00EF5287" w:rsidR="00D87E44" w:rsidRDefault="00D87E44" w14:paraId="154585B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Publication of the methodology by the Ministry of Justice</w:t>
            </w:r>
          </w:p>
        </w:tc>
        <w:tc>
          <w:tcPr>
            <w:tcW w:w="1077" w:type="dxa"/>
            <w:shd w:val="clear" w:color="auto" w:fill="C6EFCE"/>
          </w:tcPr>
          <w:p w:rsidRPr="00EF5287" w:rsidR="00D87E44" w:rsidRDefault="00D87E44" w14:paraId="154585BC"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BD"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BE"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BF"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C0"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2023</w:t>
            </w:r>
          </w:p>
        </w:tc>
        <w:tc>
          <w:tcPr>
            <w:tcW w:w="4745" w:type="dxa"/>
            <w:shd w:val="clear" w:color="auto" w:fill="C6EFCE"/>
          </w:tcPr>
          <w:p w:rsidRPr="00FE48E2" w:rsidR="00D87E44" w:rsidRDefault="00D87E44" w14:paraId="154585C1" w14:textId="77777777">
            <w:pPr>
              <w:spacing w:before="0" w:after="0" w:line="240" w:lineRule="auto"/>
              <w:rPr>
                <w:noProof/>
                <w:color w:val="004300"/>
                <w:sz w:val="18"/>
                <w:szCs w:val="18"/>
                <w:lang w:val="en-IE" w:eastAsia="cs-CZ"/>
              </w:rPr>
            </w:pPr>
            <w:r w:rsidRPr="00FE48E2">
              <w:rPr>
                <w:noProof/>
                <w:color w:val="004300"/>
                <w:sz w:val="18"/>
                <w:szCs w:val="18"/>
                <w:lang w:val="en-IE" w:eastAsia="cs-CZ"/>
              </w:rPr>
              <w:t xml:space="preserve">The new methodology shall allow for replicable and efficient measurement of the direct and indirect experience of corruption in the Czech Republic. It shall be a part of the final research report which shall also: </w:t>
            </w:r>
          </w:p>
          <w:p w:rsidRPr="00FE48E2" w:rsidR="00D87E44" w:rsidP="00D226F4" w:rsidRDefault="00D87E44" w14:paraId="154585C2" w14:textId="77777777">
            <w:pPr>
              <w:numPr>
                <w:ilvl w:val="0"/>
                <w:numId w:val="78"/>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identify the extent and forms of corruption in selected social sectors in the Czech Republic.</w:t>
            </w:r>
          </w:p>
          <w:p w:rsidRPr="00FE48E2" w:rsidR="00D87E44" w:rsidP="00D226F4" w:rsidRDefault="00D87E44" w14:paraId="154585C3" w14:textId="77777777">
            <w:pPr>
              <w:numPr>
                <w:ilvl w:val="0"/>
                <w:numId w:val="78"/>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formulate recommendations of measures to reduce corruption in the selected sectors</w:t>
            </w:r>
          </w:p>
        </w:tc>
      </w:tr>
      <w:tr w:rsidRPr="00FE48E2" w:rsidR="00E3458A" w:rsidTr="001A4D46" w14:paraId="154585D3" w14:textId="77777777">
        <w:trPr>
          <w:trHeight w:val="945"/>
          <w:jc w:val="center"/>
        </w:trPr>
        <w:tc>
          <w:tcPr>
            <w:tcW w:w="710" w:type="dxa"/>
            <w:shd w:val="clear" w:color="auto" w:fill="C6EFCE"/>
          </w:tcPr>
          <w:p w:rsidRPr="00EF5287" w:rsidR="00D87E44" w:rsidRDefault="00D87E44" w14:paraId="154585C5"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206</w:t>
            </w:r>
          </w:p>
        </w:tc>
        <w:tc>
          <w:tcPr>
            <w:tcW w:w="1270" w:type="dxa"/>
            <w:shd w:val="clear" w:color="auto" w:fill="C6EFCE"/>
          </w:tcPr>
          <w:p w:rsidRPr="00EF5287" w:rsidR="00D87E44" w:rsidRDefault="00D87E44" w14:paraId="154585C6"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Reform 4: Regulation of lobbying </w:t>
            </w:r>
          </w:p>
        </w:tc>
        <w:tc>
          <w:tcPr>
            <w:tcW w:w="992" w:type="dxa"/>
            <w:shd w:val="clear" w:color="auto" w:fill="C6EFCE"/>
          </w:tcPr>
          <w:p w:rsidRPr="00EF5287" w:rsidR="00D87E44" w:rsidRDefault="00D87E44" w14:paraId="154585C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C8"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Entry into force of the law on lobbying </w:t>
            </w:r>
          </w:p>
        </w:tc>
        <w:tc>
          <w:tcPr>
            <w:tcW w:w="1559" w:type="dxa"/>
            <w:shd w:val="clear" w:color="auto" w:fill="C6EFCE"/>
          </w:tcPr>
          <w:p w:rsidRPr="00EF5287" w:rsidR="00D87E44" w:rsidRDefault="00D87E44" w14:paraId="154585C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Provision in the law on lobbying indicating entry into force</w:t>
            </w:r>
          </w:p>
        </w:tc>
        <w:tc>
          <w:tcPr>
            <w:tcW w:w="1077" w:type="dxa"/>
            <w:shd w:val="clear" w:color="auto" w:fill="C6EFCE"/>
          </w:tcPr>
          <w:p w:rsidRPr="00EF5287" w:rsidR="00D87E44" w:rsidRDefault="00D87E44" w14:paraId="154585CA"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CB"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CC"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C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C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2024</w:t>
            </w:r>
          </w:p>
        </w:tc>
        <w:tc>
          <w:tcPr>
            <w:tcW w:w="4745" w:type="dxa"/>
            <w:shd w:val="clear" w:color="auto" w:fill="C6EFCE"/>
          </w:tcPr>
          <w:p w:rsidRPr="00FE48E2" w:rsidR="00D87E44" w:rsidRDefault="00D87E44" w14:paraId="154585CF" w14:textId="77777777">
            <w:pPr>
              <w:spacing w:before="0" w:after="0" w:line="240" w:lineRule="auto"/>
              <w:rPr>
                <w:noProof/>
                <w:color w:val="004300"/>
                <w:sz w:val="18"/>
                <w:szCs w:val="18"/>
                <w:lang w:val="en-IE" w:eastAsia="cs-CZ"/>
              </w:rPr>
            </w:pPr>
            <w:r w:rsidRPr="00FE48E2">
              <w:rPr>
                <w:noProof/>
                <w:color w:val="004300"/>
                <w:sz w:val="18"/>
                <w:szCs w:val="18"/>
                <w:lang w:val="en-IE" w:eastAsia="cs-CZ"/>
              </w:rPr>
              <w:t xml:space="preserve">The law on lobbying shall: </w:t>
            </w:r>
          </w:p>
          <w:p w:rsidRPr="00FE48E2" w:rsidR="00D87E44" w:rsidP="00D226F4" w:rsidRDefault="00D87E44" w14:paraId="154585D0" w14:textId="77777777">
            <w:pPr>
              <w:numPr>
                <w:ilvl w:val="0"/>
                <w:numId w:val="79"/>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 xml:space="preserve">define lobbying </w:t>
            </w:r>
          </w:p>
          <w:p w:rsidRPr="00FE48E2" w:rsidR="00D87E44" w:rsidP="00D226F4" w:rsidRDefault="00D87E44" w14:paraId="154585D1" w14:textId="77777777">
            <w:pPr>
              <w:numPr>
                <w:ilvl w:val="0"/>
                <w:numId w:val="79"/>
              </w:numPr>
              <w:pBdr>
                <w:top w:val="nil"/>
                <w:left w:val="nil"/>
                <w:bottom w:val="nil"/>
                <w:right w:val="nil"/>
                <w:between w:val="nil"/>
              </w:pBdr>
              <w:spacing w:after="0" w:line="259" w:lineRule="auto"/>
              <w:rPr>
                <w:noProof/>
                <w:color w:val="004300"/>
                <w:sz w:val="18"/>
                <w:szCs w:val="18"/>
                <w:lang w:val="en-IE" w:eastAsia="cs-CZ"/>
              </w:rPr>
            </w:pPr>
            <w:r w:rsidRPr="00FE48E2">
              <w:rPr>
                <w:noProof/>
                <w:color w:val="004300"/>
                <w:sz w:val="18"/>
                <w:szCs w:val="18"/>
                <w:lang w:val="en-IE" w:eastAsia="cs-CZ"/>
              </w:rPr>
              <w:t xml:space="preserve">require setting up a register of lobbyists and lobbied persons </w:t>
            </w:r>
          </w:p>
          <w:p w:rsidRPr="00FE48E2" w:rsidR="00D87E44" w:rsidP="00D226F4" w:rsidRDefault="00D87E44" w14:paraId="154585D2" w14:textId="77777777">
            <w:pPr>
              <w:numPr>
                <w:ilvl w:val="0"/>
                <w:numId w:val="79"/>
              </w:numPr>
              <w:spacing w:line="240" w:lineRule="auto"/>
              <w:rPr>
                <w:noProof/>
                <w:color w:val="004300"/>
                <w:sz w:val="18"/>
                <w:szCs w:val="18"/>
                <w:lang w:val="en-IE" w:eastAsia="cs-CZ"/>
              </w:rPr>
            </w:pPr>
            <w:r w:rsidRPr="00FE48E2">
              <w:rPr>
                <w:noProof/>
                <w:color w:val="004300"/>
                <w:sz w:val="18"/>
                <w:szCs w:val="18"/>
                <w:lang w:val="en-IE" w:eastAsia="cs-CZ"/>
              </w:rPr>
              <w:t xml:space="preserve">introduce an obligation to register lobbying and sanctions for non-compliance. </w:t>
            </w:r>
          </w:p>
        </w:tc>
      </w:tr>
      <w:tr w:rsidRPr="00FE48E2" w:rsidR="00E3458A" w:rsidTr="001A4D46" w14:paraId="154585E0" w14:textId="77777777">
        <w:trPr>
          <w:trHeight w:val="706"/>
          <w:jc w:val="center"/>
        </w:trPr>
        <w:tc>
          <w:tcPr>
            <w:tcW w:w="710" w:type="dxa"/>
            <w:shd w:val="clear" w:color="auto" w:fill="C6EFCE"/>
          </w:tcPr>
          <w:p w:rsidRPr="00EF5287" w:rsidR="00D87E44" w:rsidRDefault="00D87E44" w14:paraId="154585D4"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207</w:t>
            </w:r>
          </w:p>
        </w:tc>
        <w:tc>
          <w:tcPr>
            <w:tcW w:w="1270" w:type="dxa"/>
            <w:shd w:val="clear" w:color="auto" w:fill="C6EFCE"/>
          </w:tcPr>
          <w:p w:rsidRPr="00EF5287" w:rsidR="00D87E44" w:rsidRDefault="00D87E44" w14:paraId="154585D5"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5D6"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D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The system to collect, store and make available data in relation to all final recipients including all beneficial owners (as established by article 3, point 6, of the Anti-money laundering directive.</w:t>
            </w:r>
          </w:p>
        </w:tc>
        <w:tc>
          <w:tcPr>
            <w:tcW w:w="1559" w:type="dxa"/>
            <w:shd w:val="clear" w:color="auto" w:fill="C6EFCE"/>
          </w:tcPr>
          <w:p w:rsidRPr="00EF5287" w:rsidR="00D87E44" w:rsidRDefault="00D87E44" w14:paraId="154585D8"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Procedure approved and implemented by the delivery unit with the description of the system to collect and make available data on final recipients</w:t>
            </w:r>
          </w:p>
        </w:tc>
        <w:tc>
          <w:tcPr>
            <w:tcW w:w="1077" w:type="dxa"/>
            <w:shd w:val="clear" w:color="auto" w:fill="C6EFCE"/>
          </w:tcPr>
          <w:p w:rsidRPr="00EF5287" w:rsidR="00D87E44" w:rsidRDefault="00D87E44" w14:paraId="154585D9"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DA"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DB"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D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Q2</w:t>
            </w:r>
          </w:p>
        </w:tc>
        <w:tc>
          <w:tcPr>
            <w:tcW w:w="891" w:type="dxa"/>
            <w:shd w:val="clear" w:color="auto" w:fill="C6EFCE"/>
          </w:tcPr>
          <w:p w:rsidRPr="00EF5287" w:rsidR="00D87E44" w:rsidRDefault="00D87E44" w14:paraId="154585D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2022</w:t>
            </w:r>
          </w:p>
        </w:tc>
        <w:tc>
          <w:tcPr>
            <w:tcW w:w="4745" w:type="dxa"/>
            <w:shd w:val="clear" w:color="auto" w:fill="C6EFCE"/>
          </w:tcPr>
          <w:p w:rsidRPr="00FE48E2" w:rsidR="00D87E44" w:rsidRDefault="00D87E44" w14:paraId="154585DE" w14:textId="77777777">
            <w:pPr>
              <w:spacing w:before="0" w:after="0" w:line="240" w:lineRule="auto"/>
              <w:rPr>
                <w:noProof/>
                <w:color w:val="004300"/>
                <w:sz w:val="18"/>
                <w:szCs w:val="18"/>
                <w:lang w:val="en-IE" w:eastAsia="cs-CZ"/>
              </w:rPr>
            </w:pPr>
            <w:r w:rsidRPr="00FE48E2">
              <w:rPr>
                <w:noProof/>
                <w:color w:val="004300"/>
                <w:sz w:val="18"/>
                <w:szCs w:val="18"/>
                <w:lang w:val="en-IE" w:eastAsia="cs-CZ"/>
              </w:rPr>
              <w:t xml:space="preserve">The procedure describing how the data on final recipients, contractors, sub-contractors, beneficial owners and the list of any measures for the </w:t>
            </w:r>
            <w:r w:rsidRPr="00FE48E2">
              <w:rPr>
                <w:noProof/>
                <w:color w:val="004300"/>
                <w:sz w:val="18"/>
                <w:szCs w:val="18"/>
                <w:lang w:val="en-IE" w:eastAsia="cs-CZ"/>
              </w:rPr>
              <w:t xml:space="preserve">implementation of reforms and investment projects is to be collected and stored is being successfully implemented. The system to collect and make available data on final recipients shall be in line with the requirements of Article 22(2)(d) of the RRF Regulation. This description shall explicitly cover all categories of data mentioned in Article 22(2)(d), including on ‘beneficial owners’ as defined in Article 3, point 6, of Directive 2015/849, as amended by Directive 2018/843. </w:t>
            </w:r>
          </w:p>
          <w:p w:rsidRPr="00FE48E2" w:rsidR="00D87E44" w:rsidRDefault="00D87E44" w14:paraId="154585DF" w14:textId="77777777">
            <w:pPr>
              <w:spacing w:line="240" w:lineRule="auto"/>
              <w:rPr>
                <w:noProof/>
                <w:color w:val="004300"/>
                <w:sz w:val="18"/>
                <w:szCs w:val="18"/>
                <w:lang w:val="en-IE" w:eastAsia="cs-CZ"/>
              </w:rPr>
            </w:pPr>
            <w:r w:rsidRPr="00FE48E2">
              <w:rPr>
                <w:noProof/>
                <w:color w:val="004300"/>
                <w:sz w:val="18"/>
                <w:szCs w:val="18"/>
                <w:lang w:val="en-IE" w:eastAsia="cs-CZ"/>
              </w:rPr>
              <w:t>The procedures shall be approved and implemented by the RRF Managing Council. The system of collecting data will be based on and follow the best practices gained of the MS2014+ system.</w:t>
            </w:r>
          </w:p>
        </w:tc>
      </w:tr>
      <w:tr w:rsidRPr="00FE48E2" w:rsidR="00E3458A" w:rsidTr="001A4D46" w14:paraId="154585ED" w14:textId="77777777">
        <w:trPr>
          <w:trHeight w:val="945"/>
          <w:jc w:val="center"/>
        </w:trPr>
        <w:tc>
          <w:tcPr>
            <w:tcW w:w="710" w:type="dxa"/>
            <w:shd w:val="clear" w:color="auto" w:fill="C6EFCE"/>
          </w:tcPr>
          <w:p w:rsidRPr="00EF5287" w:rsidR="00D87E44" w:rsidRDefault="00D87E44" w14:paraId="154585E1"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208</w:t>
            </w:r>
          </w:p>
        </w:tc>
        <w:tc>
          <w:tcPr>
            <w:tcW w:w="1270" w:type="dxa"/>
            <w:shd w:val="clear" w:color="auto" w:fill="C6EFCE"/>
          </w:tcPr>
          <w:p w:rsidRPr="00EF5287" w:rsidR="00D87E44" w:rsidRDefault="00D87E44" w14:paraId="154585E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5E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E4"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Creation and implementation of an action plan on the </w:t>
            </w:r>
            <w:r w:rsidRPr="00EF5287">
              <w:rPr>
                <w:rFonts w:eastAsia="Times New Roman"/>
                <w:noProof/>
                <w:color w:val="006100"/>
                <w:sz w:val="18"/>
                <w:szCs w:val="18"/>
                <w:lang w:val="en-IE"/>
              </w:rPr>
              <w:t xml:space="preserve">administrative system of the coordinating body in </w:t>
            </w:r>
            <w:r w:rsidRPr="00EF5287">
              <w:rPr>
                <w:rFonts w:eastAsia="Times New Roman"/>
                <w:noProof/>
                <w:color w:val="006100"/>
                <w:sz w:val="18"/>
                <w:szCs w:val="18"/>
                <w:lang w:val="en-IE"/>
              </w:rPr>
              <w:lastRenderedPageBreak/>
              <w:t>particular as regards sufficient and systemic prevention of the conflict of interest in the context of the RRF.</w:t>
            </w:r>
          </w:p>
        </w:tc>
        <w:tc>
          <w:tcPr>
            <w:tcW w:w="1559" w:type="dxa"/>
            <w:shd w:val="clear" w:color="auto" w:fill="C6EFCE"/>
          </w:tcPr>
          <w:p w:rsidRPr="00EF5287" w:rsidR="00D87E44" w:rsidRDefault="00D87E44" w14:paraId="154585E5"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lastRenderedPageBreak/>
              <w:t xml:space="preserve">Effective implementation of the action plan confirmed by updated procedures </w:t>
            </w:r>
            <w:r w:rsidRPr="00EF5287">
              <w:rPr>
                <w:rFonts w:eastAsia="Times New Roman"/>
                <w:noProof/>
                <w:color w:val="006100"/>
                <w:sz w:val="18"/>
                <w:szCs w:val="18"/>
                <w:lang w:val="en-IE"/>
              </w:rPr>
              <w:lastRenderedPageBreak/>
              <w:t>and processes of the coordinating body</w:t>
            </w:r>
          </w:p>
        </w:tc>
        <w:tc>
          <w:tcPr>
            <w:tcW w:w="1077" w:type="dxa"/>
            <w:shd w:val="clear" w:color="auto" w:fill="C6EFCE"/>
          </w:tcPr>
          <w:p w:rsidRPr="00EF5287" w:rsidR="00D87E44" w:rsidRDefault="00D87E44" w14:paraId="154585E6"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E7"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E8"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E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5E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2021</w:t>
            </w:r>
          </w:p>
        </w:tc>
        <w:tc>
          <w:tcPr>
            <w:tcW w:w="4745" w:type="dxa"/>
            <w:shd w:val="clear" w:color="auto" w:fill="C6EFCE"/>
          </w:tcPr>
          <w:p w:rsidRPr="00FE48E2" w:rsidR="00D87E44" w:rsidRDefault="00D87E44" w14:paraId="154585E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Effective implementation of the action plan will ensure an efficient internal administrative system of the coordinating body in particular as regards sufficient and systemic prevention of the conflict of interest.</w:t>
            </w:r>
          </w:p>
          <w:p w:rsidRPr="00FE48E2" w:rsidR="00D87E44" w:rsidRDefault="00D87E44" w14:paraId="154585EC"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lastRenderedPageBreak/>
              <w:t>The action plan shall include measures to ensure that payments to final recipients, contractors and subcontractors under the Plan would be subject to prior controls of conflict-of-interest verification down to the level of beneficial owners as defined in Article 3, point 6, of Directive (EU) 2015/849 of the European Parliament and of the Council.</w:t>
            </w:r>
          </w:p>
        </w:tc>
      </w:tr>
      <w:tr w:rsidRPr="00FE48E2" w:rsidR="00E3458A" w:rsidTr="001A4D46" w14:paraId="154585F9" w14:textId="77777777">
        <w:trPr>
          <w:trHeight w:val="945"/>
          <w:jc w:val="center"/>
        </w:trPr>
        <w:tc>
          <w:tcPr>
            <w:tcW w:w="710" w:type="dxa"/>
            <w:shd w:val="clear" w:color="auto" w:fill="C6EFCE"/>
          </w:tcPr>
          <w:p w:rsidRPr="00EF5287" w:rsidR="00D87E44" w:rsidRDefault="00D87E44" w14:paraId="154585E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lastRenderedPageBreak/>
              <w:t>209</w:t>
            </w:r>
          </w:p>
        </w:tc>
        <w:tc>
          <w:tcPr>
            <w:tcW w:w="1270" w:type="dxa"/>
            <w:shd w:val="clear" w:color="auto" w:fill="C6EFCE"/>
          </w:tcPr>
          <w:p w:rsidRPr="00EF5287" w:rsidR="00D87E44" w:rsidRDefault="00D87E44" w14:paraId="154585EF"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5F0"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F1"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Measures preventing conflict of interest implemented by the Coordinating body.</w:t>
            </w:r>
          </w:p>
        </w:tc>
        <w:tc>
          <w:tcPr>
            <w:tcW w:w="1559" w:type="dxa"/>
            <w:shd w:val="clear" w:color="auto" w:fill="C6EFCE"/>
          </w:tcPr>
          <w:p w:rsidRPr="00EF5287" w:rsidR="00D87E44" w:rsidRDefault="00D87E44" w14:paraId="154585F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Audit report confirming effective implementation of the action plan.</w:t>
            </w:r>
          </w:p>
        </w:tc>
        <w:tc>
          <w:tcPr>
            <w:tcW w:w="1077" w:type="dxa"/>
            <w:shd w:val="clear" w:color="auto" w:fill="C6EFCE"/>
          </w:tcPr>
          <w:p w:rsidRPr="00EF5287" w:rsidR="00D87E44" w:rsidRDefault="00D87E44" w14:paraId="154585F3"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F4"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5F5"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5F6"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Q2</w:t>
            </w:r>
          </w:p>
        </w:tc>
        <w:tc>
          <w:tcPr>
            <w:tcW w:w="891" w:type="dxa"/>
            <w:shd w:val="clear" w:color="auto" w:fill="C6EFCE"/>
          </w:tcPr>
          <w:p w:rsidRPr="00EF5287" w:rsidR="00D87E44" w:rsidRDefault="00D87E44" w14:paraId="154585F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2022</w:t>
            </w:r>
          </w:p>
        </w:tc>
        <w:tc>
          <w:tcPr>
            <w:tcW w:w="4745" w:type="dxa"/>
            <w:shd w:val="clear" w:color="auto" w:fill="C6EFCE"/>
          </w:tcPr>
          <w:p w:rsidRPr="00FE48E2" w:rsidR="00D87E44" w:rsidRDefault="00D87E44" w14:paraId="154585F8" w14:textId="77777777">
            <w:pPr>
              <w:spacing w:before="0" w:after="0"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Follow-up audit shall be carried out by the audit body to confirm the implementation of the action plan.</w:t>
            </w:r>
          </w:p>
        </w:tc>
      </w:tr>
      <w:tr w:rsidRPr="00FE48E2" w:rsidR="00E3458A" w:rsidTr="001A4D46" w14:paraId="15458608" w14:textId="77777777">
        <w:trPr>
          <w:trHeight w:val="945"/>
          <w:jc w:val="center"/>
        </w:trPr>
        <w:tc>
          <w:tcPr>
            <w:tcW w:w="710" w:type="dxa"/>
            <w:shd w:val="clear" w:color="auto" w:fill="C6EFCE"/>
          </w:tcPr>
          <w:p w:rsidRPr="00EF5287" w:rsidR="00D87E44" w:rsidRDefault="00D87E44" w14:paraId="154585F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210</w:t>
            </w:r>
          </w:p>
        </w:tc>
        <w:tc>
          <w:tcPr>
            <w:tcW w:w="1270" w:type="dxa"/>
            <w:shd w:val="clear" w:color="auto" w:fill="C6EFCE"/>
          </w:tcPr>
          <w:p w:rsidRPr="00EF5287" w:rsidR="00D87E44" w:rsidRDefault="00D87E44" w14:paraId="154585F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5F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5F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Repository system</w:t>
            </w:r>
          </w:p>
        </w:tc>
        <w:tc>
          <w:tcPr>
            <w:tcW w:w="1559" w:type="dxa"/>
            <w:shd w:val="clear" w:color="auto" w:fill="C6EFCE"/>
          </w:tcPr>
          <w:p w:rsidRPr="00EF5287" w:rsidR="00D87E44" w:rsidRDefault="00D87E44" w14:paraId="154585F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Audit report confirming repository system functionalities</w:t>
            </w:r>
          </w:p>
        </w:tc>
        <w:tc>
          <w:tcPr>
            <w:tcW w:w="1077" w:type="dxa"/>
            <w:shd w:val="clear" w:color="auto" w:fill="C6EFCE"/>
          </w:tcPr>
          <w:p w:rsidRPr="00EF5287" w:rsidR="00D87E44" w:rsidRDefault="00D87E44" w14:paraId="154585FF"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00"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01"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60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Q2</w:t>
            </w:r>
          </w:p>
        </w:tc>
        <w:tc>
          <w:tcPr>
            <w:tcW w:w="891" w:type="dxa"/>
            <w:shd w:val="clear" w:color="auto" w:fill="C6EFCE"/>
          </w:tcPr>
          <w:p w:rsidRPr="00EF5287" w:rsidR="00D87E44" w:rsidRDefault="00D87E44" w14:paraId="1545860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2022</w:t>
            </w:r>
          </w:p>
        </w:tc>
        <w:tc>
          <w:tcPr>
            <w:tcW w:w="4745" w:type="dxa"/>
            <w:shd w:val="clear" w:color="auto" w:fill="C6EFCE"/>
          </w:tcPr>
          <w:p w:rsidRPr="00FE48E2" w:rsidR="00D87E44" w:rsidRDefault="00D87E44" w14:paraId="1545860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 repository system for monitoring the implementation of the RRF shall be in place and operational. </w:t>
            </w:r>
          </w:p>
          <w:p w:rsidRPr="00FE48E2" w:rsidR="00D87E44" w:rsidRDefault="00D87E44" w14:paraId="15458605"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The system shall include, as a minimum, the following functionalities: </w:t>
            </w:r>
          </w:p>
          <w:p w:rsidRPr="00FE48E2" w:rsidR="00D87E44" w:rsidRDefault="00D87E44" w14:paraId="15458606"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 collection of data and monitoring of the achievement of milestones and targets; </w:t>
            </w:r>
          </w:p>
          <w:p w:rsidRPr="00FE48E2" w:rsidR="00D87E44" w:rsidRDefault="00D87E44" w14:paraId="15458607"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(b) collection, storage and ensuring access to the data required by Article 22(2)(d)(i) to (iii) of the RRF Regulation.</w:t>
            </w:r>
          </w:p>
        </w:tc>
      </w:tr>
      <w:tr w:rsidRPr="00FE48E2" w:rsidR="00E3458A" w:rsidTr="001A4D46" w14:paraId="15458615" w14:textId="77777777">
        <w:trPr>
          <w:trHeight w:val="945"/>
          <w:jc w:val="center"/>
        </w:trPr>
        <w:tc>
          <w:tcPr>
            <w:tcW w:w="710" w:type="dxa"/>
            <w:shd w:val="clear" w:color="auto" w:fill="C6EFCE"/>
          </w:tcPr>
          <w:p w:rsidRPr="00EF5287" w:rsidR="00D87E44" w:rsidRDefault="00D87E44" w14:paraId="1545860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211</w:t>
            </w:r>
          </w:p>
        </w:tc>
        <w:tc>
          <w:tcPr>
            <w:tcW w:w="1270" w:type="dxa"/>
            <w:shd w:val="clear" w:color="auto" w:fill="C6EFCE"/>
          </w:tcPr>
          <w:p w:rsidRPr="00EF5287" w:rsidR="00D87E44" w:rsidRDefault="00D87E44" w14:paraId="1545860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60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60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Audit strategy ensuring independent and effective audit of the RRF implementation</w:t>
            </w:r>
          </w:p>
        </w:tc>
        <w:tc>
          <w:tcPr>
            <w:tcW w:w="1559" w:type="dxa"/>
            <w:shd w:val="clear" w:color="auto" w:fill="C6EFCE"/>
          </w:tcPr>
          <w:p w:rsidRPr="00EF5287" w:rsidR="00D87E44" w:rsidRDefault="00D87E44" w14:paraId="1545860D"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Audit strategy approved by the head of the audit body</w:t>
            </w:r>
          </w:p>
        </w:tc>
        <w:tc>
          <w:tcPr>
            <w:tcW w:w="1077" w:type="dxa"/>
            <w:shd w:val="clear" w:color="auto" w:fill="C6EFCE"/>
          </w:tcPr>
          <w:p w:rsidRPr="00EF5287" w:rsidR="00D87E44" w:rsidRDefault="00D87E44" w14:paraId="1545860E"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0F"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10"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611"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61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2021</w:t>
            </w:r>
          </w:p>
        </w:tc>
        <w:tc>
          <w:tcPr>
            <w:tcW w:w="4745" w:type="dxa"/>
            <w:shd w:val="clear" w:color="auto" w:fill="C6EFCE"/>
          </w:tcPr>
          <w:p w:rsidRPr="00FE48E2" w:rsidR="00D87E44" w:rsidRDefault="00D87E44" w14:paraId="1545861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Adoption and entry into force of an audit strategy for the audit body, ensuring the independent and effective audit of the RRF implementation in accordance with internationally accepted audit standards.  </w:t>
            </w:r>
          </w:p>
          <w:p w:rsidRPr="00FE48E2" w:rsidR="00D87E44" w:rsidRDefault="00D87E44" w14:paraId="15458614"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The strategy shall at least set out the methodology and approach to risk assessment, the frequency and type of audits (such as systems and project audits, desk-based and on-the-spot) to be carried out in the different implementation stages of the reforms and investment implemented under the Plan as well as the reliability of data supporting the achievement of milestones and targets.</w:t>
            </w:r>
          </w:p>
        </w:tc>
      </w:tr>
      <w:tr w:rsidRPr="00FE48E2" w:rsidR="00E3458A" w:rsidTr="001A4D46" w14:paraId="15458622" w14:textId="77777777">
        <w:trPr>
          <w:trHeight w:val="945"/>
          <w:jc w:val="center"/>
        </w:trPr>
        <w:tc>
          <w:tcPr>
            <w:tcW w:w="710" w:type="dxa"/>
            <w:shd w:val="clear" w:color="auto" w:fill="C6EFCE"/>
          </w:tcPr>
          <w:p w:rsidRPr="00EF5287" w:rsidR="00D87E44" w:rsidRDefault="00D87E44" w14:paraId="15458616"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lastRenderedPageBreak/>
              <w:t>212</w:t>
            </w:r>
          </w:p>
        </w:tc>
        <w:tc>
          <w:tcPr>
            <w:tcW w:w="1270" w:type="dxa"/>
            <w:shd w:val="clear" w:color="auto" w:fill="C6EFCE"/>
          </w:tcPr>
          <w:p w:rsidRPr="00EF5287" w:rsidR="00D87E44" w:rsidRDefault="00D87E44" w14:paraId="1545861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618"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61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Review of the definition of beneficial ownership as it relates to the RRF control system</w:t>
            </w:r>
          </w:p>
        </w:tc>
        <w:tc>
          <w:tcPr>
            <w:tcW w:w="1559" w:type="dxa"/>
            <w:shd w:val="clear" w:color="auto" w:fill="C6EFCE"/>
          </w:tcPr>
          <w:p w:rsidRPr="00EF5287" w:rsidR="00D87E44" w:rsidRDefault="00D87E44" w14:paraId="1545861A"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Report from a compliance review including suggestions on possible follow-up action.</w:t>
            </w:r>
          </w:p>
        </w:tc>
        <w:tc>
          <w:tcPr>
            <w:tcW w:w="1077" w:type="dxa"/>
            <w:shd w:val="clear" w:color="auto" w:fill="C6EFCE"/>
          </w:tcPr>
          <w:p w:rsidRPr="00EF5287" w:rsidR="00D87E44" w:rsidRDefault="00D87E44" w14:paraId="1545861B"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1C"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1D"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61E"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Q4</w:t>
            </w:r>
          </w:p>
        </w:tc>
        <w:tc>
          <w:tcPr>
            <w:tcW w:w="891" w:type="dxa"/>
            <w:shd w:val="clear" w:color="auto" w:fill="C6EFCE"/>
          </w:tcPr>
          <w:p w:rsidRPr="00EF5287" w:rsidR="00D87E44" w:rsidRDefault="00D87E44" w14:paraId="1545861F"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2021</w:t>
            </w:r>
          </w:p>
        </w:tc>
        <w:tc>
          <w:tcPr>
            <w:tcW w:w="4745" w:type="dxa"/>
            <w:shd w:val="clear" w:color="auto" w:fill="C6EFCE"/>
          </w:tcPr>
          <w:p w:rsidRPr="00FE48E2" w:rsidR="00D87E44" w:rsidRDefault="00D87E44" w14:paraId="1545862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 compliance review of the national procedures shall be carried out to ensure that the application of beneficial ownership in the context of the RRF </w:t>
            </w:r>
            <w:r w:rsidRPr="00FE48E2">
              <w:rPr>
                <w:rFonts w:eastAsia="Times New Roman"/>
                <w:noProof/>
                <w:color w:val="004300"/>
                <w:sz w:val="18"/>
                <w:szCs w:val="18"/>
                <w:lang w:val="en-IE"/>
              </w:rPr>
              <w:t>control system is fully aligned with the definition of ‘beneficial owners’ as defined in Article 3, point 6, of Directive 2015/849, as amended by Directive 2018/843. The review shall encompass both legislation and guidance, including manual for the registry of beneficial owners. The review shall also look at the effective, proportionate and dissuasive sanctions in case of breaches of the obligation to obtain and hold information on the beneficial ownership, as provided by Article 30(1) of Directive 2015/849</w:t>
            </w:r>
            <w:r w:rsidRPr="00FE48E2">
              <w:rPr>
                <w:rFonts w:eastAsia="Times New Roman"/>
                <w:noProof/>
                <w:color w:val="004300"/>
                <w:sz w:val="18"/>
                <w:szCs w:val="18"/>
                <w:lang w:val="en-IE"/>
              </w:rPr>
              <w:t xml:space="preserve">, as amended by Directive 2018/843. </w:t>
            </w:r>
          </w:p>
          <w:p w:rsidRPr="00FE48E2" w:rsidR="00D87E44" w:rsidRDefault="00D87E44" w14:paraId="15458621"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Following the review, potential deficiencies identified shall be corrected.</w:t>
            </w:r>
          </w:p>
        </w:tc>
      </w:tr>
      <w:tr w:rsidRPr="00FE48E2" w:rsidR="00E3458A" w:rsidTr="001A4D46" w14:paraId="1545862F" w14:textId="77777777">
        <w:trPr>
          <w:trHeight w:val="945"/>
          <w:jc w:val="center"/>
        </w:trPr>
        <w:tc>
          <w:tcPr>
            <w:tcW w:w="710" w:type="dxa"/>
            <w:shd w:val="clear" w:color="auto" w:fill="C6EFCE"/>
          </w:tcPr>
          <w:p w:rsidRPr="00EF5287" w:rsidR="00D87E44" w:rsidRDefault="00D87E44" w14:paraId="1545862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213</w:t>
            </w:r>
          </w:p>
        </w:tc>
        <w:tc>
          <w:tcPr>
            <w:tcW w:w="1270" w:type="dxa"/>
            <w:shd w:val="clear" w:color="auto" w:fill="C6EFCE"/>
          </w:tcPr>
          <w:p w:rsidRPr="00EF5287" w:rsidR="00D87E44" w:rsidRDefault="00D87E44" w14:paraId="15458624"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625"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626"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Guidance on the avoidance and management of conflict of interests</w:t>
            </w:r>
          </w:p>
        </w:tc>
        <w:tc>
          <w:tcPr>
            <w:tcW w:w="1559" w:type="dxa"/>
            <w:shd w:val="clear" w:color="auto" w:fill="C6EFCE"/>
          </w:tcPr>
          <w:p w:rsidRPr="00EF5287" w:rsidR="00D87E44" w:rsidRDefault="00D87E44" w14:paraId="15458627"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Guidance on the avoidance and management of conflict of interests issued by the delivery unit of the coordinating body. Revision by the audit authority</w:t>
            </w:r>
          </w:p>
        </w:tc>
        <w:tc>
          <w:tcPr>
            <w:tcW w:w="1077" w:type="dxa"/>
            <w:shd w:val="clear" w:color="auto" w:fill="C6EFCE"/>
          </w:tcPr>
          <w:p w:rsidRPr="00EF5287" w:rsidR="00D87E44" w:rsidRDefault="00D87E44" w14:paraId="15458628"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29"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2A"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62B"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Q2</w:t>
            </w:r>
          </w:p>
        </w:tc>
        <w:tc>
          <w:tcPr>
            <w:tcW w:w="891" w:type="dxa"/>
            <w:shd w:val="clear" w:color="auto" w:fill="C6EFCE"/>
          </w:tcPr>
          <w:p w:rsidRPr="00EF5287" w:rsidR="00D87E44" w:rsidRDefault="00D87E44" w14:paraId="1545862C"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2022</w:t>
            </w:r>
          </w:p>
        </w:tc>
        <w:tc>
          <w:tcPr>
            <w:tcW w:w="4745" w:type="dxa"/>
            <w:shd w:val="clear" w:color="auto" w:fill="C6EFCE"/>
          </w:tcPr>
          <w:p w:rsidRPr="00FE48E2" w:rsidR="00D87E44" w:rsidRDefault="00D87E44" w14:paraId="1545862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Adoption by the delivery unit of the coordinating body of guidance to ensure </w:t>
            </w:r>
            <w:r w:rsidRPr="00FE48E2">
              <w:rPr>
                <w:rFonts w:eastAsia="Times New Roman"/>
                <w:noProof/>
                <w:color w:val="004300"/>
                <w:sz w:val="18"/>
                <w:szCs w:val="18"/>
                <w:lang w:val="en-IE"/>
              </w:rPr>
              <w:t xml:space="preserve">avoidance and management of conflict of interests by the component owners and other entities implementing reforms and investments under the recovery and resilience plan. The guidance shall reflect the full breadth of necessary measures to protect the EU budget against fraud and irregularities. This guidance shall be based on Commission Notice - Guidance on the avoidance and management of conflicts of interest under the Financial Regulation (OJ C 121, 9.4.2021, p. 1). </w:t>
            </w:r>
          </w:p>
          <w:p w:rsidRPr="00FE48E2" w:rsidR="00D87E44" w:rsidRDefault="00D87E44" w14:paraId="1545862E"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The guidance shall harmonize the measures to be taken by the component owners and other entities implementing reforms and investments under the recovery and resilience plan (ministries, other public bodies, state funds, etc.).</w:t>
            </w:r>
          </w:p>
        </w:tc>
      </w:tr>
      <w:tr w:rsidRPr="00FE48E2" w:rsidR="00E3458A" w:rsidTr="001A4D46" w14:paraId="1545863E" w14:textId="77777777">
        <w:trPr>
          <w:trHeight w:val="945"/>
          <w:jc w:val="center"/>
        </w:trPr>
        <w:tc>
          <w:tcPr>
            <w:tcW w:w="710" w:type="dxa"/>
            <w:shd w:val="clear" w:color="auto" w:fill="C6EFCE"/>
          </w:tcPr>
          <w:p w:rsidRPr="00EF5287" w:rsidR="00D87E44" w:rsidRDefault="00D87E44" w14:paraId="15458630"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214</w:t>
            </w:r>
          </w:p>
        </w:tc>
        <w:tc>
          <w:tcPr>
            <w:tcW w:w="1270" w:type="dxa"/>
            <w:shd w:val="clear" w:color="auto" w:fill="C6EFCE"/>
          </w:tcPr>
          <w:p w:rsidRPr="00EF5287" w:rsidR="00D87E44" w:rsidRDefault="00D87E44" w14:paraId="15458631"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Reform 5: Control and audit</w:t>
            </w:r>
          </w:p>
        </w:tc>
        <w:tc>
          <w:tcPr>
            <w:tcW w:w="992" w:type="dxa"/>
            <w:shd w:val="clear" w:color="auto" w:fill="C6EFCE"/>
          </w:tcPr>
          <w:p w:rsidRPr="00EF5287" w:rsidR="00D87E44" w:rsidRDefault="00D87E44" w14:paraId="15458632"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Milestone</w:t>
            </w:r>
          </w:p>
        </w:tc>
        <w:tc>
          <w:tcPr>
            <w:tcW w:w="1851" w:type="dxa"/>
            <w:shd w:val="clear" w:color="auto" w:fill="C6EFCE"/>
          </w:tcPr>
          <w:p w:rsidRPr="00EF5287" w:rsidR="00D87E44" w:rsidRDefault="00D87E44" w14:paraId="15458633"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Procedures to avoid </w:t>
            </w:r>
            <w:r w:rsidRPr="00EF5287">
              <w:rPr>
                <w:rFonts w:eastAsia="Times New Roman"/>
                <w:noProof/>
                <w:color w:val="006100"/>
                <w:sz w:val="18"/>
                <w:szCs w:val="18"/>
                <w:lang w:val="en-IE"/>
              </w:rPr>
              <w:t>conflict of interests in line with Article 61 of the Financial Regulation</w:t>
            </w:r>
          </w:p>
        </w:tc>
        <w:tc>
          <w:tcPr>
            <w:tcW w:w="1559" w:type="dxa"/>
            <w:shd w:val="clear" w:color="auto" w:fill="C6EFCE"/>
          </w:tcPr>
          <w:p w:rsidRPr="00EF5287" w:rsidR="00D87E44" w:rsidRDefault="00D87E44" w14:paraId="15458634"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 xml:space="preserve">Audit report with the unqualified audit opinion on the effectiveness of the RRF internal control system to prevent, detect and correct </w:t>
            </w:r>
            <w:r w:rsidRPr="00EF5287">
              <w:rPr>
                <w:rFonts w:eastAsia="Times New Roman"/>
                <w:noProof/>
                <w:color w:val="006100"/>
                <w:sz w:val="18"/>
                <w:szCs w:val="18"/>
                <w:lang w:val="en-IE"/>
              </w:rPr>
              <w:lastRenderedPageBreak/>
              <w:t>situations of conflict of interests</w:t>
            </w:r>
          </w:p>
        </w:tc>
        <w:tc>
          <w:tcPr>
            <w:tcW w:w="1077" w:type="dxa"/>
            <w:shd w:val="clear" w:color="auto" w:fill="C6EFCE"/>
          </w:tcPr>
          <w:p w:rsidRPr="00EF5287" w:rsidR="00D87E44" w:rsidRDefault="00D87E44" w14:paraId="15458635"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36"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F5287" w:rsidR="00D87E44" w:rsidRDefault="00D87E44" w14:paraId="15458637"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EF5287" w:rsidR="00D87E44" w:rsidRDefault="00D87E44" w14:paraId="15458638"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Q2</w:t>
            </w:r>
          </w:p>
        </w:tc>
        <w:tc>
          <w:tcPr>
            <w:tcW w:w="891" w:type="dxa"/>
            <w:shd w:val="clear" w:color="auto" w:fill="C6EFCE"/>
          </w:tcPr>
          <w:p w:rsidRPr="00EF5287" w:rsidR="00D87E44" w:rsidRDefault="00D87E44" w14:paraId="15458639" w14:textId="77777777">
            <w:pPr>
              <w:spacing w:before="0" w:after="0" w:line="240" w:lineRule="auto"/>
              <w:rPr>
                <w:rFonts w:eastAsia="Times New Roman"/>
                <w:noProof/>
                <w:color w:val="006100"/>
                <w:sz w:val="18"/>
                <w:szCs w:val="18"/>
                <w:lang w:val="en-IE"/>
              </w:rPr>
            </w:pPr>
            <w:r w:rsidRPr="00EF5287">
              <w:rPr>
                <w:rFonts w:eastAsia="Times New Roman"/>
                <w:noProof/>
                <w:color w:val="006100"/>
                <w:sz w:val="18"/>
                <w:szCs w:val="18"/>
                <w:lang w:val="en-IE"/>
              </w:rPr>
              <w:t>2022</w:t>
            </w:r>
          </w:p>
        </w:tc>
        <w:tc>
          <w:tcPr>
            <w:tcW w:w="4745" w:type="dxa"/>
            <w:shd w:val="clear" w:color="auto" w:fill="C6EFCE"/>
          </w:tcPr>
          <w:p w:rsidRPr="00FE48E2" w:rsidR="00D87E44" w:rsidRDefault="00D87E44" w14:paraId="1545863A" w14:textId="77777777">
            <w:pPr>
              <w:spacing w:before="0" w:after="0" w:line="240" w:lineRule="auto"/>
              <w:rPr>
                <w:rFonts w:eastAsia="Times New Roman"/>
                <w:noProof/>
                <w:color w:val="004300"/>
                <w:sz w:val="18"/>
                <w:szCs w:val="18"/>
                <w:lang w:val="en-IE"/>
              </w:rPr>
            </w:pPr>
            <w:r w:rsidRPr="00EF5287">
              <w:rPr>
                <w:rFonts w:eastAsia="Times New Roman"/>
                <w:noProof/>
                <w:color w:val="006100"/>
                <w:sz w:val="18"/>
                <w:szCs w:val="18"/>
                <w:lang w:val="en-IE"/>
              </w:rPr>
              <w:t>The</w:t>
            </w:r>
            <w:r w:rsidRPr="00FE48E2">
              <w:rPr>
                <w:rFonts w:eastAsia="Times New Roman"/>
                <w:noProof/>
                <w:color w:val="004300"/>
                <w:sz w:val="18"/>
                <w:szCs w:val="18"/>
                <w:lang w:val="en-IE"/>
              </w:rPr>
              <w:t xml:space="preserve"> RRF internal control system to avoid conflict of interests shall be effective and shall ensure, in particular, that: </w:t>
            </w:r>
          </w:p>
          <w:p w:rsidRPr="00FE48E2" w:rsidR="00D87E44" w:rsidRDefault="00D87E44" w14:paraId="1545863B"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 collection, storage and processing data in relation to all final recipients, including all beneficial owners as established by Article 3, point 6 of the Directive (EU) 2015/849; </w:t>
            </w:r>
          </w:p>
          <w:p w:rsidRPr="00FE48E2" w:rsidR="00D87E44" w:rsidRDefault="00D87E44" w14:paraId="1545863C" w14:textId="77777777">
            <w:pPr>
              <w:spacing w:line="240" w:lineRule="auto"/>
              <w:rPr>
                <w:rFonts w:eastAsia="Times New Roman"/>
                <w:noProof/>
                <w:color w:val="004300"/>
                <w:sz w:val="18"/>
                <w:szCs w:val="18"/>
                <w:lang w:val="en-IE"/>
              </w:rPr>
            </w:pPr>
            <w:r w:rsidRPr="00FE48E2">
              <w:rPr>
                <w:rFonts w:eastAsia="Times New Roman"/>
                <w:noProof/>
                <w:color w:val="004300"/>
                <w:sz w:val="18"/>
                <w:szCs w:val="18"/>
                <w:lang w:val="en-IE"/>
              </w:rPr>
              <w:lastRenderedPageBreak/>
              <w:t xml:space="preserve">(b) internal control system to prevent, detect and correct conflict-of-interest situations is in accordance with Article 61 of the Financial Regulation; and </w:t>
            </w:r>
          </w:p>
          <w:p w:rsidRPr="00FE48E2" w:rsidR="00D87E44" w:rsidRDefault="00D87E44" w14:paraId="1545863D" w14:textId="77777777">
            <w:pPr>
              <w:spacing w:line="240" w:lineRule="auto"/>
              <w:rPr>
                <w:rFonts w:eastAsia="Times New Roman"/>
                <w:noProof/>
                <w:color w:val="004300"/>
                <w:sz w:val="18"/>
                <w:szCs w:val="18"/>
                <w:highlight w:val="yellow"/>
                <w:lang w:val="en-IE"/>
              </w:rPr>
            </w:pPr>
            <w:r w:rsidRPr="00FE48E2">
              <w:rPr>
                <w:rFonts w:eastAsia="Times New Roman"/>
                <w:noProof/>
                <w:color w:val="004300"/>
                <w:sz w:val="18"/>
                <w:szCs w:val="18"/>
                <w:lang w:val="en-IE"/>
              </w:rPr>
              <w:t>(c) national control procedures to avoid conflict-of-interest situations for all beneficial owners are effective.</w:t>
            </w:r>
          </w:p>
        </w:tc>
      </w:tr>
    </w:tbl>
    <w:p w:rsidRPr="00FE48E2" w:rsidR="00D87E44" w:rsidP="00D226F4" w:rsidRDefault="00D87E44" w14:paraId="1545863F" w14:textId="77777777">
      <w:pPr>
        <w:pBdr>
          <w:top w:val="nil"/>
          <w:left w:val="nil"/>
          <w:bottom w:val="nil"/>
          <w:right w:val="nil"/>
          <w:between w:val="nil"/>
        </w:pBdr>
        <w:spacing w:line="240" w:lineRule="auto"/>
        <w:jc w:val="both"/>
        <w:rPr>
          <w:rFonts w:eastAsia="Times New Roman"/>
          <w:noProof/>
          <w:color w:val="000000"/>
          <w:szCs w:val="24"/>
          <w:highlight w:val="yellow"/>
          <w:lang w:val="en-IE" w:eastAsia="cs-CZ"/>
        </w:rPr>
        <w:sectPr w:rsidRPr="00FE48E2" w:rsidR="00C16C1F" w:rsidSect="00D226F4">
          <w:headerReference w:type="even" r:id="Rde08ee0cf8a14438"/>
          <w:headerReference w:type="default" r:id="R61eee3d36cd14cd9"/>
          <w:footerReference w:type="even" r:id="R0bfb9268277f43ef"/>
          <w:footerReference w:type="default" r:id="R9eb9ff7e6a2143db"/>
          <w:headerReference w:type="first" r:id="R2eb4bff1cfde4e72"/>
          <w:footerReference w:type="first" r:id="R82f0a78fc0634b8a"/>
          <w:pgSz w:w="16839" w:h="11907" w:orient="landscape"/>
          <w:pgMar w:top="1134" w:right="1134" w:bottom="1134" w:left="1134" w:header="567" w:footer="567" w:gutter="0"/>
          <w:cols w:space="708"/>
          <w:docGrid w:linePitch="326"/>
        </w:sectPr>
      </w:pPr>
    </w:p>
    <w:p w:rsidRPr="00FE48E2" w:rsidR="00D87E44" w:rsidP="00D226F4" w:rsidRDefault="00D87E44" w14:paraId="15458640" w14:textId="77777777">
      <w:pPr>
        <w:keepNext/>
        <w:tabs>
          <w:tab w:val="left" w:pos="850"/>
        </w:tabs>
        <w:spacing w:line="240" w:lineRule="auto"/>
        <w:ind w:left="850" w:hanging="850"/>
        <w:jc w:val="both"/>
        <w:outlineLvl w:val="0"/>
        <w:rPr>
          <w:b/>
          <w:bCs/>
          <w:smallCaps/>
          <w:noProof/>
          <w:lang w:val="en-IE"/>
        </w:rPr>
      </w:pPr>
      <w:r w:rsidRPr="1B282876">
        <w:rPr>
          <w:b/>
          <w:bCs/>
          <w:smallCaps/>
          <w:noProof/>
          <w:lang w:val="en-IE"/>
        </w:rPr>
        <w:lastRenderedPageBreak/>
        <w:t>X. COMPONENT 4.4</w:t>
      </w:r>
      <w:r w:rsidRPr="1B282876">
        <w:rPr>
          <w:noProof/>
          <w:lang w:val="en-IE"/>
        </w:rPr>
        <w:t xml:space="preserve">: </w:t>
      </w:r>
      <w:r w:rsidRPr="1B282876">
        <w:rPr>
          <w:b/>
          <w:bCs/>
          <w:smallCaps/>
          <w:noProof/>
          <w:lang w:val="en-IE"/>
        </w:rPr>
        <w:t>Enhancing the Efficiency of Public Administration</w:t>
      </w:r>
    </w:p>
    <w:p w:rsidRPr="00FE48E2" w:rsidR="00D87E44" w:rsidP="00D226F4" w:rsidRDefault="00D87E44" w14:paraId="15458641" w14:textId="77777777">
      <w:pPr>
        <w:spacing w:line="240" w:lineRule="auto"/>
        <w:jc w:val="both"/>
        <w:rPr>
          <w:noProof/>
          <w:lang w:val="en-IE"/>
        </w:rPr>
      </w:pPr>
      <w:r w:rsidRPr="00FE48E2">
        <w:rPr>
          <w:noProof/>
          <w:lang w:val="en-IE"/>
        </w:rPr>
        <w:t xml:space="preserve">This component of the Czech recovery and resilience plan addresses the challenge of strengthening the application of the evidence-based approach to public policymaking, while enhancing the coordination between different levels (central and regional) of the public administration. It aims to address the lack of </w:t>
      </w:r>
      <w:r w:rsidRPr="00FE48E2">
        <w:rPr>
          <w:rFonts w:eastAsia="Times New Roman"/>
          <w:noProof/>
          <w:lang w:val="en-IE"/>
        </w:rPr>
        <w:t>sufficient analytical capacities in the</w:t>
      </w:r>
      <w:r w:rsidRPr="00FE48E2">
        <w:rPr>
          <w:noProof/>
          <w:lang w:val="en-IE"/>
        </w:rPr>
        <w:t xml:space="preserve"> public administration in Czechia. </w:t>
      </w:r>
    </w:p>
    <w:p w:rsidRPr="00FE48E2" w:rsidR="00D87E44" w:rsidP="00D226F4" w:rsidRDefault="00D87E44" w14:paraId="15458642" w14:textId="77777777">
      <w:pPr>
        <w:spacing w:line="240" w:lineRule="auto"/>
        <w:jc w:val="both"/>
        <w:rPr>
          <w:rFonts w:eastAsia="Times New Roman"/>
          <w:noProof/>
          <w:color w:val="000000"/>
          <w:lang w:val="en-IE"/>
        </w:rPr>
      </w:pPr>
      <w:r w:rsidRPr="00FE48E2">
        <w:rPr>
          <w:rFonts w:eastAsia="Times New Roman"/>
          <w:noProof/>
          <w:lang w:val="en-IE"/>
        </w:rPr>
        <w:t xml:space="preserve">The component supports addressing the Country Specific Recommendation, according to which Czechia shall aim at </w:t>
      </w:r>
      <w:r w:rsidRPr="00FE48E2">
        <w:rPr>
          <w:rFonts w:eastAsia="Times New Roman"/>
          <w:noProof/>
          <w:color w:val="000000"/>
          <w:lang w:val="en-IE"/>
        </w:rPr>
        <w:t xml:space="preserve">reducing the administrative burden and improving e-government (Country Specific Recommendation 3 2019). </w:t>
      </w:r>
    </w:p>
    <w:p w:rsidRPr="007747A1" w:rsidR="00D87E44" w:rsidP="00D226F4" w:rsidRDefault="00D87E44" w14:paraId="15458643"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8644" w14:textId="77777777">
      <w:pPr>
        <w:spacing w:line="240" w:lineRule="auto"/>
        <w:jc w:val="both"/>
        <w:rPr>
          <w:rFonts w:eastAsia="Times New Roman"/>
          <w:noProof/>
          <w:lang w:val="en-IE"/>
        </w:rPr>
      </w:pPr>
    </w:p>
    <w:p w:rsidRPr="00FE48E2" w:rsidR="00D87E44" w:rsidP="00D226F4" w:rsidRDefault="00D87E44" w14:paraId="15458645" w14:textId="77777777">
      <w:pPr>
        <w:spacing w:line="240" w:lineRule="auto"/>
        <w:jc w:val="both"/>
        <w:rPr>
          <w:b/>
          <w:bCs/>
          <w:i/>
          <w:iCs/>
          <w:noProof/>
          <w:lang w:val="en-IE"/>
        </w:rPr>
      </w:pPr>
      <w:r w:rsidRPr="1B282876">
        <w:rPr>
          <w:b/>
          <w:bCs/>
          <w:noProof/>
          <w:u w:val="single"/>
          <w:lang w:val="en-IE"/>
        </w:rPr>
        <w:t>X.1. Description of the reforms and investments for non-repayable financial support</w:t>
      </w:r>
    </w:p>
    <w:p w:rsidRPr="00FE48E2" w:rsidR="00D87E44" w:rsidP="00D226F4" w:rsidRDefault="00D87E44" w14:paraId="15458646" w14:textId="77777777">
      <w:pPr>
        <w:pBdr>
          <w:top w:val="nil"/>
          <w:left w:val="nil"/>
          <w:bottom w:val="nil"/>
          <w:right w:val="nil"/>
          <w:between w:val="nil"/>
        </w:pBdr>
        <w:spacing w:line="240" w:lineRule="auto"/>
        <w:jc w:val="both"/>
        <w:rPr>
          <w:b/>
          <w:noProof/>
          <w:lang w:val="en-IE"/>
        </w:rPr>
      </w:pPr>
      <w:bookmarkStart w:name="_Hlk138078734" w:id="15"/>
      <w:r w:rsidRPr="00FE48E2">
        <w:rPr>
          <w:b/>
          <w:noProof/>
          <w:lang w:val="en-IE"/>
        </w:rPr>
        <w:t>Reform 1: Increase efficiency, pro-client orientation and the use of the principles of evidence-based decision-making in public administration</w:t>
      </w:r>
      <w:r w:rsidRPr="00FE48E2">
        <w:rPr>
          <w:noProof/>
          <w:lang w:val="en-IE"/>
        </w:rPr>
        <w:t>.</w:t>
      </w:r>
      <w:r w:rsidRPr="00FE48E2">
        <w:rPr>
          <w:b/>
          <w:noProof/>
          <w:lang w:val="en-IE"/>
        </w:rPr>
        <w:t xml:space="preserve"> </w:t>
      </w:r>
    </w:p>
    <w:p w:rsidRPr="00FE48E2" w:rsidR="00D87E44" w:rsidP="00D226F4" w:rsidRDefault="00D87E44" w14:paraId="15458647" w14:textId="77777777">
      <w:pPr>
        <w:spacing w:line="240" w:lineRule="auto"/>
        <w:jc w:val="both"/>
        <w:rPr>
          <w:noProof/>
          <w:lang w:val="en-IE"/>
        </w:rPr>
        <w:sectPr w:rsidRPr="00FE48E2" w:rsidR="00C16C1F" w:rsidSect="00D226F4">
          <w:headerReference w:type="even" r:id="Ra1a0f97b26b147c5"/>
          <w:headerReference w:type="default" r:id="R88470d9bb59e4cd2"/>
          <w:footerReference w:type="even" r:id="Rc22687706f714dbc"/>
          <w:footerReference w:type="default" r:id="Rc37e9544fc174449"/>
          <w:headerReference w:type="first" r:id="Rc8ab6a10dcf54ddb"/>
          <w:footerReference w:type="first" r:id="R06a3b48e89a54266"/>
          <w:pgSz w:w="11907" w:h="16839"/>
          <w:pgMar w:top="1134" w:right="1134" w:bottom="1134" w:left="1134" w:header="567" w:footer="567" w:gutter="0"/>
          <w:cols w:space="720"/>
          <w:docGrid w:linePitch="326"/>
        </w:sectPr>
      </w:pPr>
      <w:r w:rsidRPr="00FF1320">
        <w:t xml:space="preserve">The </w:t>
      </w:r>
      <w:r w:rsidRPr="008115FE">
        <w:rPr>
          <w:noProof/>
        </w:rPr>
        <w:t xml:space="preserve">objective of the </w:t>
      </w:r>
      <w:r w:rsidRPr="00FF1320">
        <w:t xml:space="preserve">measure is to increase efficiency, pro-client orientation and use of the principles of evidence-based decision-making in the public administration. </w:t>
      </w:r>
      <w:r w:rsidRPr="008115FE">
        <w:rPr>
          <w:noProof/>
        </w:rPr>
        <w:t>The measure consists of action</w:t>
      </w:r>
      <w:r>
        <w:rPr>
          <w:noProof/>
        </w:rPr>
        <w:t>s</w:t>
      </w:r>
      <w:r w:rsidRPr="008115FE">
        <w:rPr>
          <w:noProof/>
        </w:rPr>
        <w:t xml:space="preserve"> </w:t>
      </w:r>
      <w:r>
        <w:rPr>
          <w:noProof/>
        </w:rPr>
        <w:t>on</w:t>
      </w:r>
      <w:r w:rsidRPr="008115FE">
        <w:rPr>
          <w:noProof/>
        </w:rPr>
        <w:t xml:space="preserve"> human resources management and process automation in public administration.</w:t>
      </w:r>
      <w:bookmarkEnd w:id="15"/>
    </w:p>
    <w:p w:rsidRPr="00FE48E2" w:rsidR="00D87E44" w:rsidP="00D226F4" w:rsidRDefault="00D87E44" w14:paraId="15458648" w14:textId="77777777">
      <w:pPr>
        <w:spacing w:line="240" w:lineRule="auto"/>
        <w:jc w:val="both"/>
        <w:rPr>
          <w:b/>
          <w:bCs/>
          <w:noProof/>
          <w:u w:val="single"/>
          <w:lang w:val="en-IE"/>
        </w:rPr>
      </w:pPr>
      <w:r w:rsidRPr="1B282876">
        <w:rPr>
          <w:b/>
          <w:bCs/>
          <w:noProof/>
          <w:u w:val="single"/>
          <w:lang w:val="en-IE"/>
        </w:rPr>
        <w:lastRenderedPageBreak/>
        <w:t>X.2. Milestones, targets, indicators, and timetable for monitoring and implementation for non-repayable financial support</w:t>
      </w:r>
    </w:p>
    <w:tbl>
      <w:tblPr>
        <w:tblW w:w="147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26"/>
        <w:gridCol w:w="1264"/>
        <w:gridCol w:w="1074"/>
        <w:gridCol w:w="1339"/>
        <w:gridCol w:w="1339"/>
        <w:gridCol w:w="1021"/>
        <w:gridCol w:w="1021"/>
        <w:gridCol w:w="678"/>
        <w:gridCol w:w="964"/>
        <w:gridCol w:w="707"/>
        <w:gridCol w:w="4578"/>
      </w:tblGrid>
      <w:tr w:rsidRPr="00FE48E2" w:rsidR="00E3458A" w:rsidTr="001A4D46" w14:paraId="15458651" w14:textId="77777777">
        <w:trPr>
          <w:trHeight w:val="75"/>
          <w:tblHeader/>
        </w:trPr>
        <w:tc>
          <w:tcPr>
            <w:tcW w:w="726" w:type="dxa"/>
            <w:vMerge w:val="restart"/>
            <w:shd w:val="clear" w:color="auto" w:fill="BDD7EE"/>
            <w:vAlign w:val="center"/>
          </w:tcPr>
          <w:p w:rsidRPr="00FE48E2" w:rsidR="00D87E44" w:rsidRDefault="00D87E44" w14:paraId="15458649"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264" w:type="dxa"/>
            <w:vMerge w:val="restart"/>
            <w:shd w:val="clear" w:color="auto" w:fill="BDD7EE"/>
            <w:vAlign w:val="center"/>
          </w:tcPr>
          <w:p w:rsidRPr="00FE48E2" w:rsidR="00D87E44" w:rsidRDefault="00D87E44" w14:paraId="1545864A"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1074" w:type="dxa"/>
            <w:vMerge w:val="restart"/>
            <w:shd w:val="clear" w:color="auto" w:fill="BDD7EE"/>
            <w:vAlign w:val="center"/>
          </w:tcPr>
          <w:p w:rsidRPr="00FE48E2" w:rsidR="00D87E44" w:rsidRDefault="00D87E44" w14:paraId="1545864B"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339" w:type="dxa"/>
            <w:vMerge w:val="restart"/>
            <w:shd w:val="clear" w:color="auto" w:fill="BDD7EE"/>
            <w:vAlign w:val="center"/>
          </w:tcPr>
          <w:p w:rsidRPr="00FE48E2" w:rsidR="00D87E44" w:rsidRDefault="00D87E44" w14:paraId="1545864C"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Name </w:t>
            </w:r>
          </w:p>
        </w:tc>
        <w:tc>
          <w:tcPr>
            <w:tcW w:w="1339" w:type="dxa"/>
            <w:vMerge w:val="restart"/>
            <w:shd w:val="clear" w:color="auto" w:fill="BDD7EE"/>
            <w:vAlign w:val="center"/>
          </w:tcPr>
          <w:p w:rsidRPr="00FE48E2" w:rsidR="00D87E44" w:rsidRDefault="00D87E44" w14:paraId="1545864D"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ascii="Calibri" w:hAnsi="Calibri"/>
                <w:noProof/>
                <w:sz w:val="18"/>
                <w:szCs w:val="18"/>
                <w:lang w:val="en-IE"/>
              </w:rPr>
              <w:br/>
            </w:r>
            <w:r w:rsidRPr="00FE48E2">
              <w:rPr>
                <w:rFonts w:eastAsia="Times New Roman"/>
                <w:b/>
                <w:noProof/>
                <w:sz w:val="18"/>
                <w:szCs w:val="18"/>
                <w:lang w:val="en-IE"/>
              </w:rPr>
              <w:t xml:space="preserve"> (for milestones) </w:t>
            </w:r>
          </w:p>
        </w:tc>
        <w:tc>
          <w:tcPr>
            <w:tcW w:w="2720" w:type="dxa"/>
            <w:gridSpan w:val="3"/>
            <w:shd w:val="clear" w:color="auto" w:fill="BDD7EE"/>
            <w:vAlign w:val="center"/>
          </w:tcPr>
          <w:p w:rsidRPr="00FE48E2" w:rsidR="00D87E44" w:rsidRDefault="00D87E44" w14:paraId="1545864E"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ascii="Calibri" w:hAnsi="Calibri"/>
                <w:noProof/>
                <w:sz w:val="18"/>
                <w:szCs w:val="18"/>
                <w:lang w:val="en-IE"/>
              </w:rPr>
              <w:br/>
            </w:r>
            <w:r w:rsidRPr="00FE48E2">
              <w:rPr>
                <w:rFonts w:eastAsia="Times New Roman"/>
                <w:b/>
                <w:noProof/>
                <w:sz w:val="18"/>
                <w:szCs w:val="18"/>
                <w:lang w:val="en-IE"/>
              </w:rPr>
              <w:t xml:space="preserve"> (for targets)</w:t>
            </w:r>
          </w:p>
        </w:tc>
        <w:tc>
          <w:tcPr>
            <w:tcW w:w="1671" w:type="dxa"/>
            <w:gridSpan w:val="2"/>
            <w:shd w:val="clear" w:color="auto" w:fill="BDD7EE"/>
            <w:vAlign w:val="center"/>
          </w:tcPr>
          <w:p w:rsidRPr="00FE48E2" w:rsidR="00D87E44" w:rsidRDefault="00D87E44" w14:paraId="1545864F"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578" w:type="dxa"/>
            <w:vMerge w:val="restart"/>
            <w:shd w:val="clear" w:color="auto" w:fill="BDD7EE"/>
            <w:vAlign w:val="center"/>
          </w:tcPr>
          <w:p w:rsidRPr="00FE48E2" w:rsidR="00D87E44" w:rsidRDefault="00D87E44" w14:paraId="1545865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Description and clear definition of each milestone and target </w:t>
            </w:r>
          </w:p>
        </w:tc>
      </w:tr>
      <w:tr w:rsidRPr="00FE48E2" w:rsidR="00E3458A" w:rsidTr="001A4D46" w14:paraId="1545865D" w14:textId="77777777">
        <w:trPr>
          <w:trHeight w:val="75"/>
          <w:tblHeader/>
        </w:trPr>
        <w:tc>
          <w:tcPr>
            <w:tcW w:w="726" w:type="dxa"/>
            <w:vMerge/>
            <w:vAlign w:val="center"/>
          </w:tcPr>
          <w:p w:rsidRPr="00FE48E2" w:rsidR="00D87E44" w:rsidRDefault="00D87E44" w14:paraId="15458652"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4" w:type="dxa"/>
            <w:vMerge/>
            <w:vAlign w:val="center"/>
          </w:tcPr>
          <w:p w:rsidRPr="00FE48E2" w:rsidR="00D87E44" w:rsidRDefault="00D87E44" w14:paraId="15458653"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74" w:type="dxa"/>
            <w:vMerge/>
            <w:vAlign w:val="center"/>
          </w:tcPr>
          <w:p w:rsidRPr="00FE48E2" w:rsidR="00D87E44" w:rsidRDefault="00D87E44" w14:paraId="15458654"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9" w:type="dxa"/>
            <w:vMerge/>
            <w:vAlign w:val="center"/>
          </w:tcPr>
          <w:p w:rsidRPr="00FE48E2" w:rsidR="00D87E44" w:rsidRDefault="00D87E44" w14:paraId="15458655"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9" w:type="dxa"/>
            <w:vMerge/>
            <w:vAlign w:val="center"/>
          </w:tcPr>
          <w:p w:rsidRPr="00FE48E2" w:rsidR="00D87E44" w:rsidRDefault="00D87E44" w14:paraId="15458656"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21" w:type="dxa"/>
            <w:shd w:val="clear" w:color="auto" w:fill="BDD7EE"/>
            <w:vAlign w:val="center"/>
          </w:tcPr>
          <w:p w:rsidRPr="00290CF7" w:rsidR="00D87E44" w:rsidRDefault="00D87E44" w14:paraId="15458657"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Unit of measure</w:t>
            </w:r>
          </w:p>
        </w:tc>
        <w:tc>
          <w:tcPr>
            <w:tcW w:w="1021" w:type="dxa"/>
            <w:shd w:val="clear" w:color="auto" w:fill="BDD7EE"/>
            <w:vAlign w:val="center"/>
          </w:tcPr>
          <w:p w:rsidRPr="00290CF7" w:rsidR="00D87E44" w:rsidRDefault="00D87E44" w14:paraId="15458658"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Baseline</w:t>
            </w:r>
          </w:p>
        </w:tc>
        <w:tc>
          <w:tcPr>
            <w:tcW w:w="678" w:type="dxa"/>
            <w:shd w:val="clear" w:color="auto" w:fill="BDD7EE"/>
            <w:vAlign w:val="center"/>
          </w:tcPr>
          <w:p w:rsidRPr="00290CF7" w:rsidR="00D87E44" w:rsidRDefault="00D87E44" w14:paraId="15458659"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Goal</w:t>
            </w:r>
          </w:p>
        </w:tc>
        <w:tc>
          <w:tcPr>
            <w:tcW w:w="964" w:type="dxa"/>
            <w:shd w:val="clear" w:color="auto" w:fill="BDD7EE"/>
            <w:vAlign w:val="center"/>
          </w:tcPr>
          <w:p w:rsidRPr="00290CF7" w:rsidR="00D87E44" w:rsidRDefault="00D87E44" w14:paraId="1545865A"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Quarter</w:t>
            </w:r>
          </w:p>
        </w:tc>
        <w:tc>
          <w:tcPr>
            <w:tcW w:w="611" w:type="dxa"/>
            <w:shd w:val="clear" w:color="auto" w:fill="BDD7EE"/>
            <w:vAlign w:val="center"/>
          </w:tcPr>
          <w:p w:rsidRPr="00290CF7" w:rsidR="00D87E44" w:rsidRDefault="00D87E44" w14:paraId="1545865B"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Year</w:t>
            </w:r>
          </w:p>
        </w:tc>
        <w:tc>
          <w:tcPr>
            <w:tcW w:w="4578" w:type="dxa"/>
            <w:vMerge/>
            <w:vAlign w:val="center"/>
          </w:tcPr>
          <w:p w:rsidRPr="00FE48E2" w:rsidR="00D87E44" w:rsidRDefault="00D87E44" w14:paraId="1545865C" w14:textId="77777777">
            <w:pPr>
              <w:widowControl w:val="0"/>
              <w:pBdr>
                <w:top w:val="nil"/>
                <w:left w:val="nil"/>
                <w:bottom w:val="nil"/>
                <w:right w:val="nil"/>
                <w:between w:val="nil"/>
              </w:pBdr>
              <w:spacing w:before="0" w:after="0" w:line="276" w:lineRule="auto"/>
              <w:rPr>
                <w:rFonts w:eastAsia="Times New Roman"/>
                <w:noProof/>
                <w:sz w:val="18"/>
                <w:szCs w:val="18"/>
                <w:lang w:val="en-IE"/>
              </w:rPr>
            </w:pPr>
          </w:p>
        </w:tc>
      </w:tr>
      <w:tr w:rsidRPr="00FE48E2" w:rsidR="00E3458A" w:rsidTr="001A4D46" w14:paraId="15458671" w14:textId="77777777">
        <w:trPr>
          <w:trHeight w:val="1171"/>
        </w:trPr>
        <w:tc>
          <w:tcPr>
            <w:tcW w:w="726" w:type="dxa"/>
            <w:shd w:val="clear" w:color="auto" w:fill="C6EFCE"/>
          </w:tcPr>
          <w:p w:rsidRPr="00BD790C" w:rsidR="00D87E44" w:rsidRDefault="00D87E44" w14:paraId="1545865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215</w:t>
            </w:r>
          </w:p>
        </w:tc>
        <w:tc>
          <w:tcPr>
            <w:tcW w:w="1264" w:type="dxa"/>
            <w:shd w:val="clear" w:color="auto" w:fill="C6EFCE"/>
          </w:tcPr>
          <w:p w:rsidRPr="00FE48E2" w:rsidR="00D87E44" w:rsidRDefault="00D87E44" w14:paraId="1545865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Increase efficiency, pro-client orientation and use of the principles of evidence-based decision-making in public administration</w:t>
            </w:r>
          </w:p>
        </w:tc>
        <w:tc>
          <w:tcPr>
            <w:tcW w:w="1074" w:type="dxa"/>
            <w:shd w:val="clear" w:color="auto" w:fill="C6EFCE"/>
          </w:tcPr>
          <w:p w:rsidRPr="00FE48E2" w:rsidR="00D87E44" w:rsidRDefault="00D87E44" w14:paraId="1545866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339" w:type="dxa"/>
            <w:shd w:val="clear" w:color="auto" w:fill="C6EFCE"/>
          </w:tcPr>
          <w:p w:rsidRPr="00FE48E2" w:rsidR="00D87E44" w:rsidRDefault="00D87E44" w14:paraId="15458661" w14:textId="77777777">
            <w:pPr>
              <w:pBdr>
                <w:top w:val="nil"/>
                <w:left w:val="nil"/>
                <w:bottom w:val="nil"/>
                <w:right w:val="nil"/>
                <w:between w:val="nil"/>
              </w:pBdr>
              <w:spacing w:before="0" w:after="0" w:line="240" w:lineRule="auto"/>
              <w:rPr>
                <w:rFonts w:eastAsia="Times New Roman"/>
                <w:noProof/>
                <w:color w:val="006100"/>
                <w:sz w:val="18"/>
                <w:szCs w:val="18"/>
                <w:lang w:val="en-IE"/>
              </w:rPr>
            </w:pPr>
            <w:r>
              <w:rPr>
                <w:rFonts w:eastAsia="Times New Roman"/>
                <w:noProof/>
                <w:color w:val="006100"/>
                <w:sz w:val="18"/>
                <w:szCs w:val="18"/>
                <w:lang w:val="en-IE"/>
              </w:rPr>
              <w:t>A</w:t>
            </w:r>
            <w:r w:rsidRPr="00FE48E2">
              <w:rPr>
                <w:rFonts w:eastAsia="Times New Roman"/>
                <w:noProof/>
                <w:color w:val="006100"/>
                <w:sz w:val="18"/>
                <w:szCs w:val="18"/>
                <w:lang w:val="en-IE"/>
              </w:rPr>
              <w:t>ctions</w:t>
            </w:r>
            <w:r>
              <w:rPr>
                <w:rFonts w:eastAsia="Times New Roman"/>
                <w:noProof/>
                <w:color w:val="006100"/>
                <w:sz w:val="18"/>
                <w:szCs w:val="18"/>
                <w:lang w:val="en-IE"/>
              </w:rPr>
              <w:t xml:space="preserve"> for</w:t>
            </w:r>
            <w:r w:rsidRPr="00FE48E2">
              <w:rPr>
                <w:rFonts w:eastAsia="Times New Roman"/>
                <w:noProof/>
                <w:color w:val="006100"/>
                <w:sz w:val="18"/>
                <w:szCs w:val="18"/>
                <w:lang w:val="en-IE"/>
              </w:rPr>
              <w:t xml:space="preserve"> evidence-informed decision making </w:t>
            </w:r>
          </w:p>
        </w:tc>
        <w:tc>
          <w:tcPr>
            <w:tcW w:w="1339" w:type="dxa"/>
            <w:shd w:val="clear" w:color="auto" w:fill="C6EFCE"/>
          </w:tcPr>
          <w:p w:rsidRPr="00FE48E2" w:rsidR="00D87E44" w:rsidRDefault="00D87E44" w14:paraId="15458662" w14:textId="77777777">
            <w:pPr>
              <w:pBdr>
                <w:top w:val="nil"/>
                <w:left w:val="nil"/>
                <w:bottom w:val="nil"/>
                <w:right w:val="nil"/>
                <w:between w:val="nil"/>
              </w:pBdr>
              <w:spacing w:before="0" w:after="0" w:line="240" w:lineRule="auto"/>
              <w:rPr>
                <w:rFonts w:eastAsia="Times New Roman"/>
                <w:noProof/>
                <w:color w:val="006100"/>
                <w:sz w:val="18"/>
                <w:szCs w:val="18"/>
                <w:lang w:val="en-IE"/>
              </w:rPr>
            </w:pPr>
            <w:r w:rsidRPr="5FC2C4CA">
              <w:rPr>
                <w:rFonts w:eastAsia="Times New Roman"/>
                <w:noProof/>
                <w:color w:val="006100"/>
                <w:sz w:val="18"/>
                <w:szCs w:val="18"/>
                <w:lang w:val="en-IE"/>
              </w:rPr>
              <w:t xml:space="preserve"> </w:t>
            </w:r>
          </w:p>
        </w:tc>
        <w:tc>
          <w:tcPr>
            <w:tcW w:w="1021" w:type="dxa"/>
            <w:shd w:val="clear" w:color="auto" w:fill="C6EFCE"/>
          </w:tcPr>
          <w:p w:rsidRPr="00FE48E2" w:rsidR="00D87E44" w:rsidRDefault="00D87E44" w14:paraId="15458663" w14:textId="77777777">
            <w:pPr>
              <w:spacing w:before="0" w:after="0" w:line="240" w:lineRule="auto"/>
              <w:rPr>
                <w:rFonts w:eastAsia="Times New Roman"/>
                <w:noProof/>
                <w:color w:val="006100"/>
                <w:sz w:val="18"/>
                <w:szCs w:val="18"/>
                <w:lang w:val="en-IE"/>
              </w:rPr>
            </w:pPr>
            <w:r w:rsidRPr="5FC2C4CA">
              <w:rPr>
                <w:rFonts w:eastAsia="Times New Roman"/>
                <w:noProof/>
                <w:color w:val="006100"/>
                <w:sz w:val="18"/>
                <w:szCs w:val="18"/>
                <w:lang w:val="en-IE"/>
              </w:rPr>
              <w:t xml:space="preserve">Actions </w:t>
            </w:r>
          </w:p>
        </w:tc>
        <w:tc>
          <w:tcPr>
            <w:tcW w:w="1021" w:type="dxa"/>
            <w:shd w:val="clear" w:color="auto" w:fill="C6EFCE"/>
          </w:tcPr>
          <w:p w:rsidRPr="00FE48E2" w:rsidR="00D87E44" w:rsidRDefault="00D87E44" w14:paraId="1545866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0</w:t>
            </w:r>
          </w:p>
        </w:tc>
        <w:tc>
          <w:tcPr>
            <w:tcW w:w="678" w:type="dxa"/>
            <w:shd w:val="clear" w:color="auto" w:fill="C6EFCE"/>
          </w:tcPr>
          <w:p w:rsidRPr="00BD790C" w:rsidR="00D87E44" w:rsidRDefault="00D87E44" w14:paraId="15458665" w14:textId="77777777">
            <w:pPr>
              <w:spacing w:before="0" w:after="0" w:line="240" w:lineRule="auto"/>
              <w:rPr>
                <w:rFonts w:eastAsia="Times New Roman"/>
                <w:noProof/>
                <w:color w:val="006100"/>
                <w:sz w:val="18"/>
                <w:szCs w:val="18"/>
                <w:lang w:val="en-IE"/>
              </w:rPr>
            </w:pPr>
            <w:r w:rsidRPr="00021A79">
              <w:rPr>
                <w:rFonts w:eastAsia="Times New Roman"/>
                <w:noProof/>
                <w:color w:val="006100"/>
                <w:sz w:val="18"/>
                <w:szCs w:val="18"/>
                <w:lang w:val="en-IE"/>
              </w:rPr>
              <w:t>5</w:t>
            </w:r>
          </w:p>
        </w:tc>
        <w:tc>
          <w:tcPr>
            <w:tcW w:w="964" w:type="dxa"/>
            <w:shd w:val="clear" w:color="auto" w:fill="C6EFCE"/>
          </w:tcPr>
          <w:p w:rsidRPr="00021A79" w:rsidR="00D87E44" w:rsidRDefault="00D87E44" w14:paraId="15458666" w14:textId="77777777">
            <w:pPr>
              <w:spacing w:before="0" w:after="0" w:line="240" w:lineRule="auto"/>
              <w:rPr>
                <w:rFonts w:eastAsia="Times New Roman"/>
                <w:noProof/>
                <w:color w:val="006100"/>
                <w:sz w:val="18"/>
                <w:szCs w:val="18"/>
                <w:lang w:val="en-IE"/>
              </w:rPr>
            </w:pPr>
            <w:r w:rsidRPr="00021A79">
              <w:rPr>
                <w:rFonts w:eastAsia="Times New Roman"/>
                <w:noProof/>
                <w:color w:val="006100"/>
                <w:sz w:val="18"/>
                <w:szCs w:val="18"/>
                <w:lang w:val="en-IE"/>
              </w:rPr>
              <w:t>Q</w:t>
            </w:r>
            <w:r w:rsidRPr="00021A79" w:rsidDel="00516D21">
              <w:rPr>
                <w:rFonts w:eastAsia="Times New Roman"/>
                <w:noProof/>
                <w:color w:val="006100"/>
                <w:sz w:val="18"/>
                <w:szCs w:val="18"/>
                <w:lang w:val="en-IE"/>
              </w:rPr>
              <w:t>4</w:t>
            </w:r>
          </w:p>
        </w:tc>
        <w:tc>
          <w:tcPr>
            <w:tcW w:w="611" w:type="dxa"/>
            <w:shd w:val="clear" w:color="auto" w:fill="C6EFCE"/>
          </w:tcPr>
          <w:p w:rsidRPr="00021A79" w:rsidR="00D87E44" w:rsidRDefault="00D87E44" w14:paraId="15458667" w14:textId="77777777">
            <w:pPr>
              <w:spacing w:before="0" w:after="0" w:line="240" w:lineRule="auto"/>
              <w:rPr>
                <w:rFonts w:eastAsia="Times New Roman"/>
                <w:noProof/>
                <w:color w:val="006100"/>
                <w:sz w:val="18"/>
                <w:szCs w:val="18"/>
                <w:lang w:val="en-IE"/>
              </w:rPr>
            </w:pPr>
            <w:r w:rsidRPr="00021A79">
              <w:rPr>
                <w:rFonts w:eastAsia="Times New Roman"/>
                <w:noProof/>
                <w:color w:val="006100"/>
                <w:sz w:val="18"/>
                <w:szCs w:val="18"/>
                <w:lang w:val="en-IE"/>
              </w:rPr>
              <w:t>202</w:t>
            </w:r>
            <w:r w:rsidRPr="00021A79" w:rsidDel="00516D21">
              <w:rPr>
                <w:rFonts w:eastAsia="Times New Roman"/>
                <w:noProof/>
                <w:color w:val="006100"/>
                <w:sz w:val="18"/>
                <w:szCs w:val="18"/>
                <w:lang w:val="en-IE"/>
              </w:rPr>
              <w:t>5</w:t>
            </w:r>
          </w:p>
        </w:tc>
        <w:tc>
          <w:tcPr>
            <w:tcW w:w="4578" w:type="dxa"/>
            <w:shd w:val="clear" w:color="auto" w:fill="C6EFCE"/>
          </w:tcPr>
          <w:p w:rsidRPr="008A278D" w:rsidR="00D87E44" w:rsidRDefault="00D87E44" w14:paraId="15458668" w14:textId="77777777">
            <w:pPr>
              <w:pBdr>
                <w:top w:val="nil"/>
                <w:left w:val="nil"/>
                <w:bottom w:val="nil"/>
                <w:right w:val="nil"/>
                <w:between w:val="nil"/>
              </w:pBdr>
              <w:spacing w:before="0" w:after="0" w:line="240" w:lineRule="auto"/>
              <w:rPr>
                <w:rFonts w:eastAsia="Times New Roman"/>
                <w:noProof/>
                <w:color w:val="006100"/>
                <w:sz w:val="18"/>
                <w:szCs w:val="18"/>
                <w:lang w:val="en-IE"/>
              </w:rPr>
            </w:pPr>
            <w:r w:rsidRPr="008A278D">
              <w:rPr>
                <w:rFonts w:eastAsia="Times New Roman"/>
                <w:noProof/>
                <w:color w:val="006100"/>
                <w:sz w:val="18"/>
                <w:szCs w:val="18"/>
                <w:lang w:val="en-IE"/>
              </w:rPr>
              <w:t xml:space="preserve">The </w:t>
            </w:r>
            <w:r>
              <w:rPr>
                <w:rFonts w:eastAsia="Times New Roman"/>
                <w:noProof/>
                <w:color w:val="006100"/>
                <w:sz w:val="18"/>
                <w:szCs w:val="18"/>
                <w:lang w:val="en-IE"/>
              </w:rPr>
              <w:t xml:space="preserve">target consists of the </w:t>
            </w:r>
            <w:r>
              <w:rPr>
                <w:rFonts w:eastAsia="Times New Roman"/>
                <w:noProof/>
                <w:color w:val="006100"/>
                <w:sz w:val="18"/>
                <w:szCs w:val="18"/>
                <w:lang w:val="en-IE"/>
              </w:rPr>
              <w:t>following actions</w:t>
            </w:r>
            <w:r w:rsidRPr="008A278D">
              <w:rPr>
                <w:rFonts w:eastAsia="Times New Roman"/>
                <w:noProof/>
                <w:color w:val="006100"/>
                <w:sz w:val="18"/>
                <w:szCs w:val="18"/>
                <w:lang w:val="en-IE"/>
              </w:rPr>
              <w:t>:</w:t>
            </w:r>
          </w:p>
          <w:p w:rsidRPr="008A278D" w:rsidR="00D87E44" w:rsidRDefault="00D87E44" w14:paraId="15458669" w14:textId="77777777">
            <w:pPr>
              <w:pBdr>
                <w:top w:val="nil"/>
                <w:left w:val="nil"/>
                <w:bottom w:val="nil"/>
                <w:right w:val="nil"/>
                <w:between w:val="nil"/>
              </w:pBdr>
              <w:spacing w:line="240" w:lineRule="auto"/>
              <w:contextualSpacing/>
              <w:rPr>
                <w:rFonts w:eastAsia="Times New Roman"/>
                <w:noProof/>
                <w:color w:val="006100"/>
                <w:sz w:val="18"/>
                <w:szCs w:val="18"/>
                <w:lang w:val="en-IE"/>
              </w:rPr>
            </w:pPr>
            <w:r w:rsidRPr="008A278D">
              <w:rPr>
                <w:rFonts w:eastAsia="Times New Roman"/>
                <w:noProof/>
                <w:color w:val="006100"/>
                <w:sz w:val="18"/>
                <w:szCs w:val="18"/>
                <w:lang w:val="en-IE"/>
              </w:rPr>
              <w:t>1.</w:t>
            </w:r>
            <w:r>
              <w:rPr>
                <w:rFonts w:eastAsia="Times New Roman"/>
                <w:noProof/>
                <w:color w:val="006100"/>
                <w:sz w:val="18"/>
                <w:szCs w:val="18"/>
                <w:lang w:val="en-IE"/>
              </w:rPr>
              <w:t xml:space="preserve"> Acceptance of a</w:t>
            </w:r>
            <w:r w:rsidRPr="008A278D">
              <w:rPr>
                <w:rFonts w:eastAsia="Times New Roman"/>
                <w:noProof/>
                <w:color w:val="006100"/>
                <w:sz w:val="18"/>
                <w:szCs w:val="18"/>
                <w:lang w:val="en-IE"/>
              </w:rPr>
              <w:t xml:space="preserve"> data warehouse</w:t>
            </w:r>
            <w:r w:rsidRPr="31251400">
              <w:rPr>
                <w:rFonts w:eastAsia="Times New Roman"/>
                <w:noProof/>
                <w:color w:val="006100"/>
                <w:sz w:val="18"/>
                <w:szCs w:val="18"/>
                <w:lang w:val="en-IE"/>
              </w:rPr>
              <w:t>.</w:t>
            </w:r>
            <w:r w:rsidRPr="008A278D">
              <w:rPr>
                <w:rFonts w:eastAsia="Times New Roman"/>
                <w:noProof/>
                <w:color w:val="006100"/>
                <w:sz w:val="18"/>
                <w:szCs w:val="18"/>
                <w:lang w:val="en-IE"/>
              </w:rPr>
              <w:t xml:space="preserve"> </w:t>
            </w:r>
            <w:r>
              <w:rPr>
                <w:rFonts w:eastAsia="Times New Roman"/>
                <w:noProof/>
                <w:color w:val="006100"/>
                <w:sz w:val="18"/>
                <w:szCs w:val="18"/>
                <w:lang w:val="en-IE"/>
              </w:rPr>
              <w:t xml:space="preserve">It shall contain selected </w:t>
            </w:r>
            <w:r w:rsidRPr="008A278D">
              <w:rPr>
                <w:rFonts w:eastAsia="Times New Roman"/>
                <w:noProof/>
                <w:color w:val="006100"/>
                <w:sz w:val="18"/>
                <w:szCs w:val="18"/>
                <w:lang w:val="en-IE"/>
              </w:rPr>
              <w:t xml:space="preserve">data on </w:t>
            </w:r>
            <w:r>
              <w:rPr>
                <w:rFonts w:eastAsia="Times New Roman"/>
                <w:noProof/>
                <w:color w:val="006100"/>
                <w:sz w:val="18"/>
                <w:szCs w:val="18"/>
                <w:lang w:val="en-IE"/>
              </w:rPr>
              <w:t xml:space="preserve">public </w:t>
            </w:r>
            <w:r w:rsidRPr="008A278D">
              <w:rPr>
                <w:rFonts w:eastAsia="Times New Roman"/>
                <w:noProof/>
                <w:color w:val="006100"/>
                <w:sz w:val="18"/>
                <w:szCs w:val="18"/>
                <w:lang w:val="en-IE"/>
              </w:rPr>
              <w:t>authorities’ activities</w:t>
            </w:r>
            <w:r>
              <w:rPr>
                <w:rFonts w:eastAsia="Times New Roman"/>
                <w:noProof/>
                <w:color w:val="006100"/>
                <w:sz w:val="18"/>
                <w:szCs w:val="18"/>
                <w:lang w:val="en-IE"/>
              </w:rPr>
              <w:t xml:space="preserve"> by the contracting authority/authorities</w:t>
            </w:r>
            <w:r w:rsidRPr="008A278D">
              <w:rPr>
                <w:rFonts w:eastAsia="Times New Roman"/>
                <w:noProof/>
                <w:color w:val="006100"/>
                <w:sz w:val="18"/>
                <w:szCs w:val="18"/>
                <w:lang w:val="en-IE"/>
              </w:rPr>
              <w:t xml:space="preserve">. </w:t>
            </w:r>
            <w:r>
              <w:rPr>
                <w:noProof/>
              </w:rPr>
              <w:br/>
            </w:r>
          </w:p>
          <w:p w:rsidRPr="008A278D" w:rsidR="00D87E44" w:rsidRDefault="00D87E44" w14:paraId="1545866A" w14:textId="77777777">
            <w:pPr>
              <w:pBdr>
                <w:top w:val="nil"/>
                <w:left w:val="nil"/>
                <w:bottom w:val="nil"/>
                <w:right w:val="nil"/>
                <w:between w:val="nil"/>
              </w:pBdr>
              <w:spacing w:line="240" w:lineRule="auto"/>
              <w:contextualSpacing/>
              <w:rPr>
                <w:rFonts w:eastAsia="Times New Roman"/>
                <w:noProof/>
                <w:color w:val="006100"/>
                <w:sz w:val="18"/>
                <w:szCs w:val="18"/>
                <w:lang w:val="en-IE"/>
              </w:rPr>
            </w:pPr>
            <w:r w:rsidRPr="008A278D">
              <w:rPr>
                <w:rFonts w:eastAsia="Times New Roman"/>
                <w:noProof/>
                <w:color w:val="006100"/>
                <w:sz w:val="18"/>
                <w:szCs w:val="18"/>
                <w:lang w:val="en-IE"/>
              </w:rPr>
              <w:t xml:space="preserve">2. </w:t>
            </w:r>
            <w:r w:rsidRPr="53B13906">
              <w:rPr>
                <w:rFonts w:eastAsia="Times New Roman"/>
                <w:noProof/>
                <w:color w:val="006100"/>
                <w:sz w:val="18"/>
                <w:szCs w:val="18"/>
                <w:lang w:val="en-IE"/>
              </w:rPr>
              <w:t>The government shall</w:t>
            </w:r>
            <w:r w:rsidRPr="0E50CFF7">
              <w:rPr>
                <w:rFonts w:eastAsia="Times New Roman"/>
                <w:noProof/>
                <w:color w:val="006100"/>
                <w:sz w:val="18"/>
                <w:szCs w:val="18"/>
                <w:lang w:val="en-IE"/>
              </w:rPr>
              <w:t xml:space="preserve"> adopt </w:t>
            </w:r>
            <w:r w:rsidRPr="6BC7267C">
              <w:rPr>
                <w:rFonts w:eastAsia="Times New Roman"/>
                <w:noProof/>
                <w:color w:val="006100"/>
                <w:sz w:val="18"/>
                <w:szCs w:val="18"/>
                <w:lang w:val="en-IE"/>
              </w:rPr>
              <w:t>a decision transforming</w:t>
            </w:r>
            <w:r w:rsidRPr="18A9DD61">
              <w:rPr>
                <w:rFonts w:eastAsia="Times New Roman"/>
                <w:noProof/>
                <w:color w:val="006100"/>
                <w:sz w:val="18"/>
                <w:szCs w:val="18"/>
                <w:lang w:val="en-IE"/>
              </w:rPr>
              <w:t xml:space="preserve"> the </w:t>
            </w:r>
            <w:r w:rsidRPr="4F05CFE9">
              <w:rPr>
                <w:rFonts w:eastAsia="Times New Roman"/>
                <w:noProof/>
                <w:color w:val="006100"/>
                <w:sz w:val="18"/>
                <w:szCs w:val="18"/>
                <w:lang w:val="en-IE"/>
              </w:rPr>
              <w:t>organisational structure</w:t>
            </w:r>
            <w:r w:rsidRPr="2A042E2E">
              <w:rPr>
                <w:rFonts w:eastAsia="Times New Roman"/>
                <w:noProof/>
                <w:color w:val="006100"/>
                <w:sz w:val="18"/>
                <w:szCs w:val="18"/>
                <w:lang w:val="en-IE"/>
              </w:rPr>
              <w:t xml:space="preserve"> in the area </w:t>
            </w:r>
            <w:r>
              <w:rPr>
                <w:rFonts w:eastAsia="Times New Roman"/>
                <w:noProof/>
                <w:color w:val="006100"/>
                <w:sz w:val="18"/>
                <w:szCs w:val="18"/>
                <w:lang w:val="en-IE"/>
              </w:rPr>
              <w:t>of</w:t>
            </w:r>
            <w:r w:rsidRPr="2A042E2E">
              <w:rPr>
                <w:rFonts w:eastAsia="Times New Roman"/>
                <w:noProof/>
                <w:color w:val="006100"/>
                <w:sz w:val="18"/>
                <w:szCs w:val="18"/>
                <w:lang w:val="en-IE"/>
              </w:rPr>
              <w:t xml:space="preserve"> </w:t>
            </w:r>
            <w:r w:rsidRPr="008A278D">
              <w:rPr>
                <w:rFonts w:eastAsia="Times New Roman"/>
                <w:noProof/>
                <w:color w:val="006100"/>
                <w:sz w:val="18"/>
                <w:szCs w:val="18"/>
                <w:lang w:val="en-IE"/>
              </w:rPr>
              <w:t xml:space="preserve">climate-energy </w:t>
            </w:r>
            <w:r w:rsidRPr="2A042E2E">
              <w:rPr>
                <w:rFonts w:eastAsia="Times New Roman"/>
                <w:noProof/>
                <w:color w:val="006100"/>
                <w:sz w:val="18"/>
                <w:szCs w:val="18"/>
                <w:lang w:val="en-IE"/>
              </w:rPr>
              <w:t>modelling.</w:t>
            </w:r>
            <w:r w:rsidRPr="008A278D">
              <w:rPr>
                <w:rFonts w:eastAsia="Times New Roman"/>
                <w:noProof/>
                <w:color w:val="006100"/>
                <w:sz w:val="18"/>
                <w:szCs w:val="18"/>
                <w:lang w:val="en-IE"/>
              </w:rPr>
              <w:t xml:space="preserve"> </w:t>
            </w:r>
          </w:p>
          <w:p w:rsidRPr="008A278D" w:rsidR="00D87E44" w:rsidRDefault="00D87E44" w14:paraId="1545866B" w14:textId="77777777">
            <w:pPr>
              <w:spacing w:line="240" w:lineRule="auto"/>
              <w:contextualSpacing/>
              <w:rPr>
                <w:noProof/>
                <w:lang w:val="en-IE"/>
              </w:rPr>
            </w:pPr>
            <w:r w:rsidRPr="008A278D">
              <w:rPr>
                <w:rFonts w:eastAsia="Times New Roman"/>
                <w:noProof/>
                <w:color w:val="006100"/>
                <w:sz w:val="18"/>
                <w:szCs w:val="18"/>
                <w:lang w:val="en-IE"/>
              </w:rPr>
              <w:t xml:space="preserve"> </w:t>
            </w:r>
          </w:p>
          <w:p w:rsidRPr="008A278D" w:rsidR="00D87E44" w:rsidRDefault="00D87E44" w14:paraId="1545866C" w14:textId="77777777">
            <w:pPr>
              <w:spacing w:line="240" w:lineRule="auto"/>
              <w:contextualSpacing/>
              <w:rPr>
                <w:noProof/>
                <w:color w:val="006100"/>
                <w:lang w:val="en-IE"/>
              </w:rPr>
            </w:pPr>
            <w:r w:rsidRPr="008A278D">
              <w:rPr>
                <w:rFonts w:eastAsia="Times New Roman"/>
                <w:noProof/>
                <w:color w:val="006100"/>
                <w:sz w:val="18"/>
                <w:szCs w:val="18"/>
                <w:lang w:val="en-IE"/>
              </w:rPr>
              <w:t xml:space="preserve">3. </w:t>
            </w:r>
            <w:r>
              <w:rPr>
                <w:rFonts w:eastAsia="Times New Roman"/>
                <w:noProof/>
                <w:color w:val="006100"/>
                <w:sz w:val="18"/>
                <w:szCs w:val="18"/>
                <w:lang w:val="en-IE"/>
              </w:rPr>
              <w:t>A</w:t>
            </w:r>
            <w:r w:rsidRPr="008A278D">
              <w:rPr>
                <w:rFonts w:eastAsia="Times New Roman"/>
                <w:noProof/>
                <w:color w:val="006100"/>
                <w:sz w:val="18"/>
                <w:szCs w:val="18"/>
                <w:lang w:val="en-IE"/>
              </w:rPr>
              <w:t xml:space="preserve"> report reviewing </w:t>
            </w:r>
            <w:r>
              <w:rPr>
                <w:rFonts w:eastAsia="Times New Roman"/>
                <w:noProof/>
                <w:color w:val="006100"/>
                <w:sz w:val="18"/>
                <w:szCs w:val="18"/>
                <w:lang w:val="en-IE"/>
              </w:rPr>
              <w:t xml:space="preserve">selected </w:t>
            </w:r>
            <w:r w:rsidRPr="008A278D">
              <w:rPr>
                <w:rFonts w:eastAsia="Times New Roman"/>
                <w:noProof/>
                <w:color w:val="006100"/>
                <w:sz w:val="18"/>
                <w:szCs w:val="18"/>
                <w:lang w:val="en-IE"/>
              </w:rPr>
              <w:t>existing strateg</w:t>
            </w:r>
            <w:r>
              <w:rPr>
                <w:rFonts w:eastAsia="Times New Roman"/>
                <w:noProof/>
                <w:color w:val="006100"/>
                <w:sz w:val="18"/>
                <w:szCs w:val="18"/>
                <w:lang w:val="en-IE"/>
              </w:rPr>
              <w:t>y documents</w:t>
            </w:r>
            <w:r w:rsidRPr="008A278D">
              <w:rPr>
                <w:rFonts w:eastAsia="Times New Roman"/>
                <w:noProof/>
                <w:color w:val="006100"/>
                <w:sz w:val="18"/>
                <w:szCs w:val="18"/>
                <w:lang w:val="en-IE"/>
              </w:rPr>
              <w:t xml:space="preserve"> </w:t>
            </w:r>
            <w:r>
              <w:rPr>
                <w:rFonts w:eastAsia="Times New Roman"/>
                <w:noProof/>
                <w:color w:val="006100"/>
                <w:sz w:val="18"/>
                <w:szCs w:val="18"/>
                <w:lang w:val="en-IE"/>
              </w:rPr>
              <w:t>shall be published.</w:t>
            </w:r>
            <w:r w:rsidRPr="008A278D">
              <w:rPr>
                <w:rFonts w:eastAsia="Times New Roman"/>
                <w:noProof/>
                <w:color w:val="006100"/>
                <w:sz w:val="18"/>
                <w:szCs w:val="18"/>
                <w:lang w:val="en-IE"/>
              </w:rPr>
              <w:t xml:space="preserve"> </w:t>
            </w:r>
          </w:p>
          <w:p w:rsidRPr="008A278D" w:rsidR="00D87E44" w:rsidRDefault="00D87E44" w14:paraId="1545866D" w14:textId="77777777">
            <w:pPr>
              <w:spacing w:line="240" w:lineRule="auto"/>
              <w:contextualSpacing/>
              <w:rPr>
                <w:noProof/>
                <w:lang w:val="en-IE"/>
              </w:rPr>
            </w:pPr>
            <w:r w:rsidRPr="008A278D">
              <w:rPr>
                <w:rFonts w:eastAsia="Times New Roman"/>
                <w:noProof/>
                <w:color w:val="006100"/>
                <w:sz w:val="18"/>
                <w:szCs w:val="18"/>
                <w:lang w:val="en-IE"/>
              </w:rPr>
              <w:t xml:space="preserve"> </w:t>
            </w:r>
          </w:p>
          <w:p w:rsidRPr="008A278D" w:rsidR="00D87E44" w:rsidRDefault="00D87E44" w14:paraId="1545866E" w14:textId="77777777">
            <w:pPr>
              <w:spacing w:line="240" w:lineRule="auto"/>
              <w:contextualSpacing/>
              <w:rPr>
                <w:noProof/>
                <w:lang w:val="en-IE"/>
              </w:rPr>
            </w:pPr>
            <w:r w:rsidRPr="008A278D">
              <w:rPr>
                <w:rFonts w:eastAsia="Times New Roman"/>
                <w:noProof/>
                <w:color w:val="006100"/>
                <w:sz w:val="18"/>
                <w:szCs w:val="18"/>
                <w:lang w:val="en-IE"/>
              </w:rPr>
              <w:t xml:space="preserve">4. </w:t>
            </w:r>
            <w:r>
              <w:rPr>
                <w:rFonts w:eastAsia="Times New Roman"/>
                <w:noProof/>
                <w:color w:val="006100"/>
                <w:sz w:val="18"/>
                <w:szCs w:val="18"/>
                <w:lang w:val="en-IE"/>
              </w:rPr>
              <w:t>Acceptance of a</w:t>
            </w:r>
            <w:r w:rsidRPr="008A278D">
              <w:rPr>
                <w:rFonts w:eastAsia="Times New Roman"/>
                <w:noProof/>
                <w:color w:val="006100"/>
                <w:sz w:val="18"/>
                <w:szCs w:val="18"/>
                <w:lang w:val="en-IE"/>
              </w:rPr>
              <w:t xml:space="preserve">n IT system for Sustainable Development Goal-related monitoring indicators </w:t>
            </w:r>
            <w:r>
              <w:rPr>
                <w:rFonts w:eastAsia="Times New Roman"/>
                <w:noProof/>
                <w:color w:val="006100"/>
                <w:sz w:val="18"/>
                <w:szCs w:val="18"/>
                <w:lang w:val="en-IE"/>
              </w:rPr>
              <w:t>by the contracting authority/authorities</w:t>
            </w:r>
            <w:r w:rsidRPr="31251400">
              <w:rPr>
                <w:rFonts w:eastAsia="Times New Roman"/>
                <w:noProof/>
                <w:color w:val="006100"/>
                <w:sz w:val="18"/>
                <w:szCs w:val="18"/>
                <w:lang w:val="en-IE"/>
              </w:rPr>
              <w:t xml:space="preserve">. </w:t>
            </w:r>
          </w:p>
          <w:p w:rsidRPr="00FF1320" w:rsidR="00D87E44" w:rsidRDefault="00D87E44" w14:paraId="1545866F" w14:textId="77777777">
            <w:pPr>
              <w:spacing w:line="240" w:lineRule="auto"/>
              <w:contextualSpacing/>
              <w:rPr>
                <w:color w:val="006100"/>
                <w:sz w:val="18"/>
                <w:lang w:val="en-IE"/>
              </w:rPr>
            </w:pPr>
          </w:p>
          <w:p w:rsidRPr="006A438D" w:rsidR="00D87E44" w:rsidRDefault="00D87E44" w14:paraId="15458670" w14:textId="77777777">
            <w:pPr>
              <w:spacing w:line="240" w:lineRule="auto"/>
              <w:contextualSpacing/>
              <w:rPr>
                <w:rFonts w:eastAsia="Times New Roman"/>
                <w:noProof/>
                <w:color w:val="006100"/>
                <w:sz w:val="18"/>
                <w:szCs w:val="18"/>
                <w:lang w:val="en-IE"/>
              </w:rPr>
            </w:pPr>
            <w:r w:rsidRPr="008A278D">
              <w:rPr>
                <w:rFonts w:eastAsia="Times New Roman"/>
                <w:noProof/>
                <w:color w:val="006100"/>
                <w:sz w:val="18"/>
                <w:szCs w:val="18"/>
                <w:lang w:val="en-IE"/>
              </w:rPr>
              <w:t xml:space="preserve">5. </w:t>
            </w:r>
            <w:r>
              <w:rPr>
                <w:rFonts w:eastAsia="Times New Roman"/>
                <w:noProof/>
                <w:color w:val="006100"/>
                <w:sz w:val="18"/>
                <w:szCs w:val="18"/>
                <w:lang w:val="en-IE"/>
              </w:rPr>
              <w:t xml:space="preserve">A </w:t>
            </w:r>
            <w:r w:rsidRPr="008A278D">
              <w:rPr>
                <w:rFonts w:eastAsia="Times New Roman"/>
                <w:noProof/>
                <w:color w:val="006100"/>
                <w:sz w:val="18"/>
                <w:szCs w:val="18"/>
                <w:lang w:val="en-IE"/>
              </w:rPr>
              <w:t>new version of the Regulatory Impact Analysis methodology</w:t>
            </w:r>
            <w:r>
              <w:rPr>
                <w:rFonts w:eastAsia="Times New Roman"/>
                <w:noProof/>
                <w:color w:val="006100"/>
                <w:sz w:val="18"/>
                <w:szCs w:val="18"/>
                <w:lang w:val="en-IE"/>
              </w:rPr>
              <w:t xml:space="preserve"> shall be </w:t>
            </w:r>
            <w:r w:rsidRPr="5401222A">
              <w:rPr>
                <w:rFonts w:eastAsia="Times New Roman"/>
                <w:noProof/>
                <w:color w:val="006100"/>
                <w:sz w:val="18"/>
                <w:szCs w:val="18"/>
                <w:lang w:val="en-IE"/>
              </w:rPr>
              <w:t>published</w:t>
            </w:r>
            <w:r w:rsidRPr="322D766C">
              <w:rPr>
                <w:rFonts w:eastAsia="Times New Roman"/>
                <w:noProof/>
                <w:color w:val="006100"/>
                <w:sz w:val="18"/>
                <w:szCs w:val="18"/>
                <w:lang w:val="en-IE"/>
              </w:rPr>
              <w:t xml:space="preserve"> online</w:t>
            </w:r>
            <w:r w:rsidRPr="008A278D">
              <w:rPr>
                <w:rFonts w:eastAsia="Times New Roman"/>
                <w:noProof/>
                <w:color w:val="006100"/>
                <w:sz w:val="18"/>
                <w:szCs w:val="18"/>
                <w:lang w:val="en-IE"/>
              </w:rPr>
              <w:t>.</w:t>
            </w:r>
          </w:p>
        </w:tc>
      </w:tr>
      <w:tr w:rsidRPr="00FE48E2" w:rsidR="00E3458A" w:rsidTr="001A4D46" w14:paraId="1545867F" w14:textId="77777777">
        <w:trPr>
          <w:trHeight w:val="520"/>
        </w:trPr>
        <w:tc>
          <w:tcPr>
            <w:tcW w:w="726" w:type="dxa"/>
            <w:shd w:val="clear" w:color="auto" w:fill="C6EFCE"/>
          </w:tcPr>
          <w:p w:rsidRPr="00FE48E2" w:rsidR="00D87E44" w:rsidRDefault="00D87E44" w14:paraId="15458672" w14:textId="77777777">
            <w:pPr>
              <w:spacing w:before="0" w:after="0" w:line="240" w:lineRule="auto"/>
              <w:rPr>
                <w:rFonts w:eastAsia="Times New Roman"/>
                <w:noProof/>
                <w:color w:val="006100"/>
                <w:sz w:val="18"/>
                <w:szCs w:val="18"/>
                <w:lang w:val="en-IE"/>
              </w:rPr>
            </w:pPr>
            <w:r w:rsidRPr="61402C9F">
              <w:rPr>
                <w:rFonts w:eastAsia="Times New Roman"/>
                <w:noProof/>
                <w:color w:val="006100"/>
                <w:sz w:val="18"/>
                <w:szCs w:val="18"/>
                <w:lang w:val="en-IE"/>
              </w:rPr>
              <w:t>289</w:t>
            </w:r>
          </w:p>
        </w:tc>
        <w:tc>
          <w:tcPr>
            <w:tcW w:w="1264" w:type="dxa"/>
            <w:shd w:val="clear" w:color="auto" w:fill="C6EFCE"/>
          </w:tcPr>
          <w:p w:rsidRPr="00FE48E2" w:rsidR="00D87E44" w:rsidRDefault="00D87E44" w14:paraId="1545867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Increase efficiency, pro-client orientation and use of the principles of evidence-based decision-making in public administration</w:t>
            </w:r>
          </w:p>
        </w:tc>
        <w:tc>
          <w:tcPr>
            <w:tcW w:w="1074" w:type="dxa"/>
            <w:shd w:val="clear" w:color="auto" w:fill="C6EFCE"/>
          </w:tcPr>
          <w:p w:rsidRPr="00FE48E2" w:rsidR="00D87E44" w:rsidRDefault="00D87E44" w14:paraId="15458674"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Target</w:t>
            </w:r>
          </w:p>
        </w:tc>
        <w:tc>
          <w:tcPr>
            <w:tcW w:w="1339" w:type="dxa"/>
            <w:shd w:val="clear" w:color="auto" w:fill="C6EFCE"/>
          </w:tcPr>
          <w:p w:rsidRPr="00FE48E2" w:rsidR="00D87E44" w:rsidRDefault="00D87E44" w14:paraId="1545867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A</w:t>
            </w:r>
            <w:r w:rsidRPr="005A2A83">
              <w:rPr>
                <w:rFonts w:eastAsia="Times New Roman"/>
                <w:noProof/>
                <w:color w:val="006100"/>
                <w:sz w:val="18"/>
                <w:szCs w:val="18"/>
                <w:lang w:val="en-IE"/>
              </w:rPr>
              <w:t xml:space="preserve">ctions </w:t>
            </w:r>
            <w:r>
              <w:rPr>
                <w:rFonts w:eastAsia="Times New Roman"/>
                <w:noProof/>
                <w:color w:val="006100"/>
                <w:sz w:val="18"/>
                <w:szCs w:val="18"/>
                <w:lang w:val="en-IE"/>
              </w:rPr>
              <w:t xml:space="preserve">aiming at </w:t>
            </w:r>
            <w:r w:rsidRPr="005A2A83">
              <w:rPr>
                <w:rFonts w:eastAsia="Times New Roman"/>
                <w:noProof/>
                <w:color w:val="006100"/>
                <w:sz w:val="18"/>
                <w:szCs w:val="18"/>
                <w:lang w:val="en-IE"/>
              </w:rPr>
              <w:t xml:space="preserve">better HR in the public administration and automating administrative procedures </w:t>
            </w:r>
          </w:p>
        </w:tc>
        <w:tc>
          <w:tcPr>
            <w:tcW w:w="1339" w:type="dxa"/>
            <w:shd w:val="clear" w:color="auto" w:fill="C6EFCE"/>
          </w:tcPr>
          <w:p w:rsidRPr="00FE48E2" w:rsidR="00D87E44" w:rsidRDefault="00D87E44" w14:paraId="15458676" w14:textId="77777777">
            <w:pPr>
              <w:spacing w:before="0" w:after="0" w:line="240" w:lineRule="auto"/>
              <w:rPr>
                <w:rFonts w:eastAsia="Times New Roman"/>
                <w:noProof/>
                <w:color w:val="006100"/>
                <w:sz w:val="18"/>
                <w:szCs w:val="18"/>
                <w:lang w:val="en-IE"/>
              </w:rPr>
            </w:pPr>
          </w:p>
        </w:tc>
        <w:tc>
          <w:tcPr>
            <w:tcW w:w="1021" w:type="dxa"/>
            <w:shd w:val="clear" w:color="auto" w:fill="C6EFCE"/>
          </w:tcPr>
          <w:p w:rsidRPr="00FE48E2" w:rsidR="00D87E44" w:rsidRDefault="00D87E44" w14:paraId="15458677"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Actions </w:t>
            </w:r>
          </w:p>
        </w:tc>
        <w:tc>
          <w:tcPr>
            <w:tcW w:w="1021" w:type="dxa"/>
            <w:shd w:val="clear" w:color="auto" w:fill="C6EFCE"/>
          </w:tcPr>
          <w:p w:rsidRPr="00FE48E2" w:rsidR="00D87E44" w:rsidRDefault="00D87E44" w14:paraId="15458678"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0</w:t>
            </w:r>
          </w:p>
        </w:tc>
        <w:tc>
          <w:tcPr>
            <w:tcW w:w="678" w:type="dxa"/>
            <w:shd w:val="clear" w:color="auto" w:fill="C6EFCE"/>
          </w:tcPr>
          <w:p w:rsidRPr="00FE48E2" w:rsidR="00D87E44" w:rsidRDefault="00D87E44" w14:paraId="15458679" w14:textId="77777777">
            <w:pPr>
              <w:spacing w:before="0" w:after="0" w:line="240" w:lineRule="auto"/>
              <w:rPr>
                <w:rFonts w:eastAsia="Times New Roman"/>
                <w:noProof/>
                <w:color w:val="006100"/>
                <w:sz w:val="18"/>
                <w:szCs w:val="18"/>
                <w:lang w:val="en-IE"/>
              </w:rPr>
            </w:pPr>
            <w:r w:rsidRPr="7480521A">
              <w:rPr>
                <w:rFonts w:eastAsia="Times New Roman"/>
                <w:noProof/>
                <w:color w:val="006100"/>
                <w:sz w:val="18"/>
                <w:szCs w:val="18"/>
                <w:lang w:val="en-IE"/>
              </w:rPr>
              <w:t>2</w:t>
            </w:r>
          </w:p>
        </w:tc>
        <w:tc>
          <w:tcPr>
            <w:tcW w:w="964" w:type="dxa"/>
            <w:shd w:val="clear" w:color="auto" w:fill="C6EFCE"/>
          </w:tcPr>
          <w:p w:rsidRPr="00FE48E2" w:rsidR="00D87E44" w:rsidRDefault="00D87E44" w14:paraId="1545867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Q2</w:t>
            </w:r>
          </w:p>
        </w:tc>
        <w:tc>
          <w:tcPr>
            <w:tcW w:w="611" w:type="dxa"/>
            <w:shd w:val="clear" w:color="auto" w:fill="C6EFCE"/>
          </w:tcPr>
          <w:p w:rsidRPr="00FE48E2" w:rsidR="00D87E44" w:rsidRDefault="00D87E44" w14:paraId="1545867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2026</w:t>
            </w:r>
          </w:p>
        </w:tc>
        <w:tc>
          <w:tcPr>
            <w:tcW w:w="4578" w:type="dxa"/>
            <w:shd w:val="clear" w:color="auto" w:fill="C6EFCE"/>
          </w:tcPr>
          <w:p w:rsidR="00D87E44" w:rsidP="00E3458A" w:rsidRDefault="00D87E44" w14:paraId="1545867C" w14:textId="77777777">
            <w:pPr>
              <w:spacing w:line="240" w:lineRule="auto"/>
              <w:rPr>
                <w:rFonts w:eastAsia="Times New Roman"/>
                <w:noProof/>
                <w:color w:val="006100"/>
                <w:sz w:val="18"/>
                <w:szCs w:val="18"/>
                <w:lang w:val="en-IE"/>
              </w:rPr>
            </w:pPr>
            <w:r w:rsidRPr="008A278D">
              <w:rPr>
                <w:rFonts w:eastAsia="Times New Roman"/>
                <w:noProof/>
                <w:color w:val="006100"/>
                <w:sz w:val="18"/>
                <w:szCs w:val="18"/>
                <w:lang w:val="en-IE"/>
              </w:rPr>
              <w:t xml:space="preserve">The </w:t>
            </w:r>
            <w:r>
              <w:rPr>
                <w:rFonts w:eastAsia="Times New Roman"/>
                <w:noProof/>
                <w:color w:val="006100"/>
                <w:sz w:val="18"/>
                <w:szCs w:val="18"/>
                <w:lang w:val="en-IE"/>
              </w:rPr>
              <w:t>target consists of at least the following actions:</w:t>
            </w:r>
            <w:r w:rsidDel="00434578">
              <w:rPr>
                <w:rFonts w:eastAsia="Times New Roman"/>
                <w:noProof/>
                <w:color w:val="006100"/>
                <w:sz w:val="18"/>
                <w:szCs w:val="18"/>
                <w:lang w:val="en-IE"/>
              </w:rPr>
              <w:t xml:space="preserve"> </w:t>
            </w:r>
            <w:r w:rsidRPr="12191D7C">
              <w:rPr>
                <w:rFonts w:eastAsia="Times New Roman"/>
                <w:noProof/>
                <w:color w:val="006100"/>
                <w:sz w:val="18"/>
                <w:szCs w:val="18"/>
                <w:lang w:val="en-IE"/>
              </w:rPr>
              <w:t xml:space="preserve"> </w:t>
            </w:r>
          </w:p>
          <w:p w:rsidR="00D87E44" w:rsidRDefault="00D87E44" w14:paraId="1545867D" w14:textId="77777777">
            <w:pPr>
              <w:spacing w:line="240" w:lineRule="auto"/>
              <w:rPr>
                <w:rFonts w:eastAsia="Times New Roman"/>
                <w:noProof/>
                <w:sz w:val="18"/>
                <w:szCs w:val="18"/>
                <w:lang w:val="en-IE"/>
              </w:rPr>
            </w:pPr>
            <w:r>
              <w:rPr>
                <w:rFonts w:eastAsia="Times New Roman"/>
                <w:noProof/>
                <w:color w:val="006100"/>
                <w:sz w:val="18"/>
                <w:szCs w:val="18"/>
                <w:lang w:val="en-IE"/>
              </w:rPr>
              <w:t>1. Acceptance of a</w:t>
            </w:r>
            <w:r w:rsidRPr="009B0A2F">
              <w:rPr>
                <w:rFonts w:eastAsia="Times New Roman"/>
                <w:noProof/>
                <w:color w:val="006100"/>
                <w:sz w:val="18"/>
                <w:szCs w:val="18"/>
                <w:lang w:val="en-IE"/>
              </w:rPr>
              <w:t xml:space="preserve">n IT system/module/functionality for automating </w:t>
            </w:r>
            <w:r w:rsidRPr="3D5BCB56">
              <w:rPr>
                <w:rFonts w:eastAsia="Times New Roman"/>
                <w:noProof/>
                <w:color w:val="006100"/>
                <w:sz w:val="18"/>
                <w:szCs w:val="18"/>
                <w:lang w:val="en-IE"/>
              </w:rPr>
              <w:t xml:space="preserve">steps in </w:t>
            </w:r>
            <w:r w:rsidRPr="009B0A2F">
              <w:rPr>
                <w:rFonts w:eastAsia="Times New Roman"/>
                <w:noProof/>
                <w:color w:val="006100"/>
                <w:sz w:val="18"/>
                <w:szCs w:val="18"/>
                <w:lang w:val="en-IE"/>
              </w:rPr>
              <w:t xml:space="preserve">administrative procedures </w:t>
            </w:r>
            <w:r>
              <w:rPr>
                <w:rFonts w:eastAsia="Times New Roman"/>
                <w:noProof/>
                <w:color w:val="006100"/>
                <w:sz w:val="18"/>
                <w:szCs w:val="18"/>
                <w:lang w:val="en-IE"/>
              </w:rPr>
              <w:t>by the contracting authority/authorities</w:t>
            </w:r>
            <w:r w:rsidRPr="7480521A">
              <w:rPr>
                <w:rFonts w:eastAsia="Times New Roman"/>
                <w:noProof/>
                <w:color w:val="006100"/>
                <w:sz w:val="18"/>
                <w:szCs w:val="18"/>
                <w:lang w:val="en-IE"/>
              </w:rPr>
              <w:t>.</w:t>
            </w:r>
          </w:p>
          <w:p w:rsidRPr="00E6515D" w:rsidR="00D87E44" w:rsidRDefault="00D87E44" w14:paraId="1545867E" w14:textId="77777777">
            <w:pPr>
              <w:spacing w:line="240" w:lineRule="auto"/>
              <w:rPr>
                <w:rFonts w:eastAsia="Times New Roman"/>
                <w:noProof/>
                <w:color w:val="006100"/>
                <w:sz w:val="18"/>
                <w:szCs w:val="18"/>
                <w:lang w:val="en-IE"/>
              </w:rPr>
            </w:pPr>
            <w:r>
              <w:rPr>
                <w:rFonts w:eastAsia="Times New Roman"/>
                <w:noProof/>
                <w:color w:val="006100"/>
                <w:sz w:val="18"/>
                <w:szCs w:val="18"/>
                <w:lang w:val="en-IE"/>
              </w:rPr>
              <w:t xml:space="preserve">2. </w:t>
            </w:r>
            <w:r w:rsidRPr="00FE48E2">
              <w:rPr>
                <w:rFonts w:eastAsia="Times New Roman"/>
                <w:noProof/>
                <w:color w:val="006100"/>
                <w:sz w:val="18"/>
                <w:szCs w:val="18"/>
                <w:lang w:val="en-IE"/>
              </w:rPr>
              <w:t xml:space="preserve">The </w:t>
            </w:r>
            <w:r>
              <w:rPr>
                <w:rFonts w:eastAsia="Times New Roman"/>
                <w:noProof/>
                <w:color w:val="006100"/>
                <w:sz w:val="18"/>
                <w:szCs w:val="18"/>
                <w:lang w:val="en-IE"/>
              </w:rPr>
              <w:t>chief state secretary</w:t>
            </w:r>
            <w:r w:rsidRPr="00FE48E2">
              <w:rPr>
                <w:rFonts w:eastAsia="Times New Roman"/>
                <w:noProof/>
                <w:color w:val="006100"/>
                <w:sz w:val="18"/>
                <w:szCs w:val="18"/>
                <w:lang w:val="en-IE"/>
              </w:rPr>
              <w:t xml:space="preserve"> shall </w:t>
            </w:r>
            <w:r>
              <w:rPr>
                <w:rFonts w:eastAsia="Times New Roman"/>
                <w:noProof/>
                <w:color w:val="006100"/>
                <w:sz w:val="18"/>
                <w:szCs w:val="18"/>
                <w:lang w:val="en-IE"/>
              </w:rPr>
              <w:t>issue</w:t>
            </w:r>
            <w:r w:rsidRPr="00FE48E2">
              <w:rPr>
                <w:rFonts w:eastAsia="Times New Roman"/>
                <w:noProof/>
                <w:color w:val="006100"/>
                <w:sz w:val="18"/>
                <w:szCs w:val="18"/>
                <w:lang w:val="en-IE"/>
              </w:rPr>
              <w:t xml:space="preserve"> an </w:t>
            </w:r>
            <w:r>
              <w:rPr>
                <w:rFonts w:eastAsia="Times New Roman"/>
                <w:noProof/>
                <w:color w:val="006100"/>
                <w:sz w:val="18"/>
                <w:szCs w:val="18"/>
                <w:lang w:val="en-IE"/>
              </w:rPr>
              <w:t xml:space="preserve">instruction on </w:t>
            </w:r>
            <w:r w:rsidRPr="00FE48E2">
              <w:rPr>
                <w:rFonts w:eastAsia="Times New Roman"/>
                <w:noProof/>
                <w:color w:val="006100"/>
                <w:sz w:val="18"/>
                <w:szCs w:val="18"/>
                <w:lang w:val="en-IE"/>
              </w:rPr>
              <w:t>civil service offices</w:t>
            </w:r>
            <w:r>
              <w:rPr>
                <w:rFonts w:eastAsia="Times New Roman"/>
                <w:noProof/>
                <w:color w:val="006100"/>
                <w:sz w:val="18"/>
                <w:szCs w:val="18"/>
                <w:lang w:val="en-IE"/>
              </w:rPr>
              <w:t>’</w:t>
            </w:r>
            <w:r w:rsidRPr="00FE48E2">
              <w:rPr>
                <w:rFonts w:eastAsia="Times New Roman"/>
                <w:noProof/>
                <w:color w:val="006100"/>
                <w:sz w:val="18"/>
                <w:szCs w:val="18"/>
                <w:lang w:val="en-IE"/>
              </w:rPr>
              <w:t xml:space="preserve"> (“služební úřady</w:t>
            </w:r>
            <w:r w:rsidRPr="2A4C6F2C">
              <w:rPr>
                <w:rFonts w:eastAsia="Times New Roman"/>
                <w:noProof/>
                <w:color w:val="006100"/>
                <w:sz w:val="18"/>
                <w:szCs w:val="18"/>
                <w:lang w:val="en-IE"/>
              </w:rPr>
              <w:t>”)</w:t>
            </w:r>
            <w:r>
              <w:rPr>
                <w:rFonts w:eastAsia="Times New Roman"/>
                <w:noProof/>
                <w:color w:val="006100"/>
                <w:sz w:val="18"/>
                <w:szCs w:val="18"/>
                <w:lang w:val="en-IE"/>
              </w:rPr>
              <w:t xml:space="preserve"> </w:t>
            </w:r>
            <w:r w:rsidRPr="00FE48E2">
              <w:rPr>
                <w:rFonts w:eastAsia="Times New Roman"/>
                <w:noProof/>
                <w:color w:val="006100"/>
                <w:sz w:val="18"/>
                <w:szCs w:val="18"/>
                <w:lang w:val="en-IE"/>
              </w:rPr>
              <w:t>HR</w:t>
            </w:r>
            <w:r>
              <w:rPr>
                <w:rFonts w:eastAsia="Times New Roman"/>
                <w:noProof/>
                <w:color w:val="006100"/>
                <w:sz w:val="18"/>
                <w:szCs w:val="18"/>
                <w:lang w:val="en-IE"/>
              </w:rPr>
              <w:t>.</w:t>
            </w:r>
            <w:r>
              <w:rPr>
                <w:noProof/>
              </w:rPr>
              <w:br/>
            </w:r>
            <w:r>
              <w:rPr>
                <w:noProof/>
              </w:rPr>
              <w:br/>
            </w:r>
          </w:p>
        </w:tc>
      </w:tr>
      <w:tr w:rsidRPr="00FE48E2" w:rsidR="00E3458A" w:rsidTr="001A4D46" w14:paraId="1545868B" w14:textId="77777777">
        <w:trPr>
          <w:trHeight w:val="945"/>
        </w:trPr>
        <w:tc>
          <w:tcPr>
            <w:tcW w:w="726" w:type="dxa"/>
            <w:shd w:val="clear" w:color="auto" w:fill="C6EFCE"/>
          </w:tcPr>
          <w:p w:rsidRPr="00FE48E2" w:rsidR="00D87E44" w:rsidRDefault="00D87E44" w14:paraId="1545868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216</w:t>
            </w:r>
          </w:p>
        </w:tc>
        <w:tc>
          <w:tcPr>
            <w:tcW w:w="1264" w:type="dxa"/>
            <w:shd w:val="clear" w:color="auto" w:fill="C6EFCE"/>
          </w:tcPr>
          <w:p w:rsidRPr="00FE48E2" w:rsidR="00D87E44" w:rsidRDefault="00D87E44" w14:paraId="1545868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Increase efficiency, pro-client orientation and use of the principles of evidence-based decision-making in public administration</w:t>
            </w:r>
          </w:p>
        </w:tc>
        <w:tc>
          <w:tcPr>
            <w:tcW w:w="1074" w:type="dxa"/>
            <w:shd w:val="clear" w:color="auto" w:fill="C6EFCE"/>
          </w:tcPr>
          <w:p w:rsidRPr="00FE48E2" w:rsidR="00D87E44" w:rsidRDefault="00D87E44" w14:paraId="1545868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339" w:type="dxa"/>
            <w:shd w:val="clear" w:color="auto" w:fill="C6EFCE"/>
          </w:tcPr>
          <w:p w:rsidRPr="00FE48E2" w:rsidR="00D87E44" w:rsidRDefault="00D87E44" w14:paraId="15458683" w14:textId="77777777">
            <w:pPr>
              <w:spacing w:before="0" w:after="0" w:line="240" w:lineRule="auto"/>
              <w:rPr>
                <w:rFonts w:eastAsia="Times New Roman"/>
                <w:noProof/>
                <w:color w:val="006100"/>
                <w:sz w:val="18"/>
                <w:szCs w:val="18"/>
                <w:lang w:val="en-IE"/>
              </w:rPr>
            </w:pPr>
            <w:r w:rsidRPr="69BD1277">
              <w:rPr>
                <w:rFonts w:eastAsia="Times New Roman"/>
                <w:noProof/>
                <w:color w:val="006100"/>
                <w:sz w:val="18"/>
                <w:szCs w:val="18"/>
                <w:lang w:val="en-IE"/>
              </w:rPr>
              <w:t>Training</w:t>
            </w:r>
            <w:r w:rsidRPr="00FE48E2">
              <w:rPr>
                <w:rFonts w:eastAsia="Times New Roman"/>
                <w:noProof/>
                <w:color w:val="006100"/>
                <w:sz w:val="18"/>
                <w:szCs w:val="18"/>
                <w:lang w:val="en-IE"/>
              </w:rPr>
              <w:t xml:space="preserve"> on client-oriented approaches for staff of </w:t>
            </w:r>
            <w:r>
              <w:rPr>
                <w:rFonts w:eastAsia="Times New Roman"/>
                <w:noProof/>
                <w:color w:val="006100"/>
                <w:sz w:val="18"/>
                <w:szCs w:val="18"/>
                <w:lang w:val="en-IE"/>
              </w:rPr>
              <w:t>public</w:t>
            </w:r>
            <w:r w:rsidRPr="00FE48E2">
              <w:rPr>
                <w:rFonts w:eastAsia="Times New Roman"/>
                <w:noProof/>
                <w:color w:val="006100"/>
                <w:sz w:val="18"/>
                <w:szCs w:val="18"/>
                <w:lang w:val="en-IE"/>
              </w:rPr>
              <w:t xml:space="preserve"> authorities </w:t>
            </w:r>
          </w:p>
        </w:tc>
        <w:tc>
          <w:tcPr>
            <w:tcW w:w="1339" w:type="dxa"/>
            <w:shd w:val="clear" w:color="auto" w:fill="C6EFCE"/>
          </w:tcPr>
          <w:p w:rsidRPr="00FE48E2" w:rsidR="00D87E44" w:rsidRDefault="00D87E44" w14:paraId="15458684" w14:textId="77777777">
            <w:pPr>
              <w:spacing w:before="0" w:after="0" w:line="240" w:lineRule="auto"/>
              <w:rPr>
                <w:rFonts w:eastAsia="Times New Roman"/>
                <w:noProof/>
                <w:color w:val="006100"/>
                <w:sz w:val="18"/>
                <w:szCs w:val="18"/>
                <w:lang w:val="en-IE"/>
              </w:rPr>
            </w:pPr>
          </w:p>
        </w:tc>
        <w:tc>
          <w:tcPr>
            <w:tcW w:w="1021" w:type="dxa"/>
            <w:shd w:val="clear" w:color="auto" w:fill="C6EFCE"/>
          </w:tcPr>
          <w:p w:rsidRPr="00FE48E2" w:rsidR="00D87E44" w:rsidRDefault="00D87E44" w14:paraId="1545868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Number </w:t>
            </w:r>
            <w:r>
              <w:rPr>
                <w:rFonts w:eastAsia="Times New Roman"/>
                <w:noProof/>
                <w:color w:val="006100"/>
                <w:sz w:val="18"/>
                <w:szCs w:val="18"/>
                <w:lang w:val="en-IE"/>
              </w:rPr>
              <w:t>of training certificates</w:t>
            </w:r>
          </w:p>
        </w:tc>
        <w:tc>
          <w:tcPr>
            <w:tcW w:w="1021" w:type="dxa"/>
            <w:shd w:val="clear" w:color="auto" w:fill="C6EFCE"/>
          </w:tcPr>
          <w:p w:rsidRPr="00FE48E2" w:rsidR="00D87E44" w:rsidRDefault="00D87E44" w14:paraId="1545868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0</w:t>
            </w:r>
          </w:p>
        </w:tc>
        <w:tc>
          <w:tcPr>
            <w:tcW w:w="678" w:type="dxa"/>
            <w:shd w:val="clear" w:color="auto" w:fill="C6EFCE"/>
          </w:tcPr>
          <w:p w:rsidRPr="00FE48E2" w:rsidR="00D87E44" w:rsidRDefault="00D87E44" w14:paraId="1545868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1</w:t>
            </w:r>
            <w:r>
              <w:rPr>
                <w:rFonts w:eastAsia="Times New Roman"/>
                <w:noProof/>
                <w:color w:val="006100"/>
                <w:sz w:val="18"/>
                <w:szCs w:val="18"/>
                <w:lang w:val="en-IE"/>
              </w:rPr>
              <w:t> </w:t>
            </w:r>
            <w:r w:rsidRPr="00FE48E2">
              <w:rPr>
                <w:rFonts w:eastAsia="Times New Roman"/>
                <w:noProof/>
                <w:color w:val="006100"/>
                <w:sz w:val="18"/>
                <w:szCs w:val="18"/>
                <w:lang w:val="en-IE"/>
              </w:rPr>
              <w:t>000</w:t>
            </w:r>
          </w:p>
        </w:tc>
        <w:tc>
          <w:tcPr>
            <w:tcW w:w="964" w:type="dxa"/>
            <w:shd w:val="clear" w:color="auto" w:fill="C6EFCE"/>
          </w:tcPr>
          <w:p w:rsidRPr="00FE48E2" w:rsidR="00D87E44" w:rsidRDefault="00D87E44" w14:paraId="1545868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sidRPr="4D16805A">
              <w:rPr>
                <w:rFonts w:eastAsia="Times New Roman"/>
                <w:noProof/>
                <w:color w:val="006100"/>
                <w:sz w:val="18"/>
                <w:szCs w:val="18"/>
                <w:lang w:val="en-IE"/>
              </w:rPr>
              <w:t>1</w:t>
            </w:r>
          </w:p>
        </w:tc>
        <w:tc>
          <w:tcPr>
            <w:tcW w:w="611" w:type="dxa"/>
            <w:shd w:val="clear" w:color="auto" w:fill="C6EFCE"/>
          </w:tcPr>
          <w:p w:rsidRPr="00FE48E2" w:rsidR="00D87E44" w:rsidRDefault="00D87E44" w14:paraId="1545868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2025</w:t>
            </w:r>
          </w:p>
        </w:tc>
        <w:tc>
          <w:tcPr>
            <w:tcW w:w="4578" w:type="dxa"/>
            <w:shd w:val="clear" w:color="auto" w:fill="C6EFCE"/>
          </w:tcPr>
          <w:p w:rsidRPr="00FE48E2" w:rsidR="00D87E44" w:rsidRDefault="00D87E44" w14:paraId="1545868A" w14:textId="77777777">
            <w:pPr>
              <w:spacing w:before="0" w:after="0" w:line="240" w:lineRule="auto"/>
              <w:rPr>
                <w:rFonts w:eastAsia="Times New Roman"/>
                <w:noProof/>
                <w:color w:val="006100"/>
                <w:sz w:val="18"/>
                <w:szCs w:val="18"/>
                <w:lang w:val="en-IE"/>
              </w:rPr>
            </w:pPr>
            <w:r w:rsidRPr="377A1415">
              <w:rPr>
                <w:rFonts w:eastAsia="Times New Roman"/>
                <w:noProof/>
                <w:color w:val="006100"/>
                <w:sz w:val="18"/>
                <w:szCs w:val="18"/>
                <w:lang w:val="en-IE" w:eastAsia="en-GB"/>
              </w:rPr>
              <w:t>1</w:t>
            </w:r>
            <w:r>
              <w:rPr>
                <w:rFonts w:eastAsia="Times New Roman"/>
                <w:noProof/>
                <w:color w:val="006100"/>
                <w:sz w:val="18"/>
                <w:szCs w:val="18"/>
                <w:lang w:val="en-IE" w:eastAsia="en-GB"/>
              </w:rPr>
              <w:t> </w:t>
            </w:r>
            <w:r w:rsidRPr="377A1415">
              <w:rPr>
                <w:rFonts w:eastAsia="Times New Roman"/>
                <w:noProof/>
                <w:color w:val="006100"/>
                <w:sz w:val="18"/>
                <w:szCs w:val="18"/>
                <w:lang w:val="en-IE" w:eastAsia="en-GB"/>
              </w:rPr>
              <w:t xml:space="preserve">000 training certificates for </w:t>
            </w:r>
            <w:r w:rsidRPr="00FE48E2">
              <w:rPr>
                <w:rFonts w:eastAsia="Times New Roman"/>
                <w:noProof/>
                <w:color w:val="006100"/>
                <w:sz w:val="18"/>
                <w:szCs w:val="18"/>
                <w:lang w:val="en-IE" w:eastAsia="en-GB"/>
              </w:rPr>
              <w:t xml:space="preserve">staff of </w:t>
            </w:r>
            <w:r>
              <w:rPr>
                <w:rFonts w:eastAsia="Times New Roman"/>
                <w:noProof/>
                <w:color w:val="006100"/>
                <w:sz w:val="18"/>
                <w:szCs w:val="18"/>
                <w:lang w:val="en-IE" w:eastAsia="en-GB"/>
              </w:rPr>
              <w:t xml:space="preserve">public </w:t>
            </w:r>
            <w:r w:rsidRPr="00FE48E2">
              <w:rPr>
                <w:rFonts w:eastAsia="Times New Roman"/>
                <w:noProof/>
                <w:color w:val="006100"/>
                <w:sz w:val="18"/>
                <w:szCs w:val="18"/>
                <w:lang w:val="en-IE" w:eastAsia="en-GB"/>
              </w:rPr>
              <w:t xml:space="preserve">authorities in client-oriented approach </w:t>
            </w:r>
            <w:r>
              <w:rPr>
                <w:rFonts w:eastAsia="Times New Roman"/>
                <w:noProof/>
                <w:color w:val="006100"/>
                <w:sz w:val="18"/>
                <w:szCs w:val="18"/>
                <w:lang w:val="en-IE" w:eastAsia="en-GB"/>
              </w:rPr>
              <w:t>shall be issued.</w:t>
            </w:r>
            <w:r w:rsidRPr="00FE48E2">
              <w:rPr>
                <w:rFonts w:eastAsia="Times New Roman"/>
                <w:noProof/>
                <w:color w:val="006100"/>
                <w:sz w:val="18"/>
                <w:szCs w:val="18"/>
                <w:lang w:val="en-IE" w:eastAsia="en-GB"/>
              </w:rPr>
              <w:t xml:space="preserve"> </w:t>
            </w:r>
          </w:p>
        </w:tc>
      </w:tr>
    </w:tbl>
    <w:p w:rsidR="00D87E44" w:rsidP="00D226F4" w:rsidRDefault="00D87E44" w14:paraId="1545868C" w14:textId="77777777">
      <w:pPr>
        <w:keepNext/>
        <w:tabs>
          <w:tab w:val="left" w:pos="850"/>
        </w:tabs>
        <w:spacing w:line="240" w:lineRule="auto"/>
        <w:jc w:val="both"/>
        <w:outlineLvl w:val="0"/>
        <w:rPr>
          <w:b/>
          <w:bCs/>
          <w:smallCaps/>
          <w:noProof/>
          <w:lang w:val="en-IE"/>
        </w:rPr>
        <w:sectPr w:rsidR="00C16C1F" w:rsidSect="00D226F4">
          <w:headerReference w:type="even" r:id="Rf9b422d389144b46"/>
          <w:headerReference w:type="default" r:id="R29e00aee39ea44b6"/>
          <w:footerReference w:type="even" r:id="R5ad2fbda84c0421b"/>
          <w:footerReference w:type="default" r:id="R6b3689f1f614487a"/>
          <w:headerReference w:type="first" r:id="R3329d63e2ec148e1"/>
          <w:footerReference w:type="first" r:id="R1a2ab71039d940a9"/>
          <w:pgSz w:w="16839" w:h="11907" w:orient="landscape"/>
          <w:pgMar w:top="1134" w:right="1134" w:bottom="1134" w:left="1134" w:header="567" w:footer="567" w:gutter="0"/>
          <w:cols w:space="720"/>
          <w:docGrid w:linePitch="326"/>
        </w:sectPr>
      </w:pPr>
    </w:p>
    <w:p w:rsidRPr="00FE48E2" w:rsidR="00D87E44" w:rsidP="00D226F4" w:rsidRDefault="00D87E44" w14:paraId="1545868D" w14:textId="77777777">
      <w:pPr>
        <w:keepNext/>
        <w:tabs>
          <w:tab w:val="left" w:pos="850"/>
        </w:tabs>
        <w:spacing w:line="240" w:lineRule="auto"/>
        <w:jc w:val="both"/>
        <w:outlineLvl w:val="0"/>
        <w:rPr>
          <w:rFonts w:eastAsia="Times New Roman"/>
          <w:b/>
          <w:bCs/>
          <w:noProof/>
          <w:lang w:val="en-IE" w:eastAsia="en-GB"/>
        </w:rPr>
      </w:pPr>
      <w:r w:rsidRPr="1B282876">
        <w:rPr>
          <w:b/>
          <w:bCs/>
          <w:smallCaps/>
          <w:noProof/>
          <w:lang w:val="en-IE"/>
        </w:rPr>
        <w:lastRenderedPageBreak/>
        <w:t xml:space="preserve">Y. COMPONENT 4.5: Development of the Cultural and Creative Sector </w:t>
      </w:r>
    </w:p>
    <w:p w:rsidRPr="00FE48E2" w:rsidR="00D87E44" w:rsidP="00D226F4" w:rsidRDefault="00D87E44" w14:paraId="1545868E" w14:textId="77777777">
      <w:pPr>
        <w:spacing w:line="240" w:lineRule="auto"/>
        <w:jc w:val="both"/>
        <w:rPr>
          <w:rFonts w:eastAsia="Times New Roman"/>
          <w:noProof/>
          <w:color w:val="000000"/>
          <w:szCs w:val="24"/>
          <w:highlight w:val="white"/>
          <w:lang w:val="en-IE" w:eastAsia="en-GB"/>
        </w:rPr>
      </w:pPr>
      <w:r w:rsidRPr="00FE48E2">
        <w:rPr>
          <w:rFonts w:eastAsia="Times New Roman"/>
          <w:noProof/>
          <w:szCs w:val="24"/>
          <w:lang w:val="en-IE" w:eastAsia="en-GB"/>
        </w:rPr>
        <w:t xml:space="preserve">This component </w:t>
      </w:r>
      <w:r w:rsidRPr="00FE48E2">
        <w:rPr>
          <w:rFonts w:eastAsia="Times New Roman"/>
          <w:noProof/>
          <w:szCs w:val="24"/>
          <w:lang w:val="en-IE"/>
        </w:rPr>
        <w:t xml:space="preserve">of the Czech recovery and resilience plan </w:t>
      </w:r>
      <w:r w:rsidRPr="00FE48E2">
        <w:rPr>
          <w:rFonts w:eastAsia="Times New Roman"/>
          <w:noProof/>
          <w:szCs w:val="24"/>
          <w:lang w:val="en-IE" w:eastAsia="en-GB"/>
        </w:rPr>
        <w:t xml:space="preserve">addresses the need to support the recovery of the cultural and creative sectors, which were hard-hit by the COVID-19 pandemic, while making it a firm part of the overall economic and social recovery of the Czech Republic. The component shall also stimulate a digital shift in the </w:t>
      </w:r>
      <w:r w:rsidRPr="00FE48E2">
        <w:rPr>
          <w:rFonts w:eastAsia="Times New Roman"/>
          <w:noProof/>
          <w:color w:val="000000"/>
          <w:szCs w:val="24"/>
          <w:highlight w:val="white"/>
          <w:lang w:val="en-IE" w:eastAsia="en-GB"/>
        </w:rPr>
        <w:t>cultural and creative sectors and their effective integration within the Czech innovation ecosystem. Furthermore, t</w:t>
      </w:r>
      <w:r w:rsidRPr="00FE48E2">
        <w:rPr>
          <w:rFonts w:eastAsia="Times New Roman"/>
          <w:noProof/>
          <w:szCs w:val="24"/>
          <w:lang w:val="en-IE" w:eastAsia="en-GB"/>
        </w:rPr>
        <w:t>he aim is to strengthen the resilience of the cultural and creative sectors through introducing the status of ‘artist</w:t>
      </w:r>
      <w:r w:rsidRPr="00FE48E2">
        <w:rPr>
          <w:rFonts w:eastAsia="Times New Roman"/>
          <w:noProof/>
          <w:szCs w:val="24"/>
          <w:lang w:val="en-IE" w:eastAsia="en-GB"/>
        </w:rPr>
        <w:t>’ in legislation and investing in skills of artists and cultural professionals to foster their adaptability to new, in particular digital, working environments. The component includes measures aimed at relaunching culture and tourism-related activities in the regions, thereby contributing to regional cohesion.</w:t>
      </w:r>
    </w:p>
    <w:p w:rsidRPr="00FE48E2" w:rsidR="00D87E44" w:rsidP="00D226F4" w:rsidRDefault="00D87E44" w14:paraId="1545868F"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The component supports addressing the country-specific recommendation 3, 2019, according to which Czechia shall remove the barriers hampering the development of a fully functioning innovation ecosystem, and country-specific recommendation 2, 2020, according to which Czechia shall support employment through active labour market policies, the provision of skills, including digital skills, and access to digital learning.</w:t>
      </w:r>
    </w:p>
    <w:p w:rsidRPr="008A08C5" w:rsidR="00D87E44" w:rsidP="00D226F4" w:rsidRDefault="00D87E44" w14:paraId="15458690"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w:t>
      </w:r>
    </w:p>
    <w:p w:rsidRPr="00FE48E2" w:rsidR="00D87E44" w:rsidP="00D226F4" w:rsidRDefault="00D87E44" w14:paraId="15458691" w14:textId="77777777">
      <w:pPr>
        <w:spacing w:line="240" w:lineRule="auto"/>
        <w:jc w:val="both"/>
        <w:rPr>
          <w:rFonts w:eastAsia="Times New Roman"/>
          <w:noProof/>
          <w:lang w:val="en-IE" w:eastAsia="en-GB"/>
        </w:rPr>
      </w:pPr>
      <w:r w:rsidRPr="1B282876">
        <w:rPr>
          <w:rFonts w:eastAsia="Times New Roman"/>
          <w:b/>
          <w:bCs/>
          <w:noProof/>
          <w:u w:val="single"/>
          <w:lang w:val="en-IE" w:eastAsia="en-GB"/>
        </w:rPr>
        <w:t>Y.1. Description of the reforms and investments for non-repayable financial support</w:t>
      </w:r>
    </w:p>
    <w:p w:rsidRPr="00801BF1" w:rsidR="00D87E44" w:rsidP="00D226F4" w:rsidRDefault="00D87E44" w14:paraId="15458692" w14:textId="77777777">
      <w:pPr>
        <w:spacing w:line="240" w:lineRule="auto"/>
        <w:jc w:val="both"/>
        <w:rPr>
          <w:rFonts w:eastAsia="Times New Roman"/>
          <w:b/>
          <w:noProof/>
          <w:szCs w:val="24"/>
          <w:lang w:val="en-IE" w:eastAsia="en-GB"/>
        </w:rPr>
      </w:pPr>
      <w:r w:rsidRPr="00EC1ACF">
        <w:rPr>
          <w:rFonts w:eastAsia="Times New Roman"/>
          <w:b/>
          <w:noProof/>
          <w:szCs w:val="24"/>
          <w:lang w:val="en-IE" w:eastAsia="en-GB"/>
        </w:rPr>
        <w:t>Reform 1: Legislative reform introducing multi-source financing of cultural institutions and registration of artists</w:t>
      </w:r>
    </w:p>
    <w:p w:rsidRPr="00FE48E2" w:rsidR="00D87E44" w:rsidP="00D226F4" w:rsidRDefault="00D87E44" w14:paraId="15458693" w14:textId="77777777">
      <w:pPr>
        <w:spacing w:line="240" w:lineRule="auto"/>
        <w:jc w:val="both"/>
        <w:rPr>
          <w:rFonts w:eastAsia="Times New Roman"/>
          <w:noProof/>
          <w:lang w:val="en-IE"/>
        </w:rPr>
      </w:pPr>
      <w:r w:rsidRPr="00801BF1">
        <w:rPr>
          <w:rFonts w:eastAsia="Times New Roman"/>
          <w:noProof/>
          <w:lang w:val="en-IE" w:eastAsia="en-GB"/>
        </w:rPr>
        <w:t xml:space="preserve">The reform aims to foster financial stability and sustainability of cultural institutions, and to </w:t>
      </w:r>
      <w:r w:rsidRPr="00801BF1">
        <w:rPr>
          <w:rFonts w:eastAsia="Times New Roman"/>
          <w:noProof/>
          <w:szCs w:val="24"/>
          <w:lang w:val="en-IE"/>
        </w:rPr>
        <w:t xml:space="preserve"> introduce a formal status and registry of artists allowing for targeted public financial support</w:t>
      </w:r>
      <w:r w:rsidRPr="00801BF1">
        <w:rPr>
          <w:rFonts w:eastAsia="Times New Roman"/>
          <w:noProof/>
          <w:lang w:val="en-IE" w:eastAsia="en-GB"/>
        </w:rPr>
        <w:t>. It consists of the adoption of legislative amendments</w:t>
      </w:r>
      <w:r w:rsidRPr="565784CA">
        <w:rPr>
          <w:rFonts w:eastAsia="Times New Roman"/>
          <w:noProof/>
          <w:lang w:val="en-IE" w:eastAsia="en-GB"/>
        </w:rPr>
        <w:t xml:space="preserve"> introducing multi-source cooperative financing of cultural institutions and creating a registration system for </w:t>
      </w:r>
      <w:r w:rsidRPr="003E3BC0">
        <w:rPr>
          <w:rFonts w:eastAsia="Times New Roman"/>
          <w:noProof/>
          <w:lang w:val="en-IE"/>
        </w:rPr>
        <w:t>artists</w:t>
      </w:r>
      <w:r w:rsidRPr="565784CA">
        <w:rPr>
          <w:rFonts w:eastAsia="Times New Roman"/>
          <w:noProof/>
          <w:lang w:val="en-IE"/>
        </w:rPr>
        <w:t xml:space="preserve"> that qualify for state support.</w:t>
      </w:r>
      <w:r w:rsidRPr="781FE9D9">
        <w:rPr>
          <w:rFonts w:eastAsia="Times New Roman"/>
          <w:noProof/>
          <w:lang w:val="en-IE" w:eastAsia="en-GB"/>
        </w:rPr>
        <w:t xml:space="preserve"> </w:t>
      </w:r>
    </w:p>
    <w:p w:rsidRPr="00FE48E2" w:rsidR="00D87E44" w:rsidP="00D226F4" w:rsidRDefault="00D87E44" w14:paraId="15458694" w14:textId="77777777">
      <w:pPr>
        <w:spacing w:line="240" w:lineRule="auto"/>
        <w:jc w:val="both"/>
        <w:rPr>
          <w:rFonts w:eastAsia="Times New Roman"/>
          <w:noProof/>
          <w:lang w:val="en-IE" w:eastAsia="en-GB"/>
        </w:rPr>
      </w:pPr>
      <w:r w:rsidRPr="781FE9D9">
        <w:rPr>
          <w:rFonts w:eastAsia="Times New Roman"/>
          <w:noProof/>
          <w:lang w:val="en-IE" w:eastAsia="en-GB"/>
        </w:rPr>
        <w:t xml:space="preserve">The reform also includes setting up a  programme </w:t>
      </w:r>
      <w:r>
        <w:rPr>
          <w:rFonts w:eastAsia="Times New Roman"/>
          <w:noProof/>
          <w:lang w:val="en-IE" w:eastAsia="en-GB"/>
        </w:rPr>
        <w:t>of grants</w:t>
      </w:r>
      <w:r w:rsidRPr="781FE9D9">
        <w:rPr>
          <w:rFonts w:eastAsia="Times New Roman"/>
          <w:noProof/>
          <w:lang w:val="en-IE" w:eastAsia="en-GB"/>
        </w:rPr>
        <w:t xml:space="preserve"> to support </w:t>
      </w:r>
      <w:r w:rsidRPr="00C51659">
        <w:rPr>
          <w:rFonts w:eastAsia="Times New Roman"/>
          <w:noProof/>
          <w:lang w:val="en-IE" w:eastAsia="en-GB"/>
        </w:rPr>
        <w:t>the cultural and creative sectors, including support for mobility projects, networking and internationalisation, creative learning projects, skills development for cultural and creative sector workers (e.g., digital skills, financial literacy, management skills</w:t>
      </w:r>
      <w:r>
        <w:rPr>
          <w:rFonts w:eastAsia="Times New Roman"/>
          <w:noProof/>
          <w:lang w:val="en-IE" w:eastAsia="en-GB"/>
        </w:rPr>
        <w:t>, individual creative or study projects</w:t>
      </w:r>
      <w:r w:rsidRPr="00C51659">
        <w:rPr>
          <w:rFonts w:eastAsia="Times New Roman"/>
          <w:noProof/>
          <w:lang w:val="en-IE" w:eastAsia="en-GB"/>
        </w:rPr>
        <w:t>) and projects promoting links with the educational sector (e.g., hosting of foreign lecturers).</w:t>
      </w:r>
    </w:p>
    <w:p w:rsidRPr="00FE48E2" w:rsidR="00D87E44" w:rsidP="00D226F4" w:rsidRDefault="00D87E44" w14:paraId="15458695" w14:textId="77777777">
      <w:pPr>
        <w:spacing w:line="240" w:lineRule="auto"/>
        <w:jc w:val="both"/>
        <w:rPr>
          <w:rFonts w:eastAsia="Times New Roman"/>
          <w:noProof/>
          <w:szCs w:val="24"/>
          <w:lang w:val="en-IE" w:eastAsia="en-GB"/>
        </w:rPr>
      </w:pPr>
      <w:r w:rsidRPr="00FE48E2">
        <w:rPr>
          <w:rFonts w:eastAsia="Times New Roman"/>
          <w:noProof/>
          <w:szCs w:val="24"/>
          <w:lang w:val="en-IE" w:eastAsia="en-GB"/>
        </w:rPr>
        <w:t>The reform shall be completed by 31 December 202</w:t>
      </w:r>
      <w:r>
        <w:rPr>
          <w:rFonts w:eastAsia="Times New Roman"/>
          <w:noProof/>
          <w:szCs w:val="24"/>
          <w:lang w:val="en-IE" w:eastAsia="en-GB"/>
        </w:rPr>
        <w:t>4</w:t>
      </w:r>
      <w:r w:rsidRPr="00FE48E2">
        <w:rPr>
          <w:rFonts w:eastAsia="Times New Roman"/>
          <w:noProof/>
          <w:szCs w:val="24"/>
          <w:lang w:val="en-IE" w:eastAsia="en-GB"/>
        </w:rPr>
        <w:t>.</w:t>
      </w:r>
    </w:p>
    <w:p w:rsidRPr="00FE48E2" w:rsidR="00D87E44" w:rsidP="00D226F4" w:rsidRDefault="00D87E44" w14:paraId="15458696" w14:textId="77777777">
      <w:pPr>
        <w:spacing w:line="240" w:lineRule="auto"/>
        <w:jc w:val="both"/>
        <w:rPr>
          <w:rFonts w:eastAsia="Times New Roman"/>
          <w:b/>
          <w:noProof/>
          <w:szCs w:val="24"/>
          <w:lang w:val="en-IE" w:eastAsia="en-GB"/>
        </w:rPr>
      </w:pPr>
      <w:r w:rsidRPr="00FE48E2">
        <w:rPr>
          <w:rFonts w:eastAsia="Times New Roman"/>
          <w:b/>
          <w:noProof/>
          <w:szCs w:val="24"/>
          <w:lang w:val="en-IE" w:eastAsia="en-GB"/>
        </w:rPr>
        <w:t xml:space="preserve">Investment 1: </w:t>
      </w:r>
      <w:r>
        <w:rPr>
          <w:rFonts w:eastAsia="Times New Roman"/>
          <w:b/>
          <w:noProof/>
          <w:szCs w:val="24"/>
          <w:lang w:val="en-IE" w:eastAsia="en-GB"/>
        </w:rPr>
        <w:t>Support for</w:t>
      </w:r>
      <w:r w:rsidRPr="00FE48E2">
        <w:rPr>
          <w:rFonts w:eastAsia="Times New Roman"/>
          <w:b/>
          <w:noProof/>
          <w:szCs w:val="24"/>
          <w:lang w:val="en-IE" w:eastAsia="en-GB"/>
        </w:rPr>
        <w:t xml:space="preserve"> regional cultural and creative sectors</w:t>
      </w:r>
    </w:p>
    <w:p w:rsidRPr="00FE48E2" w:rsidR="00D87E44" w:rsidP="00D226F4" w:rsidRDefault="00D87E44" w14:paraId="15458697" w14:textId="77777777">
      <w:pPr>
        <w:spacing w:line="240" w:lineRule="auto"/>
        <w:jc w:val="both"/>
        <w:rPr>
          <w:rFonts w:eastAsia="Times New Roman"/>
          <w:noProof/>
          <w:lang w:val="en-IE" w:eastAsia="en-GB"/>
        </w:rPr>
      </w:pPr>
      <w:r w:rsidRPr="121DF778">
        <w:rPr>
          <w:rFonts w:eastAsia="Times New Roman"/>
          <w:noProof/>
          <w:lang w:val="en-IE" w:eastAsia="en-GB"/>
        </w:rPr>
        <w:t xml:space="preserve">The objective of this measure is to </w:t>
      </w:r>
      <w:r>
        <w:rPr>
          <w:rFonts w:eastAsia="Times New Roman"/>
          <w:noProof/>
          <w:lang w:val="en-IE" w:eastAsia="en-GB"/>
        </w:rPr>
        <w:t>support</w:t>
      </w:r>
      <w:r w:rsidRPr="121DF778">
        <w:rPr>
          <w:rFonts w:eastAsia="Times New Roman"/>
          <w:noProof/>
          <w:lang w:val="en-IE" w:eastAsia="en-GB"/>
        </w:rPr>
        <w:t xml:space="preserve"> the cultural and creative sectors in</w:t>
      </w:r>
      <w:r w:rsidRPr="69BD1277">
        <w:rPr>
          <w:rFonts w:eastAsia="Times New Roman"/>
          <w:noProof/>
          <w:lang w:val="en-IE" w:eastAsia="en-GB"/>
        </w:rPr>
        <w:t xml:space="preserve"> the Czech Republic and </w:t>
      </w:r>
      <w:r>
        <w:rPr>
          <w:rFonts w:eastAsia="Times New Roman"/>
          <w:noProof/>
          <w:lang w:val="en-IE" w:eastAsia="en-GB"/>
        </w:rPr>
        <w:t>create</w:t>
      </w:r>
      <w:r w:rsidRPr="69BD1277">
        <w:rPr>
          <w:rFonts w:eastAsia="Times New Roman"/>
          <w:noProof/>
          <w:lang w:val="en-IE" w:eastAsia="en-GB"/>
        </w:rPr>
        <w:t xml:space="preserve"> links between culture, creative industries and regional innovation ecosystems. </w:t>
      </w:r>
      <w:r w:rsidRPr="121DF778">
        <w:rPr>
          <w:rFonts w:eastAsia="Times New Roman"/>
          <w:noProof/>
          <w:lang w:val="en-IE" w:eastAsia="en-GB"/>
        </w:rPr>
        <w:t>The measure consists of the support for at least 15 cultural and creative regional centres</w:t>
      </w:r>
      <w:r>
        <w:rPr>
          <w:rFonts w:eastAsia="Times New Roman"/>
          <w:noProof/>
          <w:lang w:val="en-IE" w:eastAsia="en-GB"/>
        </w:rPr>
        <w:t>.</w:t>
      </w:r>
    </w:p>
    <w:p w:rsidRPr="00FE48E2" w:rsidR="00D87E44" w:rsidP="00D226F4" w:rsidRDefault="00D87E44" w14:paraId="15458698" w14:textId="77777777">
      <w:pPr>
        <w:spacing w:line="240" w:lineRule="auto"/>
        <w:jc w:val="both"/>
        <w:rPr>
          <w:rFonts w:eastAsia="Times New Roman"/>
          <w:b/>
          <w:noProof/>
          <w:szCs w:val="24"/>
          <w:lang w:val="en-IE" w:eastAsia="en-GB"/>
        </w:rPr>
      </w:pPr>
      <w:r w:rsidRPr="00FE48E2">
        <w:rPr>
          <w:rFonts w:eastAsia="Times New Roman"/>
          <w:b/>
          <w:noProof/>
          <w:szCs w:val="24"/>
          <w:lang w:val="en-IE" w:eastAsia="en-GB"/>
        </w:rPr>
        <w:t>Investment 2: Digitalisation of cultural and creative sectors</w:t>
      </w:r>
    </w:p>
    <w:p w:rsidRPr="00FF1320" w:rsidR="00D87E44" w:rsidP="00FF1320" w:rsidRDefault="00D87E44" w14:paraId="15458699" w14:textId="77777777">
      <w:pPr>
        <w:spacing w:line="240" w:lineRule="auto"/>
        <w:jc w:val="both"/>
        <w:rPr>
          <w:lang w:val="en-IE"/>
        </w:rPr>
      </w:pPr>
      <w:r w:rsidRPr="69BD1277">
        <w:rPr>
          <w:rFonts w:eastAsia="Times New Roman"/>
          <w:noProof/>
          <w:lang w:val="en-IE" w:eastAsia="en-GB"/>
        </w:rPr>
        <w:t>The objective of this measure is to support digitalisation of the cultural and creative sector to ensure its preservation and its accessibility. The measure consi</w:t>
      </w:r>
      <w:r>
        <w:rPr>
          <w:rFonts w:eastAsia="Times New Roman"/>
          <w:noProof/>
          <w:lang w:val="en-IE" w:eastAsia="en-GB"/>
        </w:rPr>
        <w:t>s</w:t>
      </w:r>
      <w:r w:rsidRPr="69BD1277">
        <w:rPr>
          <w:rFonts w:eastAsia="Times New Roman"/>
          <w:noProof/>
          <w:lang w:val="en-IE" w:eastAsia="en-GB"/>
        </w:rPr>
        <w:t xml:space="preserve">ts of </w:t>
      </w:r>
      <w:r w:rsidRPr="00FF1320">
        <w:rPr>
          <w:color w:val="000000" w:themeColor="text1"/>
          <w:lang w:val="en-IE"/>
        </w:rPr>
        <w:t xml:space="preserve">a grant scheme to support </w:t>
      </w:r>
      <w:r w:rsidRPr="69BD1277">
        <w:rPr>
          <w:rFonts w:eastAsia="Times New Roman"/>
          <w:noProof/>
          <w:color w:val="000000" w:themeColor="text1"/>
          <w:lang w:val="en-IE" w:eastAsia="en-GB"/>
        </w:rPr>
        <w:t xml:space="preserve">projects of </w:t>
      </w:r>
      <w:r w:rsidRPr="69BD1277">
        <w:rPr>
          <w:rFonts w:eastAsia="Times New Roman"/>
          <w:noProof/>
          <w:color w:val="000000" w:themeColor="text1"/>
          <w:lang w:val="en-IE" w:eastAsia="en-GB"/>
        </w:rPr>
        <w:lastRenderedPageBreak/>
        <w:t>digitalisation, for example</w:t>
      </w:r>
      <w:r w:rsidRPr="00FF1320">
        <w:rPr>
          <w:color w:val="000000" w:themeColor="text1"/>
          <w:lang w:val="en-IE"/>
        </w:rPr>
        <w:t xml:space="preserve"> digitalisation of libraries, </w:t>
      </w:r>
      <w:r w:rsidRPr="69BD1277">
        <w:rPr>
          <w:rFonts w:eastAsia="Times New Roman"/>
          <w:noProof/>
          <w:color w:val="000000" w:themeColor="text1"/>
          <w:lang w:val="en-IE" w:eastAsia="en-GB"/>
        </w:rPr>
        <w:t>of</w:t>
      </w:r>
      <w:r w:rsidRPr="00FF1320">
        <w:rPr>
          <w:color w:val="000000" w:themeColor="text1"/>
          <w:lang w:val="en-IE"/>
        </w:rPr>
        <w:t xml:space="preserve"> cultural </w:t>
      </w:r>
      <w:r w:rsidRPr="69BD1277">
        <w:rPr>
          <w:rFonts w:eastAsia="Times New Roman"/>
          <w:noProof/>
          <w:color w:val="000000" w:themeColor="text1"/>
          <w:lang w:val="en-IE" w:eastAsia="en-GB"/>
        </w:rPr>
        <w:t xml:space="preserve">assets and national cultural monuments, </w:t>
      </w:r>
      <w:r w:rsidRPr="00FF1320">
        <w:rPr>
          <w:color w:val="000000" w:themeColor="text1"/>
          <w:lang w:val="en-IE"/>
        </w:rPr>
        <w:t xml:space="preserve">digitalisation </w:t>
      </w:r>
      <w:r w:rsidRPr="69BD1277">
        <w:rPr>
          <w:rFonts w:eastAsia="Times New Roman"/>
          <w:noProof/>
          <w:color w:val="000000" w:themeColor="text1"/>
          <w:lang w:val="en-IE" w:eastAsia="en-GB"/>
        </w:rPr>
        <w:t xml:space="preserve">in the field of visual arts and architecture, </w:t>
      </w:r>
      <w:r>
        <w:rPr>
          <w:rFonts w:eastAsia="Times New Roman"/>
          <w:noProof/>
          <w:color w:val="000000" w:themeColor="text1"/>
          <w:lang w:val="en-IE" w:eastAsia="en-GB"/>
        </w:rPr>
        <w:t>or</w:t>
      </w:r>
      <w:r w:rsidRPr="69BD1277">
        <w:rPr>
          <w:rFonts w:eastAsia="Times New Roman"/>
          <w:noProof/>
          <w:color w:val="000000" w:themeColor="text1"/>
          <w:lang w:val="en-IE" w:eastAsia="en-GB"/>
        </w:rPr>
        <w:t xml:space="preserve"> digital</w:t>
      </w:r>
      <w:r>
        <w:rPr>
          <w:rFonts w:eastAsia="Times New Roman"/>
          <w:noProof/>
          <w:color w:val="000000" w:themeColor="text1"/>
          <w:lang w:val="en-IE" w:eastAsia="en-GB"/>
        </w:rPr>
        <w:t>isation</w:t>
      </w:r>
      <w:r w:rsidRPr="69BD1277">
        <w:rPr>
          <w:rFonts w:eastAsia="Times New Roman"/>
          <w:noProof/>
          <w:color w:val="000000" w:themeColor="text1"/>
          <w:lang w:val="en-IE" w:eastAsia="en-GB"/>
        </w:rPr>
        <w:t xml:space="preserve"> of audiovisual heritage</w:t>
      </w:r>
      <w:r w:rsidRPr="00FF1320">
        <w:rPr>
          <w:color w:val="000000" w:themeColor="text1"/>
          <w:lang w:val="en-IE"/>
        </w:rPr>
        <w:t xml:space="preserve">. </w:t>
      </w:r>
    </w:p>
    <w:p w:rsidRPr="00FE48E2" w:rsidR="00D87E44" w:rsidP="00D226F4" w:rsidRDefault="00D87E44" w14:paraId="1545869A" w14:textId="77777777">
      <w:pPr>
        <w:spacing w:line="240" w:lineRule="auto"/>
        <w:jc w:val="both"/>
        <w:rPr>
          <w:rFonts w:eastAsia="Times New Roman"/>
          <w:b/>
          <w:noProof/>
          <w:szCs w:val="24"/>
          <w:lang w:val="en-IE" w:eastAsia="en-GB"/>
        </w:rPr>
      </w:pPr>
      <w:r w:rsidRPr="00FE48E2">
        <w:rPr>
          <w:rFonts w:eastAsia="Times New Roman"/>
          <w:b/>
          <w:noProof/>
          <w:szCs w:val="24"/>
          <w:lang w:val="en-IE" w:eastAsia="en-GB"/>
        </w:rPr>
        <w:t>Investment 3: Creative vouchers</w:t>
      </w:r>
      <w:r>
        <w:rPr>
          <w:rFonts w:eastAsia="Times New Roman"/>
          <w:b/>
          <w:noProof/>
          <w:szCs w:val="24"/>
          <w:lang w:val="en-IE" w:eastAsia="en-GB"/>
        </w:rPr>
        <w:t xml:space="preserve"> and design credits</w:t>
      </w:r>
    </w:p>
    <w:p w:rsidR="00D87E44" w:rsidP="00D226F4" w:rsidRDefault="00D87E44" w14:paraId="1545869B" w14:textId="77777777">
      <w:pPr>
        <w:spacing w:line="240" w:lineRule="auto"/>
        <w:jc w:val="both"/>
        <w:rPr>
          <w:rFonts w:eastAsia="Times New Roman"/>
          <w:noProof/>
          <w:lang w:val="en-IE" w:eastAsia="en-GB"/>
        </w:rPr>
      </w:pPr>
      <w:r w:rsidRPr="017B78D0">
        <w:rPr>
          <w:rFonts w:eastAsia="Times New Roman"/>
          <w:noProof/>
          <w:lang w:val="en-IE" w:eastAsia="en-GB"/>
        </w:rPr>
        <w:t xml:space="preserve">The </w:t>
      </w:r>
      <w:r>
        <w:rPr>
          <w:rFonts w:eastAsia="Times New Roman"/>
          <w:noProof/>
          <w:lang w:val="en-IE" w:eastAsia="en-GB"/>
        </w:rPr>
        <w:t>objective of this measure is to support</w:t>
      </w:r>
      <w:r w:rsidRPr="017B78D0">
        <w:rPr>
          <w:rFonts w:eastAsia="Times New Roman"/>
          <w:noProof/>
          <w:lang w:val="en-IE" w:eastAsia="en-GB"/>
        </w:rPr>
        <w:t xml:space="preserve"> innovation </w:t>
      </w:r>
      <w:r>
        <w:rPr>
          <w:rFonts w:eastAsia="Times New Roman"/>
          <w:noProof/>
          <w:lang w:val="en-IE" w:eastAsia="en-GB"/>
        </w:rPr>
        <w:t xml:space="preserve">in </w:t>
      </w:r>
      <w:r w:rsidRPr="017B78D0">
        <w:rPr>
          <w:rFonts w:eastAsia="Times New Roman"/>
          <w:noProof/>
          <w:lang w:val="en-IE" w:eastAsia="en-GB"/>
        </w:rPr>
        <w:t xml:space="preserve">the emerging creative sectors. The </w:t>
      </w:r>
      <w:r>
        <w:rPr>
          <w:rFonts w:eastAsia="Times New Roman"/>
          <w:noProof/>
          <w:lang w:val="en-IE" w:eastAsia="en-GB"/>
        </w:rPr>
        <w:t>measure consists of</w:t>
      </w:r>
      <w:r w:rsidRPr="017B78D0">
        <w:rPr>
          <w:rFonts w:eastAsia="Times New Roman"/>
          <w:noProof/>
          <w:lang w:val="en-IE" w:eastAsia="en-GB"/>
        </w:rPr>
        <w:t xml:space="preserve"> a voucher scheme</w:t>
      </w:r>
      <w:r>
        <w:rPr>
          <w:rFonts w:eastAsia="Times New Roman"/>
          <w:noProof/>
          <w:lang w:val="en-IE" w:eastAsia="en-GB"/>
        </w:rPr>
        <w:t>.</w:t>
      </w:r>
      <w:r w:rsidRPr="017B78D0">
        <w:rPr>
          <w:rFonts w:eastAsia="Times New Roman"/>
          <w:noProof/>
          <w:lang w:val="en-IE" w:eastAsia="en-GB"/>
        </w:rPr>
        <w:t xml:space="preserve"> </w:t>
      </w:r>
    </w:p>
    <w:p w:rsidRPr="00FE48E2" w:rsidR="00D87E44" w:rsidP="00D226F4" w:rsidRDefault="00D87E44" w14:paraId="1545869C" w14:textId="77777777">
      <w:pPr>
        <w:spacing w:line="240" w:lineRule="auto"/>
        <w:jc w:val="both"/>
        <w:rPr>
          <w:rFonts w:eastAsia="Times New Roman"/>
          <w:noProof/>
          <w:szCs w:val="24"/>
          <w:lang w:val="en-IE" w:eastAsia="en-GB"/>
        </w:rPr>
        <w:sectPr w:rsidRPr="00FE48E2" w:rsidR="00C16C1F" w:rsidSect="00D226F4">
          <w:headerReference w:type="even" r:id="R1c81af60652a4bdd"/>
          <w:headerReference w:type="default" r:id="R44994a38002448a4"/>
          <w:footerReference w:type="even" r:id="Rc46a631333c247de"/>
          <w:footerReference w:type="default" r:id="Ra085228dd2ba4c73"/>
          <w:headerReference w:type="first" r:id="Rd904f188ae0241a0"/>
          <w:footerReference w:type="first" r:id="R71ffd4969eba4741"/>
          <w:pgSz w:w="11907" w:h="16839"/>
          <w:pgMar w:top="1134" w:right="1134" w:bottom="1134" w:left="1134" w:header="567" w:footer="567" w:gutter="0"/>
          <w:cols w:space="720"/>
          <w:docGrid w:linePitch="326"/>
        </w:sectPr>
      </w:pPr>
    </w:p>
    <w:p w:rsidRPr="00FE48E2" w:rsidR="00D87E44" w:rsidP="00D226F4" w:rsidRDefault="00D87E44" w14:paraId="1545869D" w14:textId="77777777">
      <w:pPr>
        <w:pBdr>
          <w:top w:val="nil"/>
          <w:left w:val="nil"/>
          <w:bottom w:val="nil"/>
          <w:right w:val="nil"/>
          <w:between w:val="nil"/>
        </w:pBdr>
        <w:tabs>
          <w:tab w:val="left" w:pos="993"/>
        </w:tabs>
        <w:spacing w:line="240" w:lineRule="auto"/>
        <w:jc w:val="both"/>
        <w:rPr>
          <w:rFonts w:eastAsia="Times New Roman"/>
          <w:b/>
          <w:bCs/>
          <w:noProof/>
          <w:color w:val="000000"/>
          <w:u w:val="single"/>
          <w:lang w:val="en-IE" w:eastAsia="en-GB"/>
        </w:rPr>
      </w:pPr>
      <w:r w:rsidRPr="1B282876">
        <w:rPr>
          <w:rFonts w:eastAsia="Times New Roman"/>
          <w:b/>
          <w:bCs/>
          <w:noProof/>
          <w:color w:val="000000" w:themeColor="text1"/>
          <w:u w:val="single"/>
          <w:lang w:val="en-IE" w:eastAsia="en-GB"/>
        </w:rPr>
        <w:lastRenderedPageBreak/>
        <w:t xml:space="preserve">Y.2. Milestones, targets, indicators, and timetable for monitoring and implementation for non-repayable financial support </w:t>
      </w:r>
    </w:p>
    <w:tbl>
      <w:tblPr>
        <w:tblW w:w="15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04"/>
        <w:gridCol w:w="1708"/>
        <w:gridCol w:w="1077"/>
        <w:gridCol w:w="1560"/>
        <w:gridCol w:w="1559"/>
        <w:gridCol w:w="1077"/>
        <w:gridCol w:w="1077"/>
        <w:gridCol w:w="709"/>
        <w:gridCol w:w="850"/>
        <w:gridCol w:w="608"/>
        <w:gridCol w:w="4745"/>
      </w:tblGrid>
      <w:tr w:rsidRPr="00FE48E2" w:rsidR="00E3458A" w:rsidTr="001A4D46" w14:paraId="154586A6" w14:textId="77777777">
        <w:trPr>
          <w:trHeight w:val="107"/>
          <w:tblHeader/>
          <w:jc w:val="center"/>
        </w:trPr>
        <w:tc>
          <w:tcPr>
            <w:tcW w:w="704" w:type="dxa"/>
            <w:vMerge w:val="restart"/>
            <w:shd w:val="clear" w:color="auto" w:fill="BDD7EE"/>
            <w:vAlign w:val="center"/>
          </w:tcPr>
          <w:p w:rsidRPr="00FE48E2" w:rsidR="00D87E44" w:rsidRDefault="00D87E44" w14:paraId="1545869E" w14:textId="77777777">
            <w:pPr>
              <w:spacing w:line="240" w:lineRule="auto"/>
              <w:jc w:val="center"/>
              <w:rPr>
                <w:noProof/>
                <w:sz w:val="18"/>
                <w:szCs w:val="18"/>
                <w:lang w:val="en-IE"/>
              </w:rPr>
            </w:pPr>
            <w:r w:rsidRPr="00FE48E2">
              <w:rPr>
                <w:b/>
                <w:noProof/>
                <w:sz w:val="18"/>
                <w:szCs w:val="18"/>
                <w:lang w:val="en-IE"/>
              </w:rPr>
              <w:t>Seq. Num.</w:t>
            </w:r>
          </w:p>
        </w:tc>
        <w:tc>
          <w:tcPr>
            <w:tcW w:w="1708" w:type="dxa"/>
            <w:vMerge w:val="restart"/>
            <w:shd w:val="clear" w:color="auto" w:fill="BDD7EE"/>
            <w:vAlign w:val="center"/>
          </w:tcPr>
          <w:p w:rsidRPr="00FE48E2" w:rsidR="00D87E44" w:rsidRDefault="00D87E44" w14:paraId="1545869F"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077" w:type="dxa"/>
            <w:vMerge w:val="restart"/>
            <w:shd w:val="clear" w:color="auto" w:fill="BDD7EE"/>
            <w:vAlign w:val="center"/>
          </w:tcPr>
          <w:p w:rsidRPr="00FE48E2" w:rsidR="00D87E44" w:rsidRDefault="00D87E44" w14:paraId="154586A0"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560" w:type="dxa"/>
            <w:vMerge w:val="restart"/>
            <w:shd w:val="clear" w:color="auto" w:fill="BDD7EE"/>
            <w:vAlign w:val="center"/>
          </w:tcPr>
          <w:p w:rsidRPr="00FE48E2" w:rsidR="00D87E44" w:rsidRDefault="00D87E44" w14:paraId="154586A1"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559" w:type="dxa"/>
            <w:vMerge w:val="restart"/>
            <w:shd w:val="clear" w:color="auto" w:fill="BDD7EE"/>
            <w:vAlign w:val="center"/>
          </w:tcPr>
          <w:p w:rsidRPr="00FE48E2" w:rsidR="00D87E44" w:rsidRDefault="00D87E44" w14:paraId="154586A2"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2863" w:type="dxa"/>
            <w:gridSpan w:val="3"/>
            <w:shd w:val="clear" w:color="auto" w:fill="BDD7EE"/>
            <w:vAlign w:val="center"/>
          </w:tcPr>
          <w:p w:rsidRPr="00FE48E2" w:rsidR="00D87E44" w:rsidRDefault="00D87E44" w14:paraId="154586A3"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458" w:type="dxa"/>
            <w:gridSpan w:val="2"/>
            <w:shd w:val="clear" w:color="auto" w:fill="BDD7EE"/>
            <w:vAlign w:val="center"/>
          </w:tcPr>
          <w:p w:rsidRPr="00FE48E2" w:rsidR="00D87E44" w:rsidRDefault="00D87E44" w14:paraId="154586A4"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745" w:type="dxa"/>
            <w:vMerge w:val="restart"/>
            <w:shd w:val="clear" w:color="auto" w:fill="BDD7EE"/>
            <w:vAlign w:val="center"/>
          </w:tcPr>
          <w:p w:rsidRPr="00FE48E2" w:rsidR="00D87E44" w:rsidRDefault="00D87E44" w14:paraId="154586A5"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001A4D46" w14:paraId="154586B2" w14:textId="77777777">
        <w:trPr>
          <w:trHeight w:val="173"/>
          <w:tblHeader/>
          <w:jc w:val="center"/>
        </w:trPr>
        <w:tc>
          <w:tcPr>
            <w:tcW w:w="704" w:type="dxa"/>
            <w:vMerge/>
            <w:vAlign w:val="center"/>
          </w:tcPr>
          <w:p w:rsidRPr="00FE48E2" w:rsidR="00D87E44" w:rsidRDefault="00D87E44" w14:paraId="154586A7" w14:textId="77777777">
            <w:pPr>
              <w:spacing w:line="240" w:lineRule="auto"/>
              <w:jc w:val="center"/>
              <w:rPr>
                <w:noProof/>
                <w:sz w:val="18"/>
                <w:szCs w:val="18"/>
                <w:lang w:val="en-IE"/>
              </w:rPr>
            </w:pPr>
          </w:p>
        </w:tc>
        <w:tc>
          <w:tcPr>
            <w:tcW w:w="1708" w:type="dxa"/>
            <w:vMerge/>
            <w:vAlign w:val="center"/>
          </w:tcPr>
          <w:p w:rsidRPr="00FE48E2" w:rsidR="00D87E44" w:rsidRDefault="00D87E44" w14:paraId="154586A8" w14:textId="77777777">
            <w:pPr>
              <w:spacing w:line="240" w:lineRule="auto"/>
              <w:jc w:val="center"/>
              <w:rPr>
                <w:noProof/>
                <w:sz w:val="18"/>
                <w:szCs w:val="18"/>
                <w:lang w:val="en-IE"/>
              </w:rPr>
            </w:pPr>
          </w:p>
        </w:tc>
        <w:tc>
          <w:tcPr>
            <w:tcW w:w="1077" w:type="dxa"/>
            <w:vMerge/>
            <w:vAlign w:val="center"/>
          </w:tcPr>
          <w:p w:rsidRPr="00FE48E2" w:rsidR="00D87E44" w:rsidRDefault="00D87E44" w14:paraId="154586A9" w14:textId="77777777">
            <w:pPr>
              <w:spacing w:line="240" w:lineRule="auto"/>
              <w:jc w:val="center"/>
              <w:rPr>
                <w:noProof/>
                <w:sz w:val="18"/>
                <w:szCs w:val="18"/>
                <w:lang w:val="en-IE"/>
              </w:rPr>
            </w:pPr>
          </w:p>
        </w:tc>
        <w:tc>
          <w:tcPr>
            <w:tcW w:w="1560" w:type="dxa"/>
            <w:vMerge/>
            <w:vAlign w:val="center"/>
          </w:tcPr>
          <w:p w:rsidRPr="00FE48E2" w:rsidR="00D87E44" w:rsidRDefault="00D87E44" w14:paraId="154586AA" w14:textId="77777777">
            <w:pPr>
              <w:spacing w:line="240" w:lineRule="auto"/>
              <w:jc w:val="center"/>
              <w:rPr>
                <w:noProof/>
                <w:sz w:val="18"/>
                <w:szCs w:val="18"/>
                <w:lang w:val="en-IE"/>
              </w:rPr>
            </w:pPr>
          </w:p>
        </w:tc>
        <w:tc>
          <w:tcPr>
            <w:tcW w:w="1559" w:type="dxa"/>
            <w:vMerge/>
            <w:vAlign w:val="center"/>
          </w:tcPr>
          <w:p w:rsidRPr="00FE48E2" w:rsidR="00D87E44" w:rsidRDefault="00D87E44" w14:paraId="154586AB" w14:textId="77777777">
            <w:pPr>
              <w:spacing w:line="240" w:lineRule="auto"/>
              <w:jc w:val="center"/>
              <w:rPr>
                <w:noProof/>
                <w:sz w:val="18"/>
                <w:szCs w:val="18"/>
                <w:lang w:val="en-IE"/>
              </w:rPr>
            </w:pPr>
          </w:p>
        </w:tc>
        <w:tc>
          <w:tcPr>
            <w:tcW w:w="1077" w:type="dxa"/>
            <w:shd w:val="clear" w:color="auto" w:fill="BDD7EE"/>
            <w:vAlign w:val="center"/>
          </w:tcPr>
          <w:p w:rsidRPr="00290CF7" w:rsidR="00D87E44" w:rsidRDefault="00D87E44" w14:paraId="154586AC" w14:textId="77777777">
            <w:pPr>
              <w:spacing w:line="240" w:lineRule="auto"/>
              <w:jc w:val="center"/>
              <w:rPr>
                <w:noProof/>
                <w:sz w:val="18"/>
                <w:szCs w:val="18"/>
                <w:lang w:val="en-IE"/>
              </w:rPr>
            </w:pPr>
            <w:r w:rsidRPr="00290CF7">
              <w:rPr>
                <w:rFonts w:eastAsia="Times New Roman"/>
                <w:b/>
                <w:noProof/>
                <w:sz w:val="18"/>
                <w:szCs w:val="18"/>
                <w:lang w:val="en-IE"/>
              </w:rPr>
              <w:t>Unit of measure</w:t>
            </w:r>
          </w:p>
        </w:tc>
        <w:tc>
          <w:tcPr>
            <w:tcW w:w="1077" w:type="dxa"/>
            <w:shd w:val="clear" w:color="auto" w:fill="BDD7EE"/>
            <w:vAlign w:val="center"/>
          </w:tcPr>
          <w:p w:rsidRPr="00290CF7" w:rsidR="00D87E44" w:rsidRDefault="00D87E44" w14:paraId="154586AD" w14:textId="77777777">
            <w:pPr>
              <w:spacing w:line="240" w:lineRule="auto"/>
              <w:jc w:val="center"/>
              <w:rPr>
                <w:noProof/>
                <w:sz w:val="18"/>
                <w:szCs w:val="18"/>
                <w:lang w:val="en-IE"/>
              </w:rPr>
            </w:pPr>
            <w:r w:rsidRPr="00290CF7">
              <w:rPr>
                <w:rFonts w:eastAsia="Times New Roman"/>
                <w:b/>
                <w:noProof/>
                <w:sz w:val="18"/>
                <w:szCs w:val="18"/>
                <w:lang w:val="en-IE"/>
              </w:rPr>
              <w:t>Baseline</w:t>
            </w:r>
          </w:p>
        </w:tc>
        <w:tc>
          <w:tcPr>
            <w:tcW w:w="709" w:type="dxa"/>
            <w:shd w:val="clear" w:color="auto" w:fill="BDD7EE"/>
            <w:vAlign w:val="center"/>
          </w:tcPr>
          <w:p w:rsidRPr="00290CF7" w:rsidR="00D87E44" w:rsidRDefault="00D87E44" w14:paraId="154586AE" w14:textId="77777777">
            <w:pPr>
              <w:spacing w:line="240" w:lineRule="auto"/>
              <w:jc w:val="center"/>
              <w:rPr>
                <w:noProof/>
                <w:sz w:val="18"/>
                <w:szCs w:val="18"/>
                <w:lang w:val="en-IE"/>
              </w:rPr>
            </w:pPr>
            <w:r w:rsidRPr="00290CF7">
              <w:rPr>
                <w:rFonts w:eastAsia="Times New Roman"/>
                <w:b/>
                <w:noProof/>
                <w:sz w:val="18"/>
                <w:szCs w:val="18"/>
                <w:lang w:val="en-IE"/>
              </w:rPr>
              <w:t>Goal</w:t>
            </w:r>
          </w:p>
        </w:tc>
        <w:tc>
          <w:tcPr>
            <w:tcW w:w="850" w:type="dxa"/>
            <w:shd w:val="clear" w:color="auto" w:fill="BDD7EE"/>
            <w:vAlign w:val="center"/>
          </w:tcPr>
          <w:p w:rsidRPr="00290CF7" w:rsidR="00D87E44" w:rsidRDefault="00D87E44" w14:paraId="154586AF" w14:textId="77777777">
            <w:pPr>
              <w:spacing w:line="240" w:lineRule="auto"/>
              <w:jc w:val="center"/>
              <w:rPr>
                <w:noProof/>
                <w:sz w:val="18"/>
                <w:szCs w:val="18"/>
                <w:lang w:val="en-IE"/>
              </w:rPr>
            </w:pPr>
            <w:r w:rsidRPr="00290CF7">
              <w:rPr>
                <w:rFonts w:eastAsia="Times New Roman"/>
                <w:b/>
                <w:noProof/>
                <w:sz w:val="18"/>
                <w:szCs w:val="18"/>
                <w:lang w:val="en-IE"/>
              </w:rPr>
              <w:t>Quarter</w:t>
            </w:r>
          </w:p>
        </w:tc>
        <w:tc>
          <w:tcPr>
            <w:tcW w:w="608" w:type="dxa"/>
            <w:shd w:val="clear" w:color="auto" w:fill="BDD7EE"/>
            <w:vAlign w:val="center"/>
          </w:tcPr>
          <w:p w:rsidRPr="00290CF7" w:rsidR="00D87E44" w:rsidRDefault="00D87E44" w14:paraId="154586B0" w14:textId="77777777">
            <w:pPr>
              <w:spacing w:line="240" w:lineRule="auto"/>
              <w:jc w:val="center"/>
              <w:rPr>
                <w:noProof/>
                <w:sz w:val="18"/>
                <w:szCs w:val="18"/>
                <w:lang w:val="en-IE"/>
              </w:rPr>
            </w:pPr>
            <w:r w:rsidRPr="00290CF7">
              <w:rPr>
                <w:rFonts w:eastAsia="Times New Roman"/>
                <w:b/>
                <w:noProof/>
                <w:sz w:val="18"/>
                <w:szCs w:val="18"/>
                <w:lang w:val="en-IE"/>
              </w:rPr>
              <w:t>Year</w:t>
            </w:r>
          </w:p>
        </w:tc>
        <w:tc>
          <w:tcPr>
            <w:tcW w:w="4745" w:type="dxa"/>
            <w:vMerge/>
            <w:vAlign w:val="center"/>
          </w:tcPr>
          <w:p w:rsidRPr="00FE48E2" w:rsidR="00D87E44" w:rsidRDefault="00D87E44" w14:paraId="154586B1" w14:textId="77777777">
            <w:pPr>
              <w:spacing w:line="240" w:lineRule="auto"/>
              <w:jc w:val="center"/>
              <w:rPr>
                <w:noProof/>
                <w:sz w:val="18"/>
                <w:szCs w:val="18"/>
                <w:lang w:val="en-IE"/>
              </w:rPr>
            </w:pPr>
          </w:p>
        </w:tc>
      </w:tr>
      <w:tr w:rsidRPr="00FE48E2" w:rsidR="00E3458A" w:rsidTr="001A4D46" w14:paraId="154586BE" w14:textId="77777777">
        <w:trPr>
          <w:trHeight w:val="1369"/>
          <w:jc w:val="center"/>
        </w:trPr>
        <w:tc>
          <w:tcPr>
            <w:tcW w:w="704" w:type="dxa"/>
            <w:shd w:val="clear" w:color="auto" w:fill="C6EFCE"/>
          </w:tcPr>
          <w:p w:rsidRPr="00EC1ACF" w:rsidR="00D87E44" w:rsidRDefault="00D87E44" w14:paraId="154586B3"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218</w:t>
            </w:r>
          </w:p>
        </w:tc>
        <w:tc>
          <w:tcPr>
            <w:tcW w:w="1708" w:type="dxa"/>
            <w:shd w:val="clear" w:color="auto" w:fill="C6EFCE"/>
          </w:tcPr>
          <w:p w:rsidRPr="00EC1ACF" w:rsidR="00D87E44" w:rsidRDefault="00D87E44" w14:paraId="154586B4"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Reform 1: Legislative reform introducing multi-source financing of cultural institutions and registration of artists</w:t>
            </w:r>
          </w:p>
        </w:tc>
        <w:tc>
          <w:tcPr>
            <w:tcW w:w="1077" w:type="dxa"/>
            <w:shd w:val="clear" w:color="auto" w:fill="C6EFCE"/>
          </w:tcPr>
          <w:p w:rsidRPr="00EC1ACF" w:rsidR="00D87E44" w:rsidRDefault="00D87E44" w14:paraId="154586B5"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Target</w:t>
            </w:r>
          </w:p>
        </w:tc>
        <w:tc>
          <w:tcPr>
            <w:tcW w:w="1560" w:type="dxa"/>
            <w:shd w:val="clear" w:color="auto" w:fill="C6EFCE"/>
          </w:tcPr>
          <w:p w:rsidRPr="00EC1ACF" w:rsidR="00D87E44" w:rsidRDefault="00D87E44" w14:paraId="154586B6"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 xml:space="preserve">Number of cultural and creative projects supported </w:t>
            </w:r>
          </w:p>
        </w:tc>
        <w:tc>
          <w:tcPr>
            <w:tcW w:w="1559" w:type="dxa"/>
            <w:shd w:val="clear" w:color="auto" w:fill="C6EFCE"/>
          </w:tcPr>
          <w:p w:rsidRPr="00EC1ACF" w:rsidR="00D87E44" w:rsidRDefault="00D87E44" w14:paraId="154586B7"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C1ACF" w:rsidR="00D87E44" w:rsidRDefault="00D87E44" w14:paraId="154586B8"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 xml:space="preserve">Number </w:t>
            </w:r>
          </w:p>
        </w:tc>
        <w:tc>
          <w:tcPr>
            <w:tcW w:w="1077" w:type="dxa"/>
            <w:shd w:val="clear" w:color="auto" w:fill="C6EFCE"/>
          </w:tcPr>
          <w:p w:rsidRPr="00EC1ACF" w:rsidR="00D87E44" w:rsidRDefault="00D87E44" w14:paraId="154586B9"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0</w:t>
            </w:r>
          </w:p>
        </w:tc>
        <w:tc>
          <w:tcPr>
            <w:tcW w:w="709" w:type="dxa"/>
            <w:shd w:val="clear" w:color="auto" w:fill="C6EFCE"/>
          </w:tcPr>
          <w:p w:rsidRPr="00EC1ACF" w:rsidR="00D87E44" w:rsidRDefault="00D87E44" w14:paraId="154586BA"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1</w:t>
            </w:r>
            <w:r>
              <w:rPr>
                <w:rFonts w:eastAsia="Times New Roman"/>
                <w:noProof/>
                <w:color w:val="006100"/>
                <w:sz w:val="18"/>
                <w:szCs w:val="18"/>
                <w:lang w:val="en-IE"/>
              </w:rPr>
              <w:t> </w:t>
            </w:r>
            <w:r w:rsidRPr="00EC1ACF">
              <w:rPr>
                <w:rFonts w:eastAsia="Times New Roman"/>
                <w:noProof/>
                <w:color w:val="006100"/>
                <w:sz w:val="18"/>
                <w:szCs w:val="18"/>
                <w:lang w:val="en-IE"/>
              </w:rPr>
              <w:t>000</w:t>
            </w:r>
          </w:p>
        </w:tc>
        <w:tc>
          <w:tcPr>
            <w:tcW w:w="850" w:type="dxa"/>
            <w:shd w:val="clear" w:color="auto" w:fill="C6EFCE"/>
          </w:tcPr>
          <w:p w:rsidRPr="00EC1ACF" w:rsidR="00D87E44" w:rsidRDefault="00D87E44" w14:paraId="154586BB"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Q4</w:t>
            </w:r>
          </w:p>
        </w:tc>
        <w:tc>
          <w:tcPr>
            <w:tcW w:w="608" w:type="dxa"/>
            <w:shd w:val="clear" w:color="auto" w:fill="C6EFCE"/>
          </w:tcPr>
          <w:p w:rsidRPr="00EC1ACF" w:rsidR="00D87E44" w:rsidRDefault="00D87E44" w14:paraId="154586BC"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2024</w:t>
            </w:r>
          </w:p>
        </w:tc>
        <w:tc>
          <w:tcPr>
            <w:tcW w:w="4745" w:type="dxa"/>
            <w:shd w:val="clear" w:color="auto" w:fill="C6EFCE"/>
          </w:tcPr>
          <w:p w:rsidRPr="00EC1ACF" w:rsidR="00D87E44" w:rsidRDefault="00D87E44" w14:paraId="154586BD" w14:textId="77777777">
            <w:pPr>
              <w:spacing w:before="0" w:after="0" w:line="240" w:lineRule="auto"/>
              <w:rPr>
                <w:noProof/>
                <w:color w:val="004300"/>
                <w:sz w:val="18"/>
                <w:szCs w:val="18"/>
                <w:lang w:val="en-IE"/>
              </w:rPr>
            </w:pPr>
            <w:r w:rsidRPr="00EC1ACF">
              <w:rPr>
                <w:noProof/>
                <w:color w:val="004300"/>
                <w:sz w:val="18"/>
                <w:szCs w:val="18"/>
                <w:lang w:val="en-IE" w:eastAsia="en-GB"/>
              </w:rPr>
              <w:t xml:space="preserve">Support shall be channelled through a grant scheme. Supported projects shall include support for mobility projects, networking and internationalisation, creative learning projects, skills development for cultural and creative sector workers (e.g., digital skills, financial literacy, management skills, individual creative or study projects) and projects promoting links with the educational sector (e.g., hosting of foreign lecturers). </w:t>
            </w:r>
          </w:p>
        </w:tc>
      </w:tr>
      <w:tr w:rsidRPr="00FE48E2" w:rsidR="00E3458A" w:rsidTr="001A4D46" w14:paraId="154586CA" w14:textId="77777777">
        <w:trPr>
          <w:trHeight w:val="945"/>
          <w:jc w:val="center"/>
        </w:trPr>
        <w:tc>
          <w:tcPr>
            <w:tcW w:w="704" w:type="dxa"/>
            <w:shd w:val="clear" w:color="auto" w:fill="C6EFCE"/>
          </w:tcPr>
          <w:p w:rsidRPr="00BD790C" w:rsidR="00D87E44" w:rsidRDefault="00D87E44" w14:paraId="154586B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219</w:t>
            </w:r>
          </w:p>
        </w:tc>
        <w:tc>
          <w:tcPr>
            <w:tcW w:w="1708" w:type="dxa"/>
            <w:shd w:val="clear" w:color="auto" w:fill="C6EFCE"/>
          </w:tcPr>
          <w:p w:rsidRPr="00BD790C" w:rsidR="00D87E44" w:rsidRDefault="00D87E44" w14:paraId="154586C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1: </w:t>
            </w:r>
            <w:r>
              <w:rPr>
                <w:rFonts w:eastAsia="Times New Roman"/>
                <w:noProof/>
                <w:color w:val="006100"/>
                <w:sz w:val="18"/>
                <w:szCs w:val="18"/>
                <w:lang w:val="en-IE"/>
              </w:rPr>
              <w:t>Support for</w:t>
            </w:r>
            <w:r w:rsidRPr="00BD790C">
              <w:rPr>
                <w:rFonts w:eastAsia="Times New Roman"/>
                <w:noProof/>
                <w:color w:val="006100"/>
                <w:sz w:val="18"/>
                <w:szCs w:val="18"/>
                <w:lang w:val="en-IE"/>
              </w:rPr>
              <w:t xml:space="preserve"> regional cultural and creative sectors</w:t>
            </w:r>
          </w:p>
        </w:tc>
        <w:tc>
          <w:tcPr>
            <w:tcW w:w="1077" w:type="dxa"/>
            <w:shd w:val="clear" w:color="auto" w:fill="C6EFCE"/>
          </w:tcPr>
          <w:p w:rsidRPr="00BD790C" w:rsidR="00D87E44" w:rsidRDefault="00D87E44" w14:paraId="154586C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560" w:type="dxa"/>
            <w:shd w:val="clear" w:color="auto" w:fill="C6EFCE"/>
          </w:tcPr>
          <w:p w:rsidRPr="00BD790C" w:rsidR="00D87E44" w:rsidRDefault="00D87E44" w14:paraId="154586C2"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Support for </w:t>
            </w:r>
            <w:r w:rsidRPr="00BD790C">
              <w:rPr>
                <w:rFonts w:eastAsia="Times New Roman"/>
                <w:noProof/>
                <w:color w:val="006100"/>
                <w:sz w:val="18"/>
                <w:szCs w:val="18"/>
                <w:lang w:val="en-IE"/>
              </w:rPr>
              <w:t>regional cultural and creative centres</w:t>
            </w:r>
          </w:p>
        </w:tc>
        <w:tc>
          <w:tcPr>
            <w:tcW w:w="1559" w:type="dxa"/>
            <w:shd w:val="clear" w:color="auto" w:fill="C6EFCE"/>
          </w:tcPr>
          <w:p w:rsidRPr="00BD790C" w:rsidR="00D87E44" w:rsidRDefault="00D87E44" w14:paraId="154586C3"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6C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Number</w:t>
            </w:r>
          </w:p>
        </w:tc>
        <w:tc>
          <w:tcPr>
            <w:tcW w:w="1077" w:type="dxa"/>
            <w:shd w:val="clear" w:color="auto" w:fill="C6EFCE"/>
          </w:tcPr>
          <w:p w:rsidRPr="00BD790C" w:rsidR="00D87E44" w:rsidRDefault="00D87E44" w14:paraId="154586C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6C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15</w:t>
            </w:r>
          </w:p>
        </w:tc>
        <w:tc>
          <w:tcPr>
            <w:tcW w:w="850" w:type="dxa"/>
            <w:shd w:val="clear" w:color="auto" w:fill="C6EFCE"/>
          </w:tcPr>
          <w:p w:rsidRPr="00BD790C" w:rsidR="00D87E44" w:rsidRDefault="00D87E44" w14:paraId="154586C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 Q4</w:t>
            </w:r>
          </w:p>
        </w:tc>
        <w:tc>
          <w:tcPr>
            <w:tcW w:w="608" w:type="dxa"/>
            <w:shd w:val="clear" w:color="auto" w:fill="C6EFCE"/>
          </w:tcPr>
          <w:p w:rsidRPr="00BD790C" w:rsidR="00D87E44" w:rsidRDefault="00D87E44" w14:paraId="154586C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2025</w:t>
            </w:r>
          </w:p>
        </w:tc>
        <w:tc>
          <w:tcPr>
            <w:tcW w:w="4745" w:type="dxa"/>
            <w:shd w:val="clear" w:color="auto" w:fill="C6EFCE"/>
          </w:tcPr>
          <w:p w:rsidRPr="00FE48E2" w:rsidR="00D87E44" w:rsidRDefault="00D87E44" w14:paraId="154586C9" w14:textId="77777777">
            <w:pPr>
              <w:spacing w:after="0" w:line="259" w:lineRule="auto"/>
              <w:contextualSpacing/>
              <w:rPr>
                <w:i/>
                <w:noProof/>
                <w:color w:val="004300"/>
                <w:sz w:val="18"/>
                <w:szCs w:val="18"/>
                <w:lang w:val="en-IE" w:eastAsia="cs-CZ"/>
              </w:rPr>
            </w:pPr>
            <w:r>
              <w:rPr>
                <w:noProof/>
                <w:color w:val="004300"/>
                <w:sz w:val="18"/>
                <w:szCs w:val="18"/>
                <w:lang w:val="en-IE" w:eastAsia="en-GB"/>
              </w:rPr>
              <w:t>Construction, revitalisation or expansion of a</w:t>
            </w:r>
            <w:r w:rsidRPr="00FE48E2">
              <w:rPr>
                <w:noProof/>
                <w:color w:val="004300"/>
                <w:sz w:val="18"/>
                <w:szCs w:val="18"/>
                <w:lang w:val="en-IE" w:eastAsia="en-GB"/>
              </w:rPr>
              <w:t>t least 15</w:t>
            </w:r>
            <w:r>
              <w:rPr>
                <w:noProof/>
                <w:color w:val="004300"/>
                <w:sz w:val="18"/>
                <w:szCs w:val="18"/>
                <w:lang w:val="en-IE" w:eastAsia="en-GB"/>
              </w:rPr>
              <w:t xml:space="preserve"> </w:t>
            </w:r>
            <w:r w:rsidRPr="00FE48E2">
              <w:rPr>
                <w:noProof/>
                <w:color w:val="004300"/>
                <w:sz w:val="18"/>
                <w:szCs w:val="18"/>
                <w:lang w:val="en-IE" w:eastAsia="en-GB"/>
              </w:rPr>
              <w:t>regional cultural and creative centres</w:t>
            </w:r>
            <w:r>
              <w:rPr>
                <w:noProof/>
                <w:color w:val="004300"/>
                <w:sz w:val="18"/>
                <w:szCs w:val="18"/>
                <w:lang w:val="en-IE" w:eastAsia="en-GB"/>
              </w:rPr>
              <w:t xml:space="preserve"> shall be supported. There shall be at least one centre </w:t>
            </w:r>
            <w:r w:rsidRPr="642D036F">
              <w:rPr>
                <w:noProof/>
                <w:color w:val="004300"/>
                <w:sz w:val="18"/>
                <w:szCs w:val="18"/>
                <w:lang w:val="en-IE" w:eastAsia="en-GB"/>
              </w:rPr>
              <w:t xml:space="preserve">in at </w:t>
            </w:r>
            <w:r w:rsidRPr="05B039D6">
              <w:rPr>
                <w:noProof/>
                <w:color w:val="004300"/>
                <w:sz w:val="18"/>
                <w:szCs w:val="18"/>
                <w:lang w:val="en-IE" w:eastAsia="en-GB"/>
              </w:rPr>
              <w:t xml:space="preserve">least 12 </w:t>
            </w:r>
            <w:r>
              <w:rPr>
                <w:noProof/>
                <w:color w:val="004300"/>
                <w:sz w:val="18"/>
                <w:szCs w:val="18"/>
                <w:lang w:val="en-IE" w:eastAsia="en-GB"/>
              </w:rPr>
              <w:t xml:space="preserve">of the 14 regions. </w:t>
            </w:r>
          </w:p>
        </w:tc>
      </w:tr>
      <w:tr w:rsidRPr="00FE48E2" w:rsidR="00E3458A" w:rsidTr="001A4D46" w14:paraId="154586DA" w14:textId="77777777">
        <w:trPr>
          <w:trHeight w:val="373"/>
          <w:jc w:val="center"/>
        </w:trPr>
        <w:tc>
          <w:tcPr>
            <w:tcW w:w="704" w:type="dxa"/>
            <w:shd w:val="clear" w:color="auto" w:fill="C6EFCE"/>
          </w:tcPr>
          <w:p w:rsidRPr="00EC1ACF" w:rsidR="00D87E44" w:rsidRDefault="00D87E44" w14:paraId="154586CB"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220</w:t>
            </w:r>
          </w:p>
        </w:tc>
        <w:tc>
          <w:tcPr>
            <w:tcW w:w="1708" w:type="dxa"/>
            <w:shd w:val="clear" w:color="auto" w:fill="C6EFCE"/>
          </w:tcPr>
          <w:p w:rsidRPr="00EC1ACF" w:rsidR="00D87E44" w:rsidRDefault="00D87E44" w14:paraId="154586CC"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Reform 1.: Legislative reform introducing multi-source financing of cultural institutions and registration of artists</w:t>
            </w:r>
          </w:p>
        </w:tc>
        <w:tc>
          <w:tcPr>
            <w:tcW w:w="1077" w:type="dxa"/>
            <w:shd w:val="clear" w:color="auto" w:fill="C6EFCE"/>
          </w:tcPr>
          <w:p w:rsidRPr="00EC1ACF" w:rsidR="00D87E44" w:rsidRDefault="00D87E44" w14:paraId="154586CD"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Milestone</w:t>
            </w:r>
          </w:p>
        </w:tc>
        <w:tc>
          <w:tcPr>
            <w:tcW w:w="1560" w:type="dxa"/>
            <w:shd w:val="clear" w:color="auto" w:fill="C6EFCE"/>
          </w:tcPr>
          <w:p w:rsidRPr="00EC1ACF" w:rsidR="00D87E44" w:rsidRDefault="00D87E44" w14:paraId="154586CE"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Entry into force of legislative amendments allowing for cooperative multi-source financing of culture and introducing a registration of artists</w:t>
            </w:r>
          </w:p>
        </w:tc>
        <w:tc>
          <w:tcPr>
            <w:tcW w:w="1559" w:type="dxa"/>
            <w:shd w:val="clear" w:color="auto" w:fill="C6EFCE"/>
          </w:tcPr>
          <w:p w:rsidRPr="00EC1ACF" w:rsidR="00D87E44" w:rsidRDefault="00D87E44" w14:paraId="154586CF"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 xml:space="preserve">Provision in the legislative amendments indicating the entry into force </w:t>
            </w:r>
          </w:p>
        </w:tc>
        <w:tc>
          <w:tcPr>
            <w:tcW w:w="1077" w:type="dxa"/>
            <w:shd w:val="clear" w:color="auto" w:fill="C6EFCE"/>
          </w:tcPr>
          <w:p w:rsidRPr="00EC1ACF" w:rsidR="00D87E44" w:rsidRDefault="00D87E44" w14:paraId="154586D0"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EC1ACF" w:rsidR="00D87E44" w:rsidRDefault="00D87E44" w14:paraId="154586D1" w14:textId="77777777">
            <w:pPr>
              <w:spacing w:before="0" w:after="0" w:line="240" w:lineRule="auto"/>
              <w:rPr>
                <w:rFonts w:eastAsia="Times New Roman"/>
                <w:noProof/>
                <w:color w:val="006100"/>
                <w:sz w:val="18"/>
                <w:szCs w:val="18"/>
                <w:lang w:val="en-IE"/>
              </w:rPr>
            </w:pPr>
          </w:p>
        </w:tc>
        <w:tc>
          <w:tcPr>
            <w:tcW w:w="709" w:type="dxa"/>
            <w:shd w:val="clear" w:color="auto" w:fill="C6EFCE"/>
          </w:tcPr>
          <w:p w:rsidRPr="00EC1ACF" w:rsidR="00D87E44" w:rsidRDefault="00D87E44" w14:paraId="154586D2"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EC1ACF" w:rsidR="00D87E44" w:rsidRDefault="00D87E44" w14:paraId="154586D3"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Q4</w:t>
            </w:r>
          </w:p>
        </w:tc>
        <w:tc>
          <w:tcPr>
            <w:tcW w:w="608" w:type="dxa"/>
            <w:shd w:val="clear" w:color="auto" w:fill="C6EFCE"/>
          </w:tcPr>
          <w:p w:rsidRPr="00EC1ACF" w:rsidR="00D87E44" w:rsidRDefault="00D87E44" w14:paraId="154586D4" w14:textId="77777777">
            <w:pPr>
              <w:spacing w:before="0" w:after="0" w:line="240" w:lineRule="auto"/>
              <w:rPr>
                <w:rFonts w:eastAsia="Times New Roman"/>
                <w:noProof/>
                <w:color w:val="006100"/>
                <w:sz w:val="18"/>
                <w:szCs w:val="18"/>
                <w:lang w:val="en-IE"/>
              </w:rPr>
            </w:pPr>
            <w:r w:rsidRPr="00EC1ACF">
              <w:rPr>
                <w:rFonts w:eastAsia="Times New Roman"/>
                <w:noProof/>
                <w:color w:val="006100"/>
                <w:sz w:val="18"/>
                <w:szCs w:val="18"/>
                <w:lang w:val="en-IE"/>
              </w:rPr>
              <w:t>2024</w:t>
            </w:r>
          </w:p>
        </w:tc>
        <w:tc>
          <w:tcPr>
            <w:tcW w:w="4745" w:type="dxa"/>
            <w:shd w:val="clear" w:color="auto" w:fill="C6EFCE"/>
          </w:tcPr>
          <w:p w:rsidRPr="00EC1ACF" w:rsidR="00D87E44" w:rsidRDefault="00D87E44" w14:paraId="154586D5" w14:textId="77777777">
            <w:pPr>
              <w:spacing w:before="0" w:after="0" w:line="240" w:lineRule="auto"/>
              <w:rPr>
                <w:noProof/>
                <w:color w:val="004300"/>
                <w:sz w:val="18"/>
                <w:szCs w:val="18"/>
                <w:lang w:val="en-IE" w:eastAsia="en-GB"/>
              </w:rPr>
            </w:pPr>
            <w:r w:rsidRPr="00EC1ACF">
              <w:rPr>
                <w:rFonts w:eastAsia="Times New Roman"/>
                <w:noProof/>
                <w:color w:val="006100"/>
                <w:sz w:val="18"/>
                <w:szCs w:val="18"/>
                <w:lang w:val="en-IE"/>
              </w:rPr>
              <w:t>The</w:t>
            </w:r>
            <w:r w:rsidRPr="00EC1ACF">
              <w:rPr>
                <w:noProof/>
                <w:color w:val="004300"/>
                <w:sz w:val="18"/>
                <w:szCs w:val="18"/>
                <w:lang w:val="en-IE" w:eastAsia="en-GB"/>
              </w:rPr>
              <w:t xml:space="preserve"> legislative amendment shall: </w:t>
            </w:r>
          </w:p>
          <w:p w:rsidRPr="00EC1ACF" w:rsidR="00D87E44" w:rsidP="00D226F4" w:rsidRDefault="00D87E44" w14:paraId="154586D6" w14:textId="77777777">
            <w:pPr>
              <w:numPr>
                <w:ilvl w:val="0"/>
                <w:numId w:val="80"/>
              </w:numPr>
              <w:pBdr>
                <w:top w:val="nil"/>
                <w:left w:val="nil"/>
                <w:bottom w:val="nil"/>
                <w:right w:val="nil"/>
                <w:between w:val="nil"/>
              </w:pBdr>
              <w:spacing w:after="0" w:line="259" w:lineRule="auto"/>
              <w:rPr>
                <w:noProof/>
                <w:color w:val="004300"/>
                <w:sz w:val="18"/>
                <w:szCs w:val="18"/>
                <w:lang w:val="en-IE" w:eastAsia="en-GB"/>
              </w:rPr>
            </w:pPr>
            <w:r w:rsidRPr="00EC1ACF">
              <w:rPr>
                <w:noProof/>
                <w:color w:val="004300"/>
                <w:sz w:val="18"/>
                <w:szCs w:val="18"/>
                <w:lang w:val="en-IE" w:eastAsia="en-GB"/>
              </w:rPr>
              <w:t xml:space="preserve">allow for multi-source financing of culture </w:t>
            </w:r>
          </w:p>
          <w:p w:rsidRPr="00EC1ACF" w:rsidR="00D87E44" w:rsidP="00D226F4" w:rsidRDefault="00D87E44" w14:paraId="154586D7" w14:textId="77777777">
            <w:pPr>
              <w:numPr>
                <w:ilvl w:val="0"/>
                <w:numId w:val="80"/>
              </w:numPr>
              <w:pBdr>
                <w:top w:val="nil"/>
                <w:left w:val="nil"/>
                <w:bottom w:val="nil"/>
                <w:right w:val="nil"/>
                <w:between w:val="nil"/>
              </w:pBdr>
              <w:spacing w:after="0" w:line="259" w:lineRule="auto"/>
              <w:rPr>
                <w:noProof/>
                <w:color w:val="004300"/>
                <w:sz w:val="18"/>
                <w:szCs w:val="18"/>
                <w:lang w:val="en-IE"/>
              </w:rPr>
            </w:pPr>
            <w:r w:rsidRPr="00EC1ACF">
              <w:rPr>
                <w:noProof/>
                <w:color w:val="004300"/>
                <w:sz w:val="18"/>
                <w:szCs w:val="18"/>
                <w:lang w:val="en-IE" w:eastAsia="en-GB"/>
              </w:rPr>
              <w:t>simplify cooperation between cities, regions and the state</w:t>
            </w:r>
          </w:p>
          <w:p w:rsidRPr="00EC1ACF" w:rsidR="00D87E44" w:rsidP="00D226F4" w:rsidRDefault="00D87E44" w14:paraId="154586D8" w14:textId="77777777">
            <w:pPr>
              <w:numPr>
                <w:ilvl w:val="0"/>
                <w:numId w:val="80"/>
              </w:numPr>
              <w:pBdr>
                <w:top w:val="nil"/>
                <w:left w:val="nil"/>
                <w:bottom w:val="nil"/>
                <w:right w:val="nil"/>
                <w:between w:val="nil"/>
              </w:pBdr>
              <w:spacing w:after="0" w:line="259" w:lineRule="auto"/>
              <w:rPr>
                <w:noProof/>
                <w:color w:val="004300"/>
                <w:sz w:val="18"/>
                <w:szCs w:val="18"/>
                <w:lang w:val="en-IE"/>
              </w:rPr>
            </w:pPr>
            <w:r w:rsidRPr="00EC1ACF">
              <w:rPr>
                <w:noProof/>
                <w:color w:val="004300"/>
                <w:sz w:val="18"/>
                <w:szCs w:val="18"/>
                <w:lang w:val="en-IE" w:eastAsia="en-GB"/>
              </w:rPr>
              <w:t xml:space="preserve">strengthen financial sustainability of cultural institutions  </w:t>
            </w:r>
          </w:p>
          <w:p w:rsidRPr="00EC1ACF" w:rsidR="00D87E44" w:rsidP="00D226F4" w:rsidRDefault="00D87E44" w14:paraId="154586D9" w14:textId="77777777">
            <w:pPr>
              <w:numPr>
                <w:ilvl w:val="0"/>
                <w:numId w:val="80"/>
              </w:numPr>
              <w:pBdr>
                <w:top w:val="nil"/>
                <w:left w:val="nil"/>
                <w:bottom w:val="nil"/>
                <w:right w:val="nil"/>
                <w:between w:val="nil"/>
              </w:pBdr>
              <w:spacing w:after="0" w:line="259" w:lineRule="auto"/>
              <w:rPr>
                <w:noProof/>
                <w:color w:val="004300"/>
                <w:sz w:val="18"/>
                <w:szCs w:val="18"/>
                <w:lang w:val="en-IE"/>
              </w:rPr>
            </w:pPr>
            <w:r w:rsidRPr="00EC1ACF">
              <w:rPr>
                <w:noProof/>
                <w:color w:val="004300"/>
                <w:sz w:val="18"/>
                <w:szCs w:val="18"/>
                <w:lang w:val="en-IE" w:eastAsia="en-GB"/>
              </w:rPr>
              <w:t>introduce a register of artists</w:t>
            </w:r>
          </w:p>
        </w:tc>
      </w:tr>
      <w:tr w:rsidRPr="00FE48E2" w:rsidR="00E3458A" w:rsidTr="001A4D46" w14:paraId="154586E6" w14:textId="77777777">
        <w:trPr>
          <w:trHeight w:val="324"/>
          <w:jc w:val="center"/>
        </w:trPr>
        <w:tc>
          <w:tcPr>
            <w:tcW w:w="704" w:type="dxa"/>
            <w:shd w:val="clear" w:color="auto" w:fill="C6EFCE"/>
          </w:tcPr>
          <w:p w:rsidRPr="00BD790C" w:rsidR="00D87E44" w:rsidRDefault="00D87E44" w14:paraId="154586D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221</w:t>
            </w:r>
          </w:p>
        </w:tc>
        <w:tc>
          <w:tcPr>
            <w:tcW w:w="1708" w:type="dxa"/>
            <w:shd w:val="clear" w:color="auto" w:fill="C6EFCE"/>
          </w:tcPr>
          <w:p w:rsidRPr="00BD790C" w:rsidR="00D87E44" w:rsidRDefault="00D87E44" w14:paraId="154586D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2: Digitalisation of cultural and creative sector</w:t>
            </w:r>
          </w:p>
        </w:tc>
        <w:tc>
          <w:tcPr>
            <w:tcW w:w="1077" w:type="dxa"/>
            <w:shd w:val="clear" w:color="auto" w:fill="C6EFCE"/>
          </w:tcPr>
          <w:p w:rsidRPr="00BD790C" w:rsidR="00D87E44" w:rsidRDefault="00D87E44" w14:paraId="154586D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560" w:type="dxa"/>
            <w:shd w:val="clear" w:color="auto" w:fill="C6EFCE"/>
          </w:tcPr>
          <w:p w:rsidRPr="00BD790C" w:rsidR="00D87E44" w:rsidRDefault="00D87E44" w14:paraId="154586D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of </w:t>
            </w:r>
            <w:r>
              <w:rPr>
                <w:rFonts w:eastAsia="Times New Roman"/>
                <w:noProof/>
                <w:color w:val="006100"/>
                <w:sz w:val="18"/>
                <w:szCs w:val="18"/>
                <w:lang w:val="en-IE"/>
              </w:rPr>
              <w:t>supported</w:t>
            </w:r>
            <w:r w:rsidRPr="00BD790C">
              <w:rPr>
                <w:rFonts w:eastAsia="Times New Roman"/>
                <w:noProof/>
                <w:color w:val="006100"/>
                <w:sz w:val="18"/>
                <w:szCs w:val="18"/>
                <w:lang w:val="en-IE"/>
              </w:rPr>
              <w:t xml:space="preserve"> projects of digitalisation of the cultural </w:t>
            </w:r>
            <w:r>
              <w:rPr>
                <w:rFonts w:eastAsia="Times New Roman"/>
                <w:noProof/>
                <w:color w:val="006100"/>
                <w:sz w:val="18"/>
                <w:szCs w:val="18"/>
                <w:lang w:val="en-IE"/>
              </w:rPr>
              <w:t>and creative sector</w:t>
            </w:r>
          </w:p>
        </w:tc>
        <w:tc>
          <w:tcPr>
            <w:tcW w:w="1559" w:type="dxa"/>
            <w:shd w:val="clear" w:color="auto" w:fill="C6EFCE"/>
          </w:tcPr>
          <w:p w:rsidRPr="00BD790C" w:rsidR="00D87E44" w:rsidRDefault="00D87E44" w14:paraId="154586DF"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6E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w:t>
            </w:r>
          </w:p>
        </w:tc>
        <w:tc>
          <w:tcPr>
            <w:tcW w:w="1077" w:type="dxa"/>
            <w:shd w:val="clear" w:color="auto" w:fill="C6EFCE"/>
          </w:tcPr>
          <w:p w:rsidRPr="00BD790C" w:rsidR="00D87E44" w:rsidRDefault="00D87E44" w14:paraId="154586E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6E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80</w:t>
            </w:r>
          </w:p>
        </w:tc>
        <w:tc>
          <w:tcPr>
            <w:tcW w:w="850" w:type="dxa"/>
            <w:shd w:val="clear" w:color="auto" w:fill="C6EFCE"/>
          </w:tcPr>
          <w:p w:rsidRPr="00BD790C" w:rsidR="00D87E44" w:rsidRDefault="00D87E44" w14:paraId="154586E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 Q4</w:t>
            </w:r>
          </w:p>
        </w:tc>
        <w:tc>
          <w:tcPr>
            <w:tcW w:w="608" w:type="dxa"/>
            <w:shd w:val="clear" w:color="auto" w:fill="C6EFCE"/>
          </w:tcPr>
          <w:p w:rsidRPr="00BD790C" w:rsidR="00D87E44" w:rsidRDefault="00D87E44" w14:paraId="154586E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2025</w:t>
            </w:r>
          </w:p>
        </w:tc>
        <w:tc>
          <w:tcPr>
            <w:tcW w:w="4745" w:type="dxa"/>
            <w:shd w:val="clear" w:color="auto" w:fill="C6EFCE"/>
          </w:tcPr>
          <w:p w:rsidRPr="00FE48E2" w:rsidR="00D87E44" w:rsidRDefault="00D87E44" w14:paraId="154586E5" w14:textId="77777777">
            <w:pPr>
              <w:spacing w:before="0" w:after="0" w:line="240" w:lineRule="auto"/>
              <w:rPr>
                <w:noProof/>
                <w:color w:val="004300"/>
                <w:sz w:val="18"/>
                <w:szCs w:val="18"/>
                <w:lang w:val="en-IE" w:eastAsia="cs-CZ"/>
              </w:rPr>
            </w:pPr>
            <w:r>
              <w:rPr>
                <w:noProof/>
                <w:color w:val="004300"/>
                <w:sz w:val="18"/>
                <w:szCs w:val="18"/>
                <w:lang w:val="en-IE" w:eastAsia="en-GB"/>
              </w:rPr>
              <w:t>A</w:t>
            </w:r>
            <w:r w:rsidRPr="781FE9D9">
              <w:rPr>
                <w:noProof/>
                <w:color w:val="004300"/>
                <w:sz w:val="18"/>
                <w:szCs w:val="18"/>
                <w:lang w:val="en-IE" w:eastAsia="en-GB"/>
              </w:rPr>
              <w:t>t least 80 projects of digitalisation</w:t>
            </w:r>
            <w:r>
              <w:rPr>
                <w:noProof/>
                <w:color w:val="004300"/>
                <w:sz w:val="18"/>
                <w:szCs w:val="18"/>
                <w:lang w:val="en-IE" w:eastAsia="en-GB"/>
              </w:rPr>
              <w:t xml:space="preserve"> of the cultural and creative sector shall be supported.</w:t>
            </w:r>
            <w:r w:rsidRPr="781FE9D9">
              <w:rPr>
                <w:noProof/>
                <w:color w:val="004300"/>
                <w:sz w:val="18"/>
                <w:szCs w:val="18"/>
                <w:lang w:val="en-IE" w:eastAsia="en-GB"/>
              </w:rPr>
              <w:t xml:space="preserve"> </w:t>
            </w:r>
          </w:p>
        </w:tc>
      </w:tr>
      <w:tr w:rsidRPr="00FE48E2" w:rsidR="00E3458A" w:rsidTr="001A4D46" w14:paraId="154586F2" w14:textId="77777777">
        <w:trPr>
          <w:trHeight w:val="1144"/>
          <w:jc w:val="center"/>
        </w:trPr>
        <w:tc>
          <w:tcPr>
            <w:tcW w:w="704" w:type="dxa"/>
            <w:shd w:val="clear" w:color="auto" w:fill="C6EFCE"/>
          </w:tcPr>
          <w:p w:rsidRPr="00BD790C" w:rsidR="00D87E44" w:rsidRDefault="00D87E44" w14:paraId="154586E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222</w:t>
            </w:r>
          </w:p>
        </w:tc>
        <w:tc>
          <w:tcPr>
            <w:tcW w:w="1708" w:type="dxa"/>
            <w:shd w:val="clear" w:color="auto" w:fill="C6EFCE"/>
          </w:tcPr>
          <w:p w:rsidRPr="00BD790C" w:rsidR="00D87E44" w:rsidRDefault="00D87E44" w14:paraId="154586E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3: Creative vouchers</w:t>
            </w:r>
            <w:r>
              <w:rPr>
                <w:rFonts w:eastAsia="Times New Roman"/>
                <w:noProof/>
                <w:color w:val="006100"/>
                <w:sz w:val="18"/>
                <w:szCs w:val="18"/>
                <w:lang w:val="en-IE"/>
              </w:rPr>
              <w:t xml:space="preserve"> and design credits</w:t>
            </w:r>
          </w:p>
        </w:tc>
        <w:tc>
          <w:tcPr>
            <w:tcW w:w="1077" w:type="dxa"/>
            <w:shd w:val="clear" w:color="auto" w:fill="C6EFCE"/>
          </w:tcPr>
          <w:p w:rsidRPr="00BD790C" w:rsidR="00D87E44" w:rsidRDefault="00D87E44" w14:paraId="154586E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560" w:type="dxa"/>
            <w:shd w:val="clear" w:color="auto" w:fill="C6EFCE"/>
          </w:tcPr>
          <w:p w:rsidRPr="00BD790C" w:rsidR="00D87E44" w:rsidRDefault="00D87E44" w14:paraId="154586E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of creative vouchers </w:t>
            </w:r>
            <w:r>
              <w:rPr>
                <w:rFonts w:eastAsia="Times New Roman"/>
                <w:noProof/>
                <w:color w:val="006100"/>
                <w:sz w:val="18"/>
                <w:szCs w:val="18"/>
                <w:lang w:val="en-IE"/>
              </w:rPr>
              <w:t>and design credits used</w:t>
            </w:r>
            <w:r w:rsidRPr="00BD790C">
              <w:rPr>
                <w:rFonts w:eastAsia="Times New Roman"/>
                <w:noProof/>
                <w:color w:val="006100"/>
                <w:sz w:val="18"/>
                <w:szCs w:val="18"/>
                <w:lang w:val="en-IE"/>
              </w:rPr>
              <w:t xml:space="preserve">  </w:t>
            </w:r>
          </w:p>
        </w:tc>
        <w:tc>
          <w:tcPr>
            <w:tcW w:w="1559" w:type="dxa"/>
            <w:shd w:val="clear" w:color="auto" w:fill="C6EFCE"/>
          </w:tcPr>
          <w:p w:rsidRPr="00BD790C" w:rsidR="00D87E44" w:rsidRDefault="00D87E44" w14:paraId="154586EB"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6E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w:t>
            </w:r>
          </w:p>
        </w:tc>
        <w:tc>
          <w:tcPr>
            <w:tcW w:w="1077" w:type="dxa"/>
            <w:shd w:val="clear" w:color="auto" w:fill="C6EFCE"/>
          </w:tcPr>
          <w:p w:rsidRPr="00BD790C" w:rsidR="00D87E44" w:rsidRDefault="00D87E44" w14:paraId="154586E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6E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3</w:t>
            </w:r>
            <w:r>
              <w:rPr>
                <w:rFonts w:eastAsia="Times New Roman"/>
                <w:noProof/>
                <w:color w:val="006100"/>
                <w:sz w:val="18"/>
                <w:szCs w:val="18"/>
                <w:lang w:val="en-IE"/>
              </w:rPr>
              <w:t> </w:t>
            </w:r>
            <w:r w:rsidRPr="00BD790C">
              <w:rPr>
                <w:rFonts w:eastAsia="Times New Roman"/>
                <w:noProof/>
                <w:color w:val="006100"/>
                <w:sz w:val="18"/>
                <w:szCs w:val="18"/>
                <w:lang w:val="en-IE"/>
              </w:rPr>
              <w:t>300</w:t>
            </w:r>
          </w:p>
        </w:tc>
        <w:tc>
          <w:tcPr>
            <w:tcW w:w="850" w:type="dxa"/>
            <w:shd w:val="clear" w:color="auto" w:fill="C6EFCE"/>
          </w:tcPr>
          <w:p w:rsidRPr="00BD790C" w:rsidR="00D87E44" w:rsidRDefault="00D87E44" w14:paraId="154586E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Q4</w:t>
            </w:r>
          </w:p>
        </w:tc>
        <w:tc>
          <w:tcPr>
            <w:tcW w:w="608" w:type="dxa"/>
            <w:shd w:val="clear" w:color="auto" w:fill="C6EFCE"/>
          </w:tcPr>
          <w:p w:rsidRPr="00BD790C" w:rsidR="00D87E44" w:rsidRDefault="00D87E44" w14:paraId="154586F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2025</w:t>
            </w:r>
          </w:p>
        </w:tc>
        <w:tc>
          <w:tcPr>
            <w:tcW w:w="4745" w:type="dxa"/>
            <w:shd w:val="clear" w:color="auto" w:fill="C6EFCE"/>
          </w:tcPr>
          <w:p w:rsidRPr="00FE48E2" w:rsidR="00D87E44" w:rsidP="00E3458A" w:rsidRDefault="00D87E44" w14:paraId="154586F1" w14:textId="77777777">
            <w:pPr>
              <w:spacing w:after="0" w:line="240" w:lineRule="auto"/>
              <w:rPr>
                <w:noProof/>
                <w:color w:val="004300"/>
                <w:sz w:val="18"/>
                <w:szCs w:val="18"/>
                <w:lang w:val="en-IE" w:eastAsia="cs-CZ"/>
              </w:rPr>
            </w:pPr>
            <w:r>
              <w:rPr>
                <w:noProof/>
                <w:color w:val="004300"/>
                <w:sz w:val="18"/>
                <w:szCs w:val="18"/>
                <w:lang w:val="en-IE" w:eastAsia="en-GB"/>
              </w:rPr>
              <w:t>At least 3 </w:t>
            </w:r>
            <w:r>
              <w:rPr>
                <w:noProof/>
                <w:color w:val="004300"/>
                <w:sz w:val="18"/>
                <w:szCs w:val="18"/>
                <w:lang w:val="en-IE" w:eastAsia="en-GB"/>
              </w:rPr>
              <w:t xml:space="preserve">300 creative vouchers or design credits shall be used. </w:t>
            </w:r>
          </w:p>
        </w:tc>
      </w:tr>
    </w:tbl>
    <w:p w:rsidRPr="00FE48E2" w:rsidR="00D87E44" w:rsidP="00D226F4" w:rsidRDefault="00D87E44" w14:paraId="154586F3" w14:textId="77777777">
      <w:pPr>
        <w:spacing w:line="240" w:lineRule="auto"/>
        <w:rPr>
          <w:b/>
          <w:smallCaps/>
          <w:noProof/>
          <w:lang w:val="en-IE"/>
        </w:rPr>
        <w:sectPr w:rsidRPr="00FE48E2" w:rsidR="00C16C1F" w:rsidSect="00D226F4">
          <w:headerReference w:type="even" r:id="R840eaa49f20b4488"/>
          <w:headerReference w:type="default" r:id="Rbc0eff49c1a5451e"/>
          <w:footerReference w:type="even" r:id="R5cb1bec239694d47"/>
          <w:footerReference w:type="default" r:id="R87e1e7b8074a49b2"/>
          <w:headerReference w:type="first" r:id="R03efa80961194a0d"/>
          <w:footerReference w:type="first" r:id="Rf12eeafcbcce4003"/>
          <w:pgSz w:w="16839" w:h="11907" w:orient="landscape"/>
          <w:pgMar w:top="1134" w:right="1134" w:bottom="1134" w:left="1134" w:header="567" w:footer="567" w:gutter="0"/>
          <w:cols w:space="720"/>
          <w:docGrid w:linePitch="326"/>
        </w:sectPr>
      </w:pPr>
    </w:p>
    <w:p w:rsidRPr="00FE48E2" w:rsidR="00D87E44" w:rsidP="00D226F4" w:rsidRDefault="00D87E44" w14:paraId="154586F4" w14:textId="77777777">
      <w:pPr>
        <w:keepNext/>
        <w:spacing w:line="240" w:lineRule="auto"/>
        <w:jc w:val="both"/>
        <w:outlineLvl w:val="0"/>
        <w:rPr>
          <w:rFonts w:eastAsia="Times New Roman"/>
          <w:b/>
          <w:bCs/>
          <w:smallCaps/>
          <w:noProof/>
          <w:lang w:val="en-IE"/>
        </w:rPr>
      </w:pPr>
      <w:r w:rsidRPr="1B282876">
        <w:rPr>
          <w:rFonts w:eastAsia="Times New Roman"/>
          <w:b/>
          <w:bCs/>
          <w:smallCaps/>
          <w:noProof/>
          <w:lang w:val="en-IE"/>
        </w:rPr>
        <w:lastRenderedPageBreak/>
        <w:t xml:space="preserve">Z. COMPONENT 5.1: Excellent Research and Development in the Health Sector </w:t>
      </w:r>
    </w:p>
    <w:p w:rsidRPr="00FE48E2" w:rsidR="00D87E44" w:rsidP="00D226F4" w:rsidRDefault="00D87E44" w14:paraId="154586F5" w14:textId="77777777">
      <w:pPr>
        <w:spacing w:line="240" w:lineRule="auto"/>
        <w:jc w:val="both"/>
        <w:rPr>
          <w:noProof/>
          <w:szCs w:val="24"/>
          <w:lang w:val="en-IE"/>
        </w:rPr>
      </w:pPr>
      <w:r w:rsidRPr="00FE48E2">
        <w:rPr>
          <w:noProof/>
          <w:szCs w:val="24"/>
          <w:lang w:val="en-IE"/>
        </w:rPr>
        <w:t xml:space="preserve">The component </w:t>
      </w:r>
      <w:r w:rsidRPr="00FE48E2">
        <w:rPr>
          <w:rFonts w:eastAsia="Times New Roman"/>
          <w:noProof/>
          <w:szCs w:val="24"/>
          <w:lang w:val="en-IE"/>
        </w:rPr>
        <w:t xml:space="preserve">of the Czech recovery and resilience plan </w:t>
      </w:r>
      <w:r w:rsidRPr="00FE48E2">
        <w:rPr>
          <w:noProof/>
          <w:szCs w:val="24"/>
          <w:lang w:val="en-IE"/>
        </w:rPr>
        <w:t xml:space="preserve">addresses the challenge of improving the excellence of research in medical sciences and related disciplines. This includes research in the areas </w:t>
      </w:r>
      <w:r w:rsidRPr="00FE48E2" w:rsidDel="009D0815">
        <w:rPr>
          <w:noProof/>
          <w:szCs w:val="24"/>
          <w:lang w:val="en-IE"/>
        </w:rPr>
        <w:t>of:</w:t>
      </w:r>
      <w:r w:rsidRPr="00FE48E2">
        <w:rPr>
          <w:noProof/>
          <w:szCs w:val="24"/>
          <w:lang w:val="en-IE"/>
        </w:rPr>
        <w:t xml:space="preserve"> infectious diseases, cancer, neurosciences, metabolic disorders or cardiovascular diseases and research on the socio-economic impact of health risks. The identification of these fields was conducted on the basis of three criteria: the existing data on fatality rates, the potential to achieve excellence and the current existence of cooperation structures.</w:t>
      </w:r>
    </w:p>
    <w:p w:rsidRPr="00FE48E2" w:rsidR="00D87E44" w:rsidP="00D226F4" w:rsidRDefault="00D87E44" w14:paraId="154586F6" w14:textId="77777777">
      <w:pPr>
        <w:spacing w:line="240" w:lineRule="auto"/>
        <w:jc w:val="both"/>
        <w:rPr>
          <w:noProof/>
          <w:szCs w:val="24"/>
          <w:lang w:val="en-IE"/>
        </w:rPr>
      </w:pPr>
      <w:r w:rsidRPr="00FE48E2">
        <w:rPr>
          <w:noProof/>
          <w:szCs w:val="24"/>
          <w:lang w:val="en-IE"/>
        </w:rPr>
        <w:t xml:space="preserve">The component aims at modernising and renovating Czechia’s scientific infrastructure to European standards, developing networking structures in the Research &amp; Development sector and reducing fragmentation of the research sector in Czechia, thus improving its management. </w:t>
      </w:r>
    </w:p>
    <w:p w:rsidRPr="00FE48E2" w:rsidR="00D87E44" w:rsidP="00D226F4" w:rsidRDefault="00D87E44" w14:paraId="154586F7" w14:textId="77777777">
      <w:pPr>
        <w:spacing w:line="240" w:lineRule="auto"/>
        <w:jc w:val="both"/>
        <w:rPr>
          <w:noProof/>
          <w:szCs w:val="24"/>
          <w:lang w:val="en-IE"/>
        </w:rPr>
      </w:pPr>
      <w:r w:rsidRPr="00FE48E2">
        <w:rPr>
          <w:noProof/>
          <w:szCs w:val="24"/>
          <w:lang w:val="en-IE"/>
        </w:rPr>
        <w:t xml:space="preserve">This component provides support complementary to components 6.1 and 6.2 in the area of health system support. </w:t>
      </w:r>
    </w:p>
    <w:p w:rsidR="00D87E44" w:rsidP="00D226F4" w:rsidRDefault="00D87E44" w14:paraId="154586F8" w14:textId="77777777">
      <w:pPr>
        <w:spacing w:line="240" w:lineRule="auto"/>
        <w:jc w:val="both"/>
        <w:rPr>
          <w:noProof/>
          <w:szCs w:val="24"/>
          <w:lang w:val="en-IE"/>
        </w:rPr>
      </w:pPr>
      <w:r w:rsidRPr="00FE48E2">
        <w:rPr>
          <w:rFonts w:eastAsia="Times New Roman"/>
          <w:noProof/>
          <w:szCs w:val="24"/>
          <w:lang w:val="en-IE"/>
        </w:rPr>
        <w:t>The component supports addressing the country specific recommendation</w:t>
      </w:r>
      <w:r w:rsidRPr="00FE48E2">
        <w:rPr>
          <w:noProof/>
          <w:szCs w:val="24"/>
          <w:lang w:val="en-IE"/>
        </w:rPr>
        <w:t xml:space="preserve"> on public-private cooperation in research and development (country specific recommendation 3 2020). </w:t>
      </w:r>
    </w:p>
    <w:p w:rsidRPr="001C0662" w:rsidR="00D87E44" w:rsidP="00D226F4" w:rsidRDefault="00D87E44" w14:paraId="154586F9" w14:textId="77777777">
      <w:pPr>
        <w:spacing w:line="276" w:lineRule="auto"/>
        <w:jc w:val="both"/>
        <w:rPr>
          <w:noProof/>
          <w:sz w:val="22"/>
          <w:lang w:val="en-IE"/>
        </w:rPr>
      </w:pPr>
      <w:r w:rsidRPr="007747A1">
        <w:rPr>
          <w:noProof/>
        </w:rPr>
        <w:t>It is expected that no measure in this component does significant harm to environmental objectives within the meaning of Article 17 of Regulation (EU) 2020/852, taking into account the description of the measures and the mitigating steps set out in the recovery and resilience plan in accordance with the DNSH Technical Guidance (2021/C58/01).</w:t>
      </w:r>
    </w:p>
    <w:p w:rsidRPr="00FE48E2" w:rsidR="00D87E44" w:rsidP="00D226F4" w:rsidRDefault="00D87E44" w14:paraId="154586FA" w14:textId="77777777">
      <w:pPr>
        <w:spacing w:line="240" w:lineRule="auto"/>
        <w:jc w:val="both"/>
        <w:rPr>
          <w:noProof/>
          <w:lang w:val="en-IE"/>
        </w:rPr>
      </w:pPr>
      <w:r w:rsidRPr="1B282876">
        <w:rPr>
          <w:b/>
          <w:bCs/>
          <w:noProof/>
          <w:u w:val="single"/>
          <w:lang w:val="en-IE"/>
        </w:rPr>
        <w:t>Z.1. Description of the reforms and investments for non-repayable financial support</w:t>
      </w:r>
    </w:p>
    <w:p w:rsidRPr="00FE48E2" w:rsidR="00D87E44" w:rsidP="00D226F4" w:rsidRDefault="00D87E44" w14:paraId="154586FB" w14:textId="77777777">
      <w:pPr>
        <w:spacing w:line="240" w:lineRule="auto"/>
        <w:jc w:val="both"/>
        <w:rPr>
          <w:b/>
          <w:noProof/>
          <w:szCs w:val="24"/>
          <w:lang w:val="en-IE"/>
        </w:rPr>
      </w:pPr>
      <w:r w:rsidRPr="00FE48E2">
        <w:rPr>
          <w:b/>
          <w:noProof/>
          <w:szCs w:val="24"/>
          <w:lang w:val="en-IE"/>
        </w:rPr>
        <w:t xml:space="preserve">Investment 1: Public Research &amp; </w:t>
      </w:r>
      <w:r w:rsidRPr="00FE48E2">
        <w:rPr>
          <w:b/>
          <w:noProof/>
          <w:szCs w:val="24"/>
          <w:lang w:val="en-IE"/>
        </w:rPr>
        <w:t>Development support for priority areas of medical sciences and related social sciences</w:t>
      </w:r>
    </w:p>
    <w:p w:rsidRPr="00FE48E2" w:rsidR="00D87E44" w:rsidP="00D226F4" w:rsidRDefault="00D87E44" w14:paraId="154586FC" w14:textId="77777777">
      <w:pPr>
        <w:spacing w:line="240" w:lineRule="auto"/>
        <w:jc w:val="both"/>
        <w:rPr>
          <w:noProof/>
          <w:szCs w:val="24"/>
          <w:lang w:val="en-IE"/>
        </w:rPr>
      </w:pPr>
      <w:r w:rsidRPr="05CF9E1D">
        <w:rPr>
          <w:noProof/>
          <w:lang w:val="en-IE"/>
        </w:rPr>
        <w:t xml:space="preserve">The </w:t>
      </w:r>
      <w:r>
        <w:rPr>
          <w:noProof/>
          <w:lang w:val="en-IE"/>
        </w:rPr>
        <w:t>objective</w:t>
      </w:r>
      <w:r w:rsidRPr="05CF9E1D">
        <w:rPr>
          <w:noProof/>
          <w:lang w:val="en-IE"/>
        </w:rPr>
        <w:t xml:space="preserve"> of this measure is to enhance scientific support to the public administration </w:t>
      </w:r>
      <w:r>
        <w:rPr>
          <w:noProof/>
          <w:lang w:val="en-IE"/>
        </w:rPr>
        <w:t>and</w:t>
      </w:r>
      <w:r w:rsidRPr="05CF9E1D">
        <w:rPr>
          <w:noProof/>
          <w:lang w:val="en-IE"/>
        </w:rPr>
        <w:t xml:space="preserve"> faster and more transparent sharing of scientific information and Research &amp; Development &amp; Innovation results.</w:t>
      </w:r>
      <w:r>
        <w:rPr>
          <w:noProof/>
          <w:lang w:val="en-IE"/>
        </w:rPr>
        <w:t xml:space="preserve"> </w:t>
      </w:r>
      <w:r w:rsidRPr="00FE48E2">
        <w:rPr>
          <w:noProof/>
          <w:szCs w:val="24"/>
          <w:lang w:val="en-IE"/>
        </w:rPr>
        <w:t xml:space="preserve">The investment </w:t>
      </w:r>
      <w:r>
        <w:rPr>
          <w:noProof/>
          <w:szCs w:val="24"/>
          <w:lang w:val="en-IE"/>
        </w:rPr>
        <w:t xml:space="preserve">consists of </w:t>
      </w:r>
      <w:r w:rsidRPr="00FE48E2">
        <w:rPr>
          <w:noProof/>
          <w:szCs w:val="24"/>
          <w:lang w:val="en-IE"/>
        </w:rPr>
        <w:t xml:space="preserve">supporting basic and applied research, </w:t>
      </w:r>
      <w:r>
        <w:rPr>
          <w:noProof/>
          <w:szCs w:val="24"/>
          <w:lang w:val="en-IE"/>
        </w:rPr>
        <w:t xml:space="preserve">and </w:t>
      </w:r>
      <w:r w:rsidRPr="00FE48E2">
        <w:rPr>
          <w:noProof/>
          <w:szCs w:val="24"/>
          <w:lang w:val="en-IE"/>
        </w:rPr>
        <w:t>establishing a single scientific platform for supported priority area</w:t>
      </w:r>
      <w:r>
        <w:rPr>
          <w:noProof/>
          <w:szCs w:val="24"/>
          <w:lang w:val="en-IE"/>
        </w:rPr>
        <w:t>s</w:t>
      </w:r>
      <w:r w:rsidRPr="00FE48E2">
        <w:rPr>
          <w:noProof/>
          <w:szCs w:val="24"/>
          <w:lang w:val="en-IE"/>
        </w:rPr>
        <w:t xml:space="preserve">. </w:t>
      </w:r>
    </w:p>
    <w:p w:rsidRPr="00FE48E2" w:rsidR="00D87E44" w:rsidP="00D226F4" w:rsidRDefault="00D87E44" w14:paraId="154586FD" w14:textId="77777777">
      <w:pPr>
        <w:spacing w:line="240" w:lineRule="auto"/>
        <w:rPr>
          <w:rFonts w:ascii="Calibri" w:hAnsi="Calibri"/>
          <w:b/>
          <w:noProof/>
          <w:sz w:val="22"/>
          <w:lang w:val="en-IE"/>
        </w:rPr>
      </w:pPr>
    </w:p>
    <w:p w:rsidRPr="00FE48E2" w:rsidR="00D87E44" w:rsidP="00D226F4" w:rsidRDefault="00D87E44" w14:paraId="154586FE" w14:textId="77777777">
      <w:pPr>
        <w:spacing w:line="240" w:lineRule="auto"/>
        <w:rPr>
          <w:rFonts w:ascii="Calibri" w:hAnsi="Calibri"/>
          <w:noProof/>
          <w:sz w:val="22"/>
          <w:lang w:val="en-IE"/>
        </w:rPr>
        <w:sectPr w:rsidRPr="00FE48E2" w:rsidR="00C16C1F" w:rsidSect="00D226F4">
          <w:headerReference w:type="even" r:id="Rf0c7fc4dff834338"/>
          <w:headerReference w:type="default" r:id="R8a9aacdce0294be7"/>
          <w:footerReference w:type="even" r:id="Rc687ddd3867641d2"/>
          <w:footerReference w:type="default" r:id="R79bb8042b6b44a7a"/>
          <w:headerReference w:type="first" r:id="R7af1063fca6844ac"/>
          <w:footerReference w:type="first" r:id="Rb1c9ef4557714071"/>
          <w:pgSz w:w="11907" w:h="16839"/>
          <w:pgMar w:top="1134" w:right="1134" w:bottom="1134" w:left="1134" w:header="567" w:footer="567" w:gutter="0"/>
          <w:cols w:space="720"/>
          <w:docGrid w:linePitch="326"/>
        </w:sectPr>
      </w:pPr>
    </w:p>
    <w:p w:rsidRPr="00FE48E2" w:rsidR="00D87E44" w:rsidP="00D226F4" w:rsidRDefault="00D87E44" w14:paraId="154586FF" w14:textId="77777777">
      <w:pPr>
        <w:pBdr>
          <w:top w:val="nil"/>
          <w:left w:val="nil"/>
          <w:bottom w:val="nil"/>
          <w:right w:val="nil"/>
          <w:between w:val="nil"/>
        </w:pBdr>
        <w:tabs>
          <w:tab w:val="left" w:pos="993"/>
        </w:tabs>
        <w:spacing w:line="240" w:lineRule="auto"/>
        <w:rPr>
          <w:rFonts w:ascii="Calibri" w:hAnsi="Calibri"/>
          <w:noProof/>
          <w:color w:val="000000"/>
          <w:sz w:val="22"/>
          <w:lang w:val="en-IE"/>
        </w:rPr>
      </w:pPr>
      <w:r w:rsidRPr="1B282876">
        <w:rPr>
          <w:b/>
          <w:bCs/>
          <w:noProof/>
          <w:color w:val="000000" w:themeColor="text1"/>
          <w:u w:val="single"/>
          <w:lang w:val="en-IE"/>
        </w:rPr>
        <w:lastRenderedPageBreak/>
        <w:t xml:space="preserve">Z.2. Milestones, targets, indicators, and timetable for monitoring and implementation for non-repayable financial support </w:t>
      </w:r>
    </w:p>
    <w:tbl>
      <w:tblPr>
        <w:tblW w:w="152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400" w:firstRow="0" w:lastRow="0" w:firstColumn="0" w:lastColumn="0" w:noHBand="0" w:noVBand="1"/>
      </w:tblPr>
      <w:tblGrid>
        <w:gridCol w:w="851"/>
        <w:gridCol w:w="1674"/>
        <w:gridCol w:w="1019"/>
        <w:gridCol w:w="1276"/>
        <w:gridCol w:w="1134"/>
        <w:gridCol w:w="992"/>
        <w:gridCol w:w="1134"/>
        <w:gridCol w:w="851"/>
        <w:gridCol w:w="992"/>
        <w:gridCol w:w="851"/>
        <w:gridCol w:w="4509"/>
      </w:tblGrid>
      <w:tr w:rsidRPr="00FE48E2" w:rsidR="00E3458A" w:rsidTr="4A45BCA2" w14:paraId="15458708" w14:textId="77777777">
        <w:trPr>
          <w:trHeight w:val="827"/>
          <w:tblHeader/>
          <w:jc w:val="center"/>
        </w:trPr>
        <w:tc>
          <w:tcPr>
            <w:tcW w:w="851"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700"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Seq. Num. </w:t>
            </w:r>
          </w:p>
        </w:tc>
        <w:tc>
          <w:tcPr>
            <w:tcW w:w="1674"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701"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Related measure (Reform or Investment) </w:t>
            </w:r>
          </w:p>
        </w:tc>
        <w:tc>
          <w:tcPr>
            <w:tcW w:w="1019"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702"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Milestone / Target </w:t>
            </w:r>
          </w:p>
        </w:tc>
        <w:tc>
          <w:tcPr>
            <w:tcW w:w="1276"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703"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Name </w:t>
            </w:r>
          </w:p>
        </w:tc>
        <w:tc>
          <w:tcPr>
            <w:tcW w:w="1134" w:type="dxa"/>
            <w:vMerge w:val="restart"/>
            <w:tcBorders>
              <w:top w:val="single" w:color="000000" w:themeColor="text1" w:sz="8" w:space="0"/>
              <w:left w:val="single" w:color="000000" w:themeColor="text1" w:sz="8" w:space="0"/>
              <w:right w:val="single" w:color="000000" w:themeColor="text1" w:sz="8" w:space="0"/>
            </w:tcBorders>
            <w:shd w:val="clear" w:color="auto" w:fill="BDD7EE"/>
            <w:vAlign w:val="center"/>
          </w:tcPr>
          <w:p w:rsidRPr="00FE48E2" w:rsidR="00D87E44" w:rsidRDefault="00D87E44" w14:paraId="15458704"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Qualitative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milestones) </w:t>
            </w:r>
          </w:p>
        </w:tc>
        <w:tc>
          <w:tcPr>
            <w:tcW w:w="2977"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FE48E2" w:rsidR="00D87E44" w:rsidRDefault="00D87E44" w14:paraId="15458705"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Quantitative indicators</w:t>
            </w:r>
            <w:r w:rsidRPr="00FE48E2">
              <w:rPr>
                <w:rFonts w:eastAsia="Times New Roman"/>
                <w:noProof/>
                <w:sz w:val="18"/>
                <w:szCs w:val="18"/>
                <w:lang w:val="en-IE"/>
              </w:rPr>
              <w:br/>
            </w:r>
            <w:r w:rsidRPr="00FE48E2">
              <w:rPr>
                <w:rFonts w:eastAsia="Times New Roman"/>
                <w:b/>
                <w:noProof/>
                <w:sz w:val="18"/>
                <w:szCs w:val="18"/>
                <w:lang w:val="en-IE"/>
              </w:rPr>
              <w:t xml:space="preserve"> (for targets)</w:t>
            </w:r>
          </w:p>
        </w:tc>
        <w:tc>
          <w:tcPr>
            <w:tcW w:w="1843" w:type="dxa"/>
            <w:gridSpan w:val="2"/>
            <w:tcBorders>
              <w:top w:val="single" w:color="000000" w:themeColor="text1" w:sz="8" w:space="0"/>
              <w:left w:val="nil"/>
              <w:bottom w:val="single" w:color="000000" w:themeColor="text1" w:sz="8" w:space="0"/>
              <w:right w:val="single" w:color="000000" w:themeColor="text1" w:sz="8" w:space="0"/>
            </w:tcBorders>
            <w:shd w:val="clear" w:color="auto" w:fill="BDD7EE"/>
            <w:vAlign w:val="center"/>
          </w:tcPr>
          <w:p w:rsidRPr="00FE48E2" w:rsidR="00D87E44" w:rsidRDefault="00D87E44" w14:paraId="15458706"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Indicative timeline for completion </w:t>
            </w:r>
          </w:p>
        </w:tc>
        <w:tc>
          <w:tcPr>
            <w:tcW w:w="4509" w:type="dxa"/>
            <w:vMerge w:val="restart"/>
            <w:tcBorders>
              <w:top w:val="single" w:color="000000" w:themeColor="text1" w:sz="8" w:space="0"/>
              <w:left w:val="nil"/>
              <w:right w:val="single" w:color="000000" w:themeColor="text1" w:sz="8" w:space="0"/>
            </w:tcBorders>
            <w:shd w:val="clear" w:color="auto" w:fill="BDD7EE"/>
            <w:vAlign w:val="center"/>
          </w:tcPr>
          <w:p w:rsidRPr="00FE48E2" w:rsidR="00D87E44" w:rsidRDefault="00D87E44" w14:paraId="15458707" w14:textId="77777777">
            <w:pPr>
              <w:spacing w:line="240" w:lineRule="auto"/>
              <w:jc w:val="center"/>
              <w:rPr>
                <w:rFonts w:eastAsia="Times New Roman"/>
                <w:noProof/>
                <w:sz w:val="18"/>
                <w:szCs w:val="18"/>
                <w:lang w:val="en-IE"/>
              </w:rPr>
            </w:pPr>
            <w:r w:rsidRPr="00FE48E2">
              <w:rPr>
                <w:rFonts w:eastAsia="Times New Roman"/>
                <w:b/>
                <w:noProof/>
                <w:sz w:val="18"/>
                <w:szCs w:val="18"/>
                <w:lang w:val="en-IE"/>
              </w:rPr>
              <w:t xml:space="preserve">Description and clear definition of each milestone and target </w:t>
            </w:r>
          </w:p>
        </w:tc>
      </w:tr>
      <w:tr w:rsidRPr="00FE48E2" w:rsidR="00E3458A" w:rsidTr="4A45BCA2" w14:paraId="15458714" w14:textId="77777777">
        <w:trPr>
          <w:trHeight w:val="600"/>
          <w:tblHeader/>
          <w:jc w:val="center"/>
        </w:trPr>
        <w:tc>
          <w:tcPr>
            <w:tcW w:w="851" w:type="dxa"/>
            <w:vMerge/>
            <w:vAlign w:val="center"/>
          </w:tcPr>
          <w:p w:rsidRPr="00FE48E2" w:rsidR="00D87E44" w:rsidRDefault="00D87E44" w14:paraId="15458709" w14:textId="77777777">
            <w:pPr>
              <w:spacing w:line="240" w:lineRule="auto"/>
              <w:jc w:val="center"/>
              <w:rPr>
                <w:rFonts w:eastAsia="Times New Roman"/>
                <w:noProof/>
                <w:sz w:val="16"/>
                <w:szCs w:val="16"/>
                <w:lang w:val="en-IE"/>
              </w:rPr>
            </w:pPr>
          </w:p>
        </w:tc>
        <w:tc>
          <w:tcPr>
            <w:tcW w:w="1674" w:type="dxa"/>
            <w:vMerge/>
            <w:vAlign w:val="center"/>
          </w:tcPr>
          <w:p w:rsidRPr="00FE48E2" w:rsidR="00D87E44" w:rsidRDefault="00D87E44" w14:paraId="1545870A" w14:textId="77777777">
            <w:pPr>
              <w:spacing w:line="240" w:lineRule="auto"/>
              <w:jc w:val="center"/>
              <w:rPr>
                <w:rFonts w:eastAsia="Times New Roman"/>
                <w:noProof/>
                <w:sz w:val="16"/>
                <w:szCs w:val="16"/>
                <w:lang w:val="en-IE"/>
              </w:rPr>
            </w:pPr>
          </w:p>
        </w:tc>
        <w:tc>
          <w:tcPr>
            <w:tcW w:w="1019" w:type="dxa"/>
            <w:vMerge/>
            <w:vAlign w:val="center"/>
          </w:tcPr>
          <w:p w:rsidRPr="00FE48E2" w:rsidR="00D87E44" w:rsidRDefault="00D87E44" w14:paraId="1545870B" w14:textId="77777777">
            <w:pPr>
              <w:spacing w:line="240" w:lineRule="auto"/>
              <w:jc w:val="center"/>
              <w:rPr>
                <w:rFonts w:eastAsia="Times New Roman"/>
                <w:noProof/>
                <w:sz w:val="16"/>
                <w:szCs w:val="16"/>
                <w:lang w:val="en-IE"/>
              </w:rPr>
            </w:pPr>
          </w:p>
        </w:tc>
        <w:tc>
          <w:tcPr>
            <w:tcW w:w="1276" w:type="dxa"/>
            <w:vMerge/>
            <w:vAlign w:val="center"/>
          </w:tcPr>
          <w:p w:rsidRPr="00FE48E2" w:rsidR="00D87E44" w:rsidRDefault="00D87E44" w14:paraId="1545870C" w14:textId="77777777">
            <w:pPr>
              <w:spacing w:line="240" w:lineRule="auto"/>
              <w:jc w:val="center"/>
              <w:rPr>
                <w:rFonts w:eastAsia="Times New Roman"/>
                <w:noProof/>
                <w:sz w:val="16"/>
                <w:szCs w:val="16"/>
                <w:lang w:val="en-IE"/>
              </w:rPr>
            </w:pPr>
          </w:p>
        </w:tc>
        <w:tc>
          <w:tcPr>
            <w:tcW w:w="1134" w:type="dxa"/>
            <w:vMerge/>
            <w:vAlign w:val="center"/>
          </w:tcPr>
          <w:p w:rsidRPr="00FE48E2" w:rsidR="00D87E44" w:rsidRDefault="00D87E44" w14:paraId="1545870D" w14:textId="77777777">
            <w:pPr>
              <w:spacing w:line="240" w:lineRule="auto"/>
              <w:jc w:val="center"/>
              <w:rPr>
                <w:rFonts w:eastAsia="Times New Roman"/>
                <w:noProof/>
                <w:sz w:val="16"/>
                <w:szCs w:val="16"/>
                <w:lang w:val="en-IE"/>
              </w:rPr>
            </w:pP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290CF7" w:rsidR="00D87E44" w:rsidRDefault="00D87E44" w14:paraId="1545870E"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Unit of measure</w:t>
            </w:r>
          </w:p>
        </w:tc>
        <w:tc>
          <w:tcPr>
            <w:tcW w:w="1134"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90CF7" w:rsidR="00D87E44" w:rsidRDefault="00D87E44" w14:paraId="1545870F"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Baseline</w:t>
            </w:r>
          </w:p>
        </w:tc>
        <w:tc>
          <w:tcPr>
            <w:tcW w:w="851"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90CF7" w:rsidR="00D87E44" w:rsidRDefault="00D87E44" w14:paraId="15458710"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Goal</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DD7EE"/>
            <w:vAlign w:val="center"/>
          </w:tcPr>
          <w:p w:rsidRPr="00290CF7" w:rsidR="00D87E44" w:rsidRDefault="00D87E44" w14:paraId="15458711"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Quarter</w:t>
            </w:r>
          </w:p>
        </w:tc>
        <w:tc>
          <w:tcPr>
            <w:tcW w:w="851" w:type="dxa"/>
            <w:tcBorders>
              <w:top w:val="nil"/>
              <w:left w:val="single" w:color="000000" w:themeColor="text1" w:sz="8" w:space="0"/>
              <w:bottom w:val="single" w:color="000000" w:themeColor="text1" w:sz="8" w:space="0"/>
              <w:right w:val="single" w:color="000000" w:themeColor="text1" w:sz="8" w:space="0"/>
            </w:tcBorders>
            <w:shd w:val="clear" w:color="auto" w:fill="BDD7EE"/>
            <w:vAlign w:val="center"/>
          </w:tcPr>
          <w:p w:rsidRPr="00290CF7" w:rsidR="00D87E44" w:rsidRDefault="00D87E44" w14:paraId="15458712" w14:textId="77777777">
            <w:pPr>
              <w:spacing w:line="240" w:lineRule="auto"/>
              <w:jc w:val="center"/>
              <w:rPr>
                <w:rFonts w:eastAsia="Times New Roman"/>
                <w:noProof/>
                <w:sz w:val="18"/>
                <w:szCs w:val="18"/>
                <w:lang w:val="en-IE"/>
              </w:rPr>
            </w:pPr>
            <w:r w:rsidRPr="00290CF7">
              <w:rPr>
                <w:rFonts w:eastAsia="Times New Roman"/>
                <w:b/>
                <w:noProof/>
                <w:sz w:val="18"/>
                <w:szCs w:val="18"/>
                <w:lang w:val="en-IE"/>
              </w:rPr>
              <w:t>Year</w:t>
            </w:r>
          </w:p>
        </w:tc>
        <w:tc>
          <w:tcPr>
            <w:tcW w:w="4509" w:type="dxa"/>
            <w:vMerge/>
            <w:vAlign w:val="center"/>
          </w:tcPr>
          <w:p w:rsidRPr="00FE48E2" w:rsidR="00D87E44" w:rsidRDefault="00D87E44" w14:paraId="15458713" w14:textId="77777777">
            <w:pPr>
              <w:spacing w:line="240" w:lineRule="auto"/>
              <w:jc w:val="center"/>
              <w:rPr>
                <w:rFonts w:eastAsia="Times New Roman"/>
                <w:noProof/>
                <w:sz w:val="16"/>
                <w:szCs w:val="16"/>
                <w:lang w:val="en-IE"/>
              </w:rPr>
            </w:pPr>
          </w:p>
        </w:tc>
      </w:tr>
      <w:tr w:rsidRPr="00FE48E2" w:rsidR="00E3458A" w:rsidTr="4A45BCA2" w14:paraId="15458722" w14:textId="77777777">
        <w:trPr>
          <w:trHeight w:val="945"/>
          <w:jc w:val="center"/>
        </w:trPr>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223</w:t>
            </w:r>
          </w:p>
        </w:tc>
        <w:tc>
          <w:tcPr>
            <w:tcW w:w="167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Investment 1: Public Research &amp; Development support for priority areas of medical sciences and related social sciences </w:t>
            </w:r>
          </w:p>
        </w:tc>
        <w:tc>
          <w:tcPr>
            <w:tcW w:w="101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8" w14:textId="77777777">
            <w:pPr>
              <w:spacing w:before="0" w:after="0" w:line="240" w:lineRule="auto"/>
              <w:rPr>
                <w:rFonts w:eastAsia="Times New Roman"/>
                <w:noProof/>
                <w:color w:val="006100"/>
                <w:sz w:val="18"/>
                <w:szCs w:val="18"/>
                <w:lang w:val="en-IE"/>
              </w:rPr>
            </w:pPr>
            <w:r w:rsidRPr="00017212">
              <w:rPr>
                <w:rFonts w:eastAsia="Times New Roman"/>
                <w:noProof/>
                <w:color w:val="006100"/>
                <w:sz w:val="18"/>
                <w:szCs w:val="18"/>
                <w:lang w:val="en-IE"/>
              </w:rPr>
              <w:t xml:space="preserve">Launch of a new Research &amp; Development support program </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9" w14:textId="77777777">
            <w:pPr>
              <w:spacing w:before="0" w:after="0" w:line="240" w:lineRule="auto"/>
              <w:rPr>
                <w:rFonts w:eastAsia="Times New Roman"/>
                <w:noProof/>
                <w:color w:val="006100"/>
                <w:sz w:val="18"/>
                <w:szCs w:val="18"/>
                <w:lang w:val="en-IE"/>
              </w:rPr>
            </w:pPr>
            <w:r w:rsidRPr="00017212">
              <w:rPr>
                <w:rFonts w:eastAsia="Times New Roman"/>
                <w:noProof/>
                <w:color w:val="006100"/>
                <w:sz w:val="18"/>
                <w:szCs w:val="18"/>
                <w:lang w:val="en-IE"/>
              </w:rPr>
              <w:t xml:space="preserve">Approval of the program by the Czech Government and launch of a tender </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A" w14:textId="77777777">
            <w:pPr>
              <w:spacing w:before="0" w:after="0" w:line="240" w:lineRule="auto"/>
              <w:rPr>
                <w:rFonts w:eastAsia="Times New Roman"/>
                <w:noProof/>
                <w:color w:val="006100"/>
                <w:sz w:val="18"/>
                <w:szCs w:val="18"/>
                <w:lang w:val="en-IE"/>
              </w:rPr>
            </w:pP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B" w14:textId="77777777">
            <w:pPr>
              <w:spacing w:before="0" w:after="0" w:line="240" w:lineRule="auto"/>
              <w:rPr>
                <w:rFonts w:eastAsia="Times New Roman"/>
                <w:noProof/>
                <w:color w:val="006100"/>
                <w:sz w:val="18"/>
                <w:szCs w:val="18"/>
                <w:lang w:val="en-IE"/>
              </w:rPr>
            </w:pP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C" w14:textId="77777777">
            <w:pPr>
              <w:spacing w:before="0" w:after="0" w:line="240" w:lineRule="auto"/>
              <w:rPr>
                <w:rFonts w:eastAsia="Times New Roman"/>
                <w:noProof/>
                <w:color w:val="006100"/>
                <w:sz w:val="18"/>
                <w:szCs w:val="18"/>
                <w:lang w:val="en-IE"/>
              </w:rPr>
            </w:pP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2021</w:t>
            </w:r>
          </w:p>
        </w:tc>
        <w:tc>
          <w:tcPr>
            <w:tcW w:w="45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1F" w14:textId="77777777">
            <w:pPr>
              <w:spacing w:before="0" w:after="0" w:line="240" w:lineRule="auto"/>
              <w:rPr>
                <w:noProof/>
                <w:color w:val="006100"/>
                <w:sz w:val="18"/>
                <w:szCs w:val="18"/>
                <w:lang w:val="en-IE"/>
              </w:rPr>
            </w:pPr>
            <w:r w:rsidRPr="00FE48E2">
              <w:rPr>
                <w:noProof/>
                <w:color w:val="006100"/>
                <w:sz w:val="18"/>
                <w:szCs w:val="18"/>
                <w:lang w:val="en-IE"/>
              </w:rPr>
              <w:t>The milestone shall be achieved upon launching of a new systemic programme instrument to support Research &amp; Development in priority medical sciences and related social sciences, namely: infectious diseases research, cancer research, neurosciences, metabolic disorders or cardiovascular diseases research and research on the socio-economic impact of diseases, in accordance with the national rules established in the Act No 130/2002 on support for research, experimental development and innovation from public fun</w:t>
            </w:r>
            <w:r w:rsidRPr="00FE48E2">
              <w:rPr>
                <w:noProof/>
                <w:color w:val="006100"/>
                <w:sz w:val="18"/>
                <w:szCs w:val="18"/>
                <w:lang w:val="en-IE"/>
              </w:rPr>
              <w:t xml:space="preserve">ds . </w:t>
            </w:r>
          </w:p>
          <w:p w:rsidRPr="00FE48E2" w:rsidR="00D87E44" w:rsidRDefault="00D87E44" w14:paraId="15458720" w14:textId="77777777">
            <w:pPr>
              <w:spacing w:line="240" w:lineRule="auto"/>
              <w:rPr>
                <w:noProof/>
                <w:color w:val="006100"/>
                <w:sz w:val="18"/>
                <w:szCs w:val="18"/>
                <w:lang w:val="en-IE"/>
              </w:rPr>
            </w:pPr>
            <w:r w:rsidRPr="00FE48E2">
              <w:rPr>
                <w:noProof/>
                <w:color w:val="006100"/>
                <w:sz w:val="18"/>
                <w:szCs w:val="18"/>
                <w:lang w:val="en-IE"/>
              </w:rPr>
              <w:t xml:space="preserve">Adoption by the government shall follow consultation with all stakeholders and in internal and inter-ministerial consultation procedures, consultation with representatives of the academic and application communities and universities in the Research, Development and Innovation Council, verification of absorption capacity. </w:t>
            </w:r>
          </w:p>
          <w:p w:rsidRPr="00FE48E2" w:rsidR="00D87E44" w:rsidRDefault="00D87E44" w14:paraId="15458721" w14:textId="77777777">
            <w:pPr>
              <w:spacing w:line="240" w:lineRule="auto"/>
              <w:rPr>
                <w:rFonts w:eastAsia="Times New Roman"/>
                <w:noProof/>
                <w:color w:val="006100"/>
                <w:sz w:val="18"/>
                <w:szCs w:val="18"/>
                <w:lang w:val="en-IE"/>
              </w:rPr>
            </w:pPr>
            <w:r w:rsidRPr="00FE48E2">
              <w:rPr>
                <w:noProof/>
                <w:color w:val="006100"/>
                <w:sz w:val="18"/>
                <w:szCs w:val="18"/>
                <w:lang w:val="en-IE"/>
              </w:rPr>
              <w:t>The open call for public tender in Research &amp; Development &amp; Innovation for the new Research &amp; Development programme shall follow the national rules, especially established in the Act No 130/2002 on support for research, experimental development and innovation from public funds.</w:t>
            </w:r>
          </w:p>
        </w:tc>
      </w:tr>
      <w:tr w:rsidRPr="00FE48E2" w:rsidR="00E3458A" w:rsidTr="4A45BCA2" w14:paraId="1545872F" w14:textId="77777777">
        <w:trPr>
          <w:trHeight w:val="369"/>
          <w:jc w:val="center"/>
        </w:trPr>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224</w:t>
            </w:r>
          </w:p>
        </w:tc>
        <w:tc>
          <w:tcPr>
            <w:tcW w:w="167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Investment 1: Public Research &amp; Development support for priority areas of medical sciences and related social sciences</w:t>
            </w:r>
          </w:p>
        </w:tc>
        <w:tc>
          <w:tcPr>
            <w:tcW w:w="101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Award of public contracts to at least four Research &amp; Development consortia</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7" w14:textId="77777777">
            <w:pPr>
              <w:spacing w:before="0" w:after="0" w:line="240" w:lineRule="auto"/>
              <w:rPr>
                <w:rFonts w:eastAsia="Times New Roman"/>
                <w:noProof/>
                <w:color w:val="006100"/>
                <w:sz w:val="18"/>
                <w:szCs w:val="18"/>
                <w:lang w:val="en-IE"/>
              </w:rPr>
            </w:pP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Number of contracts</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0</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4</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Q2</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2022</w:t>
            </w:r>
          </w:p>
        </w:tc>
        <w:tc>
          <w:tcPr>
            <w:tcW w:w="45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2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target shall be achieved upon notification of the award of public contracts to at least four Research &amp; Development consortia </w:t>
            </w:r>
            <w:r w:rsidRPr="00FE48E2">
              <w:rPr>
                <w:noProof/>
                <w:color w:val="006100"/>
                <w:sz w:val="18"/>
                <w:szCs w:val="18"/>
                <w:lang w:val="en-IE"/>
              </w:rPr>
              <w:t>in priority medical sciences and related social sciences, namely: infectious diseases research, cancer research, neurosciences, metabolic disorders or cardiovascular diseases research and research on the socio-economic impact of diseases</w:t>
            </w:r>
            <w:r w:rsidRPr="00FE48E2">
              <w:rPr>
                <w:rFonts w:eastAsia="Times New Roman"/>
                <w:noProof/>
                <w:color w:val="006100"/>
                <w:sz w:val="18"/>
                <w:szCs w:val="18"/>
                <w:lang w:val="en-IE"/>
              </w:rPr>
              <w:t xml:space="preserve">. </w:t>
            </w:r>
          </w:p>
          <w:p w:rsidRPr="00FE48E2" w:rsidR="00D87E44" w:rsidRDefault="00D87E44" w14:paraId="1545872E" w14:textId="77777777">
            <w:pPr>
              <w:spacing w:line="240" w:lineRule="auto"/>
              <w:rPr>
                <w:noProof/>
                <w:color w:val="006100"/>
                <w:sz w:val="18"/>
                <w:szCs w:val="18"/>
                <w:lang w:val="en-IE"/>
              </w:rPr>
            </w:pPr>
            <w:r w:rsidRPr="00FE48E2">
              <w:rPr>
                <w:noProof/>
                <w:color w:val="006100"/>
                <w:sz w:val="18"/>
                <w:szCs w:val="18"/>
                <w:lang w:val="en-IE"/>
              </w:rPr>
              <w:t>The total budget allocated for this purpose shall amount to at least EUR 196</w:t>
            </w:r>
            <w:r>
              <w:rPr>
                <w:rFonts w:eastAsia="Times New Roman"/>
                <w:noProof/>
                <w:color w:val="006100"/>
                <w:sz w:val="20"/>
                <w:szCs w:val="20"/>
                <w:lang w:val="en-IE" w:eastAsia="en-GB"/>
              </w:rPr>
              <w:t> </w:t>
            </w:r>
            <w:r w:rsidRPr="00FE48E2">
              <w:rPr>
                <w:noProof/>
                <w:color w:val="006100"/>
                <w:sz w:val="18"/>
                <w:szCs w:val="18"/>
                <w:lang w:val="en-IE"/>
              </w:rPr>
              <w:t>371</w:t>
            </w:r>
            <w:r>
              <w:rPr>
                <w:rFonts w:eastAsia="Times New Roman"/>
                <w:noProof/>
                <w:color w:val="006100"/>
                <w:sz w:val="20"/>
                <w:szCs w:val="20"/>
                <w:lang w:val="en-IE" w:eastAsia="en-GB"/>
              </w:rPr>
              <w:t> </w:t>
            </w:r>
            <w:r w:rsidRPr="00FE48E2">
              <w:rPr>
                <w:noProof/>
                <w:color w:val="006100"/>
                <w:sz w:val="18"/>
                <w:szCs w:val="18"/>
                <w:lang w:val="en-IE"/>
              </w:rPr>
              <w:t>000.</w:t>
            </w:r>
          </w:p>
        </w:tc>
      </w:tr>
      <w:tr w:rsidRPr="00FE48E2" w:rsidR="00E3458A" w:rsidTr="4A45BCA2" w14:paraId="1545873B" w14:textId="77777777">
        <w:trPr>
          <w:trHeight w:val="945"/>
          <w:jc w:val="center"/>
        </w:trPr>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225</w:t>
            </w:r>
          </w:p>
        </w:tc>
        <w:tc>
          <w:tcPr>
            <w:tcW w:w="167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Investment 1: Public Research &amp; Development support for priority areas of medical sciences and related social sciences</w:t>
            </w:r>
          </w:p>
        </w:tc>
        <w:tc>
          <w:tcPr>
            <w:tcW w:w="101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27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BD790C" w:rsidR="00D87E44" w:rsidRDefault="00D87E44" w14:paraId="15458733"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Protocols on the outcome of evaluation for</w:t>
            </w:r>
            <w:r w:rsidRPr="00BD790C">
              <w:rPr>
                <w:rFonts w:eastAsia="Times New Roman"/>
                <w:noProof/>
                <w:color w:val="006100"/>
                <w:sz w:val="18"/>
                <w:szCs w:val="18"/>
                <w:lang w:val="en-IE"/>
              </w:rPr>
              <w:t xml:space="preserve"> at least four national Research &amp; Development consortia </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4" w14:textId="77777777">
            <w:pPr>
              <w:spacing w:before="0" w:after="0" w:line="240" w:lineRule="auto"/>
              <w:rPr>
                <w:rFonts w:eastAsia="Times New Roman"/>
                <w:noProof/>
                <w:color w:val="006100"/>
                <w:sz w:val="18"/>
                <w:szCs w:val="18"/>
                <w:lang w:val="en-IE"/>
              </w:rPr>
            </w:pP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of </w:t>
            </w:r>
            <w:r>
              <w:rPr>
                <w:rFonts w:eastAsia="Times New Roman"/>
                <w:noProof/>
                <w:color w:val="006100"/>
                <w:sz w:val="18"/>
                <w:szCs w:val="18"/>
                <w:lang w:val="en-IE"/>
              </w:rPr>
              <w:t>protocols on the outcome of</w:t>
            </w:r>
            <w:r w:rsidRPr="00B51134">
              <w:rPr>
                <w:rFonts w:eastAsia="Times New Roman"/>
                <w:noProof/>
                <w:color w:val="006100"/>
                <w:sz w:val="18"/>
                <w:szCs w:val="18"/>
                <w:lang w:val="en-IE"/>
              </w:rPr>
              <w:t xml:space="preserve"> evaluation </w:t>
            </w:r>
          </w:p>
        </w:tc>
        <w:tc>
          <w:tcPr>
            <w:tcW w:w="113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0</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4</w:t>
            </w:r>
          </w:p>
        </w:tc>
        <w:tc>
          <w:tcPr>
            <w:tcW w:w="99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85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2025</w:t>
            </w:r>
          </w:p>
        </w:tc>
        <w:tc>
          <w:tcPr>
            <w:tcW w:w="4509"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6EFCE"/>
          </w:tcPr>
          <w:p w:rsidRPr="00FE48E2" w:rsidR="00D87E44" w:rsidRDefault="00D87E44" w14:paraId="1545873A" w14:textId="77777777">
            <w:pPr>
              <w:spacing w:line="240" w:lineRule="auto"/>
              <w:rPr>
                <w:rFonts w:eastAsia="Times New Roman"/>
                <w:noProof/>
                <w:color w:val="006100"/>
                <w:sz w:val="18"/>
                <w:szCs w:val="18"/>
                <w:lang w:val="en-IE"/>
              </w:rPr>
            </w:pPr>
            <w:r w:rsidRPr="4A45BCA2">
              <w:rPr>
                <w:noProof/>
                <w:color w:val="006100"/>
                <w:sz w:val="18"/>
                <w:szCs w:val="18"/>
                <w:lang w:val="en-IE"/>
              </w:rPr>
              <w:t>The target shall be achieved upon issuing protocols on the outcome of evaluation of the functioning of at least four consortia by an</w:t>
            </w:r>
            <w:r w:rsidRPr="4A45BCA2">
              <w:rPr>
                <w:noProof/>
                <w:color w:val="006100"/>
                <w:sz w:val="18"/>
                <w:szCs w:val="18"/>
                <w:lang w:val="cs-CZ"/>
              </w:rPr>
              <w:t xml:space="preserve"> expert advisory body of</w:t>
            </w:r>
            <w:r w:rsidRPr="4A45BCA2">
              <w:rPr>
                <w:color w:val="006100"/>
                <w:sz w:val="18"/>
                <w:szCs w:val="18"/>
                <w:lang w:val="cs-CZ"/>
              </w:rPr>
              <w:t xml:space="preserve"> </w:t>
            </w:r>
            <w:proofErr w:type="spellStart"/>
            <w:r w:rsidRPr="4A45BCA2">
              <w:rPr>
                <w:color w:val="006100"/>
                <w:sz w:val="18"/>
                <w:szCs w:val="18"/>
                <w:lang w:val="cs-CZ"/>
              </w:rPr>
              <w:t>the</w:t>
            </w:r>
            <w:proofErr w:type="spellEnd"/>
            <w:r w:rsidRPr="4A45BCA2">
              <w:rPr>
                <w:color w:val="006100"/>
                <w:sz w:val="18"/>
                <w:szCs w:val="18"/>
                <w:lang w:val="cs-CZ"/>
              </w:rPr>
              <w:t xml:space="preserve"> Ministry </w:t>
            </w:r>
            <w:proofErr w:type="spellStart"/>
            <w:r w:rsidRPr="4A45BCA2">
              <w:rPr>
                <w:color w:val="006100"/>
                <w:sz w:val="18"/>
                <w:szCs w:val="18"/>
                <w:lang w:val="cs-CZ"/>
              </w:rPr>
              <w:t>of</w:t>
            </w:r>
            <w:proofErr w:type="spellEnd"/>
            <w:r w:rsidRPr="4A45BCA2">
              <w:rPr>
                <w:color w:val="006100"/>
                <w:sz w:val="18"/>
                <w:szCs w:val="18"/>
                <w:lang w:val="cs-CZ"/>
              </w:rPr>
              <w:t xml:space="preserve"> </w:t>
            </w:r>
            <w:proofErr w:type="spellStart"/>
            <w:r w:rsidRPr="4A45BCA2">
              <w:rPr>
                <w:color w:val="006100"/>
                <w:sz w:val="18"/>
                <w:szCs w:val="18"/>
                <w:lang w:val="cs-CZ"/>
              </w:rPr>
              <w:t>Education</w:t>
            </w:r>
            <w:proofErr w:type="spellEnd"/>
            <w:r w:rsidRPr="4A45BCA2">
              <w:rPr>
                <w:color w:val="006100"/>
                <w:sz w:val="18"/>
                <w:szCs w:val="18"/>
                <w:lang w:val="cs-CZ"/>
              </w:rPr>
              <w:t xml:space="preserve">, </w:t>
            </w:r>
            <w:proofErr w:type="spellStart"/>
            <w:r w:rsidRPr="4A45BCA2">
              <w:rPr>
                <w:color w:val="006100"/>
                <w:sz w:val="18"/>
                <w:szCs w:val="18"/>
                <w:lang w:val="cs-CZ"/>
              </w:rPr>
              <w:t>Youth</w:t>
            </w:r>
            <w:proofErr w:type="spellEnd"/>
            <w:r w:rsidRPr="4A45BCA2">
              <w:rPr>
                <w:color w:val="006100"/>
                <w:sz w:val="18"/>
                <w:szCs w:val="18"/>
                <w:lang w:val="cs-CZ"/>
              </w:rPr>
              <w:t xml:space="preserve"> and Sport</w:t>
            </w:r>
            <w:r w:rsidRPr="4A45BCA2">
              <w:rPr>
                <w:noProof/>
                <w:color w:val="006100"/>
                <w:sz w:val="18"/>
                <w:szCs w:val="18"/>
                <w:lang w:val="en-IE"/>
              </w:rPr>
              <w:t>.</w:t>
            </w:r>
          </w:p>
        </w:tc>
      </w:tr>
    </w:tbl>
    <w:p w:rsidRPr="00FE48E2" w:rsidR="00D87E44" w:rsidP="00D226F4" w:rsidRDefault="00D87E44" w14:paraId="1545873C" w14:textId="77777777">
      <w:pPr>
        <w:spacing w:line="240" w:lineRule="auto"/>
        <w:rPr>
          <w:rFonts w:ascii="Calibri" w:hAnsi="Calibri"/>
          <w:noProof/>
          <w:sz w:val="22"/>
          <w:lang w:val="en-IE"/>
        </w:rPr>
      </w:pPr>
    </w:p>
    <w:p w:rsidRPr="00FE48E2" w:rsidR="00D87E44" w:rsidP="00D226F4" w:rsidRDefault="00D87E44" w14:paraId="1545873D" w14:textId="77777777">
      <w:pPr>
        <w:pBdr>
          <w:top w:val="nil"/>
          <w:left w:val="nil"/>
          <w:bottom w:val="nil"/>
          <w:right w:val="nil"/>
          <w:between w:val="nil"/>
        </w:pBdr>
        <w:spacing w:line="240" w:lineRule="auto"/>
        <w:rPr>
          <w:rFonts w:ascii="Calibri" w:hAnsi="Calibri"/>
          <w:noProof/>
          <w:color w:val="000000"/>
          <w:sz w:val="22"/>
          <w:lang w:val="en-IE"/>
        </w:rPr>
        <w:sectPr w:rsidRPr="00FE48E2" w:rsidR="00C16C1F" w:rsidSect="00D226F4">
          <w:headerReference w:type="even" r:id="R88e3ec7561584204"/>
          <w:headerReference w:type="default" r:id="Rfef056b117ae493e"/>
          <w:footerReference w:type="even" r:id="R4832c16ed5334555"/>
          <w:footerReference w:type="default" r:id="Rd7e35d9d28ab4fa1"/>
          <w:headerReference w:type="first" r:id="R3669ac0af3924dcd"/>
          <w:footerReference w:type="first" r:id="R1b6755a97f864351"/>
          <w:pgSz w:w="16839" w:h="11907" w:orient="landscape"/>
          <w:pgMar w:top="1134" w:right="1134" w:bottom="1134" w:left="1134" w:header="567" w:footer="567" w:gutter="0"/>
          <w:cols w:space="720"/>
          <w:docGrid w:linePitch="326"/>
        </w:sectPr>
      </w:pPr>
    </w:p>
    <w:p w:rsidRPr="00FE48E2" w:rsidR="00D87E44" w:rsidP="00D226F4" w:rsidRDefault="00D87E44" w14:paraId="1545873E"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 xml:space="preserve">AA. COMPONENT 5.2: Support for Research and Development in Companies and Introduction of Innovations into Business Practice </w:t>
      </w:r>
    </w:p>
    <w:p w:rsidRPr="00FE48E2" w:rsidR="00D87E44" w:rsidP="00D226F4" w:rsidRDefault="00D87E44" w14:paraId="1545873F" w14:textId="77777777">
      <w:pPr>
        <w:spacing w:line="240" w:lineRule="auto"/>
        <w:jc w:val="both"/>
        <w:rPr>
          <w:noProof/>
          <w:szCs w:val="24"/>
          <w:lang w:val="en-IE"/>
        </w:rPr>
      </w:pPr>
      <w:r w:rsidRPr="00FE48E2">
        <w:rPr>
          <w:noProof/>
          <w:szCs w:val="24"/>
          <w:lang w:val="en-IE"/>
        </w:rPr>
        <w:t xml:space="preserve">This component of the Czech recovery and resilience plan contributes to addressing the challenge of boosting the innovation capacity of domestic businesses and improving cooperation within Czechia’s innovation ecosystem. This shall be achieved through support to innovative enterprises, with particular regard to digitalisation, organisational innovation and to academia-business linkages. The support shall emphasise international cooperation and synergies with the research and innovation Framework Programme. </w:t>
      </w:r>
    </w:p>
    <w:p w:rsidRPr="00FE48E2" w:rsidR="00D87E44" w:rsidP="00D226F4" w:rsidRDefault="00D87E44" w14:paraId="15458740" w14:textId="77777777">
      <w:pPr>
        <w:spacing w:line="240" w:lineRule="auto"/>
        <w:jc w:val="both"/>
        <w:rPr>
          <w:rFonts w:eastAsia="Times New Roman"/>
          <w:noProof/>
          <w:color w:val="000000"/>
          <w:szCs w:val="24"/>
          <w:lang w:val="en-IE"/>
        </w:rPr>
      </w:pPr>
      <w:r w:rsidRPr="00FE48E2">
        <w:rPr>
          <w:rFonts w:eastAsia="Times New Roman"/>
          <w:noProof/>
          <w:szCs w:val="24"/>
          <w:lang w:val="en-IE"/>
        </w:rPr>
        <w:t>The component supports addressing country-specific recommendation 3 2019, according to which Czechia shall remove the barriers hampering the development of a fully functioning innovation ecosystem, and country-specific recommendation 3 2020, according to which Czechia shall ensure access to finance for innovative firms and improve public-private cooperation in research and development.</w:t>
      </w:r>
    </w:p>
    <w:p w:rsidRPr="00FE48E2" w:rsidR="00D87E44" w:rsidP="00D226F4" w:rsidRDefault="00D87E44" w14:paraId="15458741" w14:textId="77777777">
      <w:pPr>
        <w:spacing w:line="240" w:lineRule="auto"/>
        <w:jc w:val="both"/>
        <w:rPr>
          <w:rFonts w:eastAsia="Times New Roman"/>
          <w:noProof/>
          <w:szCs w:val="24"/>
          <w:lang w:val="en-IE"/>
        </w:rPr>
      </w:pPr>
      <w:r w:rsidRPr="00FE48E2">
        <w:rPr>
          <w:rFonts w:eastAsia="Times New Roman"/>
          <w:noProof/>
          <w:szCs w:val="24"/>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In particular, the results of the R&amp;I process shall be technologically neutral at the level of their application (i.e. they shall be applied across all available technologies, including low-im</w:t>
      </w:r>
      <w:r w:rsidRPr="00FE48E2">
        <w:rPr>
          <w:rFonts w:eastAsia="Times New Roman"/>
          <w:noProof/>
          <w:szCs w:val="24"/>
          <w:lang w:val="en-IE"/>
        </w:rPr>
        <w:t>pact technologies), and the measure shall ex ante exclude R&amp;I dedicated to the ‘brown R&amp;I’ elements (i.e. coal, lignite, oil/petroleum, natural gas not covered by Annex III of the DNSH Technical Guidance, blue and grey hydrogen, incinerators and landfills).</w:t>
      </w:r>
    </w:p>
    <w:p w:rsidRPr="00FE48E2" w:rsidR="00D87E44" w:rsidP="00D226F4" w:rsidRDefault="00D87E44" w14:paraId="15458742" w14:textId="77777777">
      <w:pPr>
        <w:spacing w:line="240" w:lineRule="auto"/>
        <w:jc w:val="both"/>
        <w:rPr>
          <w:rFonts w:eastAsia="Times New Roman"/>
          <w:noProof/>
          <w:szCs w:val="24"/>
          <w:lang w:val="en-IE"/>
        </w:rPr>
      </w:pPr>
    </w:p>
    <w:p w:rsidRPr="00FE48E2" w:rsidR="00D87E44" w:rsidP="00D226F4" w:rsidRDefault="00D87E44" w14:paraId="15458743" w14:textId="77777777">
      <w:pPr>
        <w:spacing w:line="240" w:lineRule="auto"/>
        <w:jc w:val="both"/>
        <w:rPr>
          <w:b/>
          <w:bCs/>
          <w:noProof/>
          <w:u w:val="single"/>
          <w:lang w:val="en-IE"/>
        </w:rPr>
      </w:pPr>
      <w:r w:rsidRPr="1B282876">
        <w:rPr>
          <w:b/>
          <w:bCs/>
          <w:noProof/>
          <w:u w:val="single"/>
          <w:lang w:val="en-IE"/>
        </w:rPr>
        <w:t>AA.1. Description of the reforms and investments for non-repayable financial support</w:t>
      </w:r>
    </w:p>
    <w:p w:rsidRPr="00FE48E2" w:rsidR="00D87E44" w:rsidP="00D226F4" w:rsidRDefault="00D87E44" w14:paraId="15458744" w14:textId="77777777">
      <w:pPr>
        <w:pBdr>
          <w:top w:val="nil"/>
          <w:left w:val="nil"/>
          <w:bottom w:val="nil"/>
          <w:right w:val="nil"/>
          <w:between w:val="nil"/>
        </w:pBdr>
        <w:spacing w:line="240" w:lineRule="auto"/>
        <w:rPr>
          <w:b/>
          <w:noProof/>
          <w:szCs w:val="24"/>
          <w:lang w:val="en-IE"/>
        </w:rPr>
      </w:pPr>
      <w:r w:rsidRPr="00E76D01">
        <w:rPr>
          <w:b/>
          <w:noProof/>
          <w:szCs w:val="24"/>
          <w:lang w:val="en-IE"/>
        </w:rPr>
        <w:t>Reform 1:</w:t>
      </w:r>
      <w:r w:rsidRPr="00FE48E2">
        <w:rPr>
          <w:b/>
          <w:noProof/>
          <w:szCs w:val="24"/>
          <w:lang w:val="en-IE"/>
        </w:rPr>
        <w:t xml:space="preserve"> Creation of a National Coordination Group for Support for Industrial Research </w:t>
      </w:r>
    </w:p>
    <w:p w:rsidRPr="00FE48E2" w:rsidR="00D87E44" w:rsidP="00D226F4" w:rsidRDefault="00D87E44" w14:paraId="15458745" w14:textId="77777777">
      <w:pPr>
        <w:pBdr>
          <w:top w:val="nil"/>
          <w:left w:val="nil"/>
          <w:bottom w:val="nil"/>
          <w:right w:val="nil"/>
          <w:between w:val="nil"/>
        </w:pBdr>
        <w:spacing w:line="240" w:lineRule="auto"/>
        <w:jc w:val="both"/>
        <w:rPr>
          <w:noProof/>
          <w:szCs w:val="24"/>
          <w:lang w:val="en-IE"/>
        </w:rPr>
      </w:pPr>
      <w:r w:rsidRPr="00FE48E2">
        <w:rPr>
          <w:noProof/>
          <w:szCs w:val="24"/>
          <w:lang w:val="en-IE"/>
        </w:rPr>
        <w:t>The reform entails the establishment of a National Coordination Group</w:t>
      </w:r>
      <w:r w:rsidRPr="00FE48E2">
        <w:rPr>
          <w:rFonts w:eastAsia="Times New Roman"/>
          <w:noProof/>
          <w:color w:val="000000"/>
          <w:szCs w:val="24"/>
          <w:lang w:val="en-IE"/>
        </w:rPr>
        <w:t xml:space="preserve"> for Support for Industrial Research</w:t>
      </w:r>
      <w:r w:rsidRPr="00FE48E2">
        <w:rPr>
          <w:noProof/>
          <w:szCs w:val="24"/>
          <w:lang w:val="en-IE"/>
        </w:rPr>
        <w:t xml:space="preserve">, which shall harmonise the industrial R&amp;D support policies between policy makers, existing RDI support providers and the Government Council for RDI. </w:t>
      </w:r>
    </w:p>
    <w:p w:rsidRPr="00FE48E2" w:rsidR="00D87E44" w:rsidP="00D226F4" w:rsidRDefault="00D87E44" w14:paraId="15458746" w14:textId="77777777">
      <w:pPr>
        <w:pBdr>
          <w:top w:val="nil"/>
          <w:left w:val="nil"/>
          <w:bottom w:val="nil"/>
          <w:right w:val="nil"/>
          <w:between w:val="nil"/>
        </w:pBdr>
        <w:spacing w:line="240" w:lineRule="auto"/>
        <w:jc w:val="both"/>
        <w:rPr>
          <w:noProof/>
          <w:szCs w:val="24"/>
          <w:lang w:val="en-IE"/>
        </w:rPr>
      </w:pPr>
      <w:r w:rsidRPr="00FE48E2">
        <w:rPr>
          <w:noProof/>
          <w:szCs w:val="24"/>
          <w:lang w:val="en-IE"/>
        </w:rPr>
        <w:t xml:space="preserve">The National Coordination Group shall ensure the establishment of a structure for supporting programmes compatible with the smart specialization strategy. It should harmonize the conditions for granting support and the concentration of all relevant programmes under a single implementing body – the Technology Agency of the Czech Republic. </w:t>
      </w:r>
    </w:p>
    <w:p w:rsidRPr="00FE48E2" w:rsidR="00D87E44" w:rsidP="00D226F4" w:rsidRDefault="00D87E44" w14:paraId="15458747" w14:textId="77777777">
      <w:pPr>
        <w:spacing w:line="240" w:lineRule="auto"/>
        <w:jc w:val="both"/>
        <w:rPr>
          <w:rFonts w:eastAsia="Times New Roman"/>
          <w:noProof/>
          <w:color w:val="000000"/>
          <w:szCs w:val="24"/>
          <w:lang w:val="en-IE"/>
        </w:rPr>
      </w:pPr>
      <w:r w:rsidRPr="00FE48E2">
        <w:rPr>
          <w:rFonts w:eastAsia="Times New Roman"/>
          <w:noProof/>
          <w:color w:val="000000"/>
          <w:szCs w:val="24"/>
          <w:lang w:val="en-IE"/>
        </w:rPr>
        <w:t>The reform shall be implemented by 31 December 2021.</w:t>
      </w:r>
    </w:p>
    <w:p w:rsidRPr="00FE48E2" w:rsidR="00D87E44" w:rsidP="00D226F4" w:rsidRDefault="00D87E44" w14:paraId="15458748" w14:textId="77777777">
      <w:pPr>
        <w:spacing w:line="240" w:lineRule="auto"/>
        <w:rPr>
          <w:rFonts w:eastAsia="Times New Roman"/>
          <w:noProof/>
          <w:color w:val="000000"/>
          <w:szCs w:val="24"/>
          <w:lang w:val="en-IE"/>
        </w:rPr>
      </w:pPr>
      <w:r w:rsidRPr="00FE48E2">
        <w:rPr>
          <w:rFonts w:eastAsia="Times New Roman"/>
          <w:b/>
          <w:noProof/>
          <w:color w:val="000000"/>
          <w:szCs w:val="24"/>
          <w:lang w:val="en-IE"/>
        </w:rPr>
        <w:t>Investment 1: Support for the introduction of innovation into business practice</w:t>
      </w:r>
    </w:p>
    <w:p w:rsidRPr="00FE48E2" w:rsidR="00D87E44" w:rsidP="00D226F4" w:rsidRDefault="00D87E44" w14:paraId="15458749" w14:textId="77777777">
      <w:pPr>
        <w:spacing w:line="240" w:lineRule="auto"/>
        <w:jc w:val="both"/>
        <w:rPr>
          <w:noProof/>
          <w:sz w:val="22"/>
          <w:lang w:val="en-IE"/>
        </w:rPr>
      </w:pPr>
      <w:r w:rsidRPr="00FE48E2">
        <w:rPr>
          <w:rFonts w:eastAsia="Times New Roman"/>
          <w:noProof/>
          <w:color w:val="000000"/>
          <w:szCs w:val="24"/>
          <w:lang w:val="en-IE"/>
        </w:rPr>
        <w:t xml:space="preserve">The </w:t>
      </w:r>
      <w:r>
        <w:rPr>
          <w:rFonts w:eastAsia="Times New Roman"/>
          <w:noProof/>
          <w:color w:val="000000"/>
          <w:szCs w:val="24"/>
          <w:lang w:val="en-IE"/>
        </w:rPr>
        <w:t>objective of the measure is</w:t>
      </w:r>
      <w:r w:rsidRPr="00FE48E2">
        <w:rPr>
          <w:rFonts w:eastAsia="Times New Roman"/>
          <w:noProof/>
          <w:color w:val="000000"/>
          <w:szCs w:val="24"/>
          <w:lang w:val="en-IE"/>
        </w:rPr>
        <w:t xml:space="preserve"> </w:t>
      </w:r>
      <w:r>
        <w:rPr>
          <w:rFonts w:eastAsia="Times New Roman"/>
          <w:noProof/>
          <w:color w:val="000000"/>
          <w:szCs w:val="24"/>
          <w:lang w:val="en-IE"/>
        </w:rPr>
        <w:t>to</w:t>
      </w:r>
      <w:r w:rsidRPr="00FE48E2">
        <w:rPr>
          <w:rFonts w:eastAsia="Times New Roman"/>
          <w:noProof/>
          <w:color w:val="000000"/>
          <w:szCs w:val="24"/>
          <w:lang w:val="en-IE"/>
        </w:rPr>
        <w:t xml:space="preserve"> support innovation projects by </w:t>
      </w:r>
      <w:r>
        <w:rPr>
          <w:rFonts w:eastAsia="Times New Roman"/>
          <w:noProof/>
          <w:color w:val="000000"/>
          <w:szCs w:val="24"/>
          <w:lang w:val="en-IE"/>
        </w:rPr>
        <w:t>businesses</w:t>
      </w:r>
      <w:r w:rsidRPr="00FE48E2">
        <w:rPr>
          <w:rFonts w:eastAsia="Times New Roman"/>
          <w:noProof/>
          <w:color w:val="000000"/>
          <w:szCs w:val="24"/>
          <w:lang w:val="en-IE"/>
        </w:rPr>
        <w:t xml:space="preserve"> </w:t>
      </w:r>
      <w:r>
        <w:rPr>
          <w:rFonts w:eastAsia="Times New Roman"/>
          <w:noProof/>
          <w:color w:val="000000"/>
          <w:szCs w:val="24"/>
          <w:lang w:val="en-IE"/>
        </w:rPr>
        <w:t xml:space="preserve">(e.g. </w:t>
      </w:r>
      <w:r w:rsidRPr="00FE48E2">
        <w:rPr>
          <w:rFonts w:eastAsia="Times New Roman"/>
          <w:noProof/>
          <w:color w:val="000000"/>
          <w:szCs w:val="24"/>
          <w:lang w:val="en-IE"/>
        </w:rPr>
        <w:t xml:space="preserve">introducing product, </w:t>
      </w:r>
      <w:r w:rsidRPr="00FE48E2">
        <w:rPr>
          <w:rFonts w:eastAsia="Times New Roman"/>
          <w:noProof/>
          <w:color w:val="000000"/>
          <w:szCs w:val="24"/>
          <w:lang w:val="en-IE"/>
        </w:rPr>
        <w:t>process or organisational innovation into business practice</w:t>
      </w:r>
      <w:r>
        <w:rPr>
          <w:rFonts w:eastAsia="Times New Roman"/>
          <w:noProof/>
          <w:color w:val="000000"/>
          <w:szCs w:val="24"/>
          <w:lang w:val="en-IE"/>
        </w:rPr>
        <w:t>)</w:t>
      </w:r>
      <w:r w:rsidRPr="00FE48E2">
        <w:rPr>
          <w:rFonts w:eastAsia="Times New Roman"/>
          <w:noProof/>
          <w:color w:val="000000"/>
          <w:szCs w:val="24"/>
          <w:lang w:val="en-IE"/>
        </w:rPr>
        <w:t xml:space="preserve">. </w:t>
      </w:r>
      <w:r w:rsidRPr="4F926F89">
        <w:rPr>
          <w:rFonts w:eastAsia="Times New Roman"/>
          <w:noProof/>
          <w:color w:val="000000" w:themeColor="text1"/>
          <w:lang w:val="en-IE"/>
        </w:rPr>
        <w:t xml:space="preserve">The </w:t>
      </w:r>
      <w:r w:rsidRPr="73280265">
        <w:rPr>
          <w:rFonts w:eastAsia="Times New Roman"/>
          <w:noProof/>
          <w:color w:val="000000" w:themeColor="text1"/>
          <w:lang w:val="en-IE"/>
        </w:rPr>
        <w:t>investment</w:t>
      </w:r>
      <w:r w:rsidRPr="4F926F89">
        <w:rPr>
          <w:rFonts w:eastAsia="Times New Roman"/>
          <w:noProof/>
          <w:color w:val="000000" w:themeColor="text1"/>
          <w:lang w:val="en-IE"/>
        </w:rPr>
        <w:t xml:space="preserve"> consists of </w:t>
      </w:r>
      <w:r>
        <w:rPr>
          <w:rFonts w:eastAsia="Times New Roman"/>
          <w:noProof/>
          <w:color w:val="000000" w:themeColor="text1"/>
          <w:lang w:val="en-IE"/>
        </w:rPr>
        <w:t>support towards</w:t>
      </w:r>
      <w:r w:rsidRPr="00FF1320">
        <w:rPr>
          <w:color w:val="000000" w:themeColor="text1"/>
          <w:lang w:val="en-IE"/>
        </w:rPr>
        <w:t xml:space="preserve"> innovation projects.</w:t>
      </w:r>
    </w:p>
    <w:p w:rsidR="00D87E44" w:rsidP="00D226F4" w:rsidRDefault="00D87E44" w14:paraId="1545874A" w14:textId="77777777">
      <w:pPr>
        <w:autoSpaceDE w:val="0"/>
        <w:autoSpaceDN w:val="0"/>
        <w:adjustRightInd w:val="0"/>
        <w:spacing w:line="240" w:lineRule="auto"/>
        <w:rPr>
          <w:rFonts w:eastAsia="Times New Roman"/>
          <w:b/>
          <w:noProof/>
          <w:szCs w:val="24"/>
          <w:lang w:val="en-IE"/>
        </w:rPr>
        <w:sectPr w:rsidR="00C16C1F" w:rsidSect="00D226F4">
          <w:headerReference w:type="even" r:id="R2d1b945590b24ed6"/>
          <w:headerReference w:type="default" r:id="Rd806490cdd624e47"/>
          <w:footerReference w:type="even" r:id="Rc476e96741e34293"/>
          <w:footerReference w:type="default" r:id="Rcc730951154e452d"/>
          <w:headerReference w:type="first" r:id="Rc62971fb716f40b7"/>
          <w:footerReference w:type="first" r:id="Re32884dd90734314"/>
          <w:pgSz w:w="11907" w:h="16839"/>
          <w:pgMar w:top="1134" w:right="1134" w:bottom="1134" w:left="1134" w:header="567" w:footer="567" w:gutter="0"/>
          <w:cols w:space="720"/>
          <w:docGrid w:linePitch="360"/>
        </w:sectPr>
      </w:pPr>
    </w:p>
    <w:p w:rsidRPr="00FE48E2" w:rsidR="00D87E44" w:rsidP="00D226F4" w:rsidRDefault="00D87E44" w14:paraId="1545874B" w14:textId="77777777">
      <w:pPr>
        <w:autoSpaceDE w:val="0"/>
        <w:autoSpaceDN w:val="0"/>
        <w:adjustRightInd w:val="0"/>
        <w:spacing w:line="240" w:lineRule="auto"/>
        <w:rPr>
          <w:rFonts w:eastAsia="Times New Roman"/>
          <w:b/>
          <w:noProof/>
          <w:szCs w:val="24"/>
          <w:lang w:val="en-IE"/>
        </w:rPr>
      </w:pPr>
      <w:r w:rsidRPr="00FE48E2">
        <w:rPr>
          <w:rFonts w:eastAsia="Times New Roman"/>
          <w:b/>
          <w:noProof/>
          <w:szCs w:val="24"/>
          <w:lang w:val="en-IE"/>
        </w:rPr>
        <w:lastRenderedPageBreak/>
        <w:t xml:space="preserve">Investment 2: Support for R&amp;D cooperation (in line with the National RIS3 Strategy) </w:t>
      </w:r>
    </w:p>
    <w:p w:rsidRPr="00FF1320" w:rsidR="00D87E44" w:rsidP="00FF1320" w:rsidRDefault="00D87E44" w14:paraId="1545874C" w14:textId="77777777">
      <w:pPr>
        <w:autoSpaceDE w:val="0"/>
        <w:autoSpaceDN w:val="0"/>
        <w:adjustRightInd w:val="0"/>
        <w:spacing w:line="240" w:lineRule="auto"/>
        <w:jc w:val="both"/>
        <w:rPr>
          <w:lang w:val="en-IE"/>
        </w:rPr>
      </w:pPr>
      <w:r w:rsidRPr="00FE48E2">
        <w:rPr>
          <w:rFonts w:eastAsia="Times New Roman"/>
          <w:noProof/>
          <w:lang w:val="en-IE"/>
        </w:rPr>
        <w:t xml:space="preserve">The </w:t>
      </w:r>
      <w:r>
        <w:rPr>
          <w:rFonts w:eastAsia="Times New Roman"/>
          <w:noProof/>
          <w:lang w:val="en-IE"/>
        </w:rPr>
        <w:t xml:space="preserve">objective of the </w:t>
      </w:r>
      <w:r w:rsidRPr="00FE48E2">
        <w:rPr>
          <w:rFonts w:eastAsia="Times New Roman"/>
          <w:noProof/>
          <w:lang w:val="en-IE"/>
        </w:rPr>
        <w:t xml:space="preserve">measure </w:t>
      </w:r>
      <w:r>
        <w:rPr>
          <w:rFonts w:eastAsia="Times New Roman"/>
          <w:noProof/>
          <w:lang w:val="en-IE"/>
        </w:rPr>
        <w:t>is</w:t>
      </w:r>
      <w:r w:rsidRPr="00FE48E2">
        <w:rPr>
          <w:rFonts w:eastAsia="Times New Roman"/>
          <w:noProof/>
          <w:lang w:val="en-IE"/>
        </w:rPr>
        <w:t xml:space="preserve"> </w:t>
      </w:r>
      <w:r>
        <w:rPr>
          <w:rFonts w:eastAsia="Times New Roman"/>
          <w:noProof/>
          <w:lang w:val="en-IE"/>
        </w:rPr>
        <w:t>to</w:t>
      </w:r>
      <w:r w:rsidRPr="00FE48E2">
        <w:rPr>
          <w:rFonts w:eastAsia="Times New Roman"/>
          <w:noProof/>
          <w:lang w:val="en-IE"/>
        </w:rPr>
        <w:t xml:space="preserve"> </w:t>
      </w:r>
      <w:r>
        <w:rPr>
          <w:rFonts w:eastAsia="Times New Roman"/>
          <w:noProof/>
          <w:lang w:val="en-IE"/>
        </w:rPr>
        <w:t xml:space="preserve">provide support for cooperation between </w:t>
      </w:r>
      <w:r w:rsidRPr="00FE48E2">
        <w:rPr>
          <w:rFonts w:eastAsia="Times New Roman"/>
          <w:noProof/>
          <w:lang w:val="en-IE"/>
        </w:rPr>
        <w:t>research organisations and</w:t>
      </w:r>
      <w:r>
        <w:rPr>
          <w:rFonts w:eastAsia="Times New Roman"/>
          <w:noProof/>
          <w:lang w:val="en-IE"/>
        </w:rPr>
        <w:t xml:space="preserve"> businesses </w:t>
      </w:r>
      <w:r w:rsidRPr="00FE48E2">
        <w:rPr>
          <w:rFonts w:eastAsia="Times New Roman"/>
          <w:noProof/>
          <w:lang w:val="en-IE"/>
        </w:rPr>
        <w:t xml:space="preserve">under the National Centres of Competence programme. </w:t>
      </w:r>
      <w:r>
        <w:rPr>
          <w:rFonts w:eastAsia="Times New Roman"/>
          <w:noProof/>
          <w:lang w:val="en-IE"/>
        </w:rPr>
        <w:t>It consists of supporting c</w:t>
      </w:r>
      <w:r w:rsidRPr="00FE48E2">
        <w:rPr>
          <w:rFonts w:eastAsia="Times New Roman"/>
          <w:noProof/>
          <w:lang w:val="en-IE"/>
        </w:rPr>
        <w:t xml:space="preserve">ooperation projects of </w:t>
      </w:r>
      <w:r w:rsidRPr="34D276C3">
        <w:rPr>
          <w:rFonts w:eastAsia="Times New Roman"/>
          <w:noProof/>
          <w:lang w:val="en-IE"/>
        </w:rPr>
        <w:t xml:space="preserve">businesses </w:t>
      </w:r>
      <w:r w:rsidRPr="00FE48E2">
        <w:rPr>
          <w:rFonts w:eastAsia="Times New Roman"/>
          <w:noProof/>
          <w:lang w:val="en-IE"/>
        </w:rPr>
        <w:t>with a public research organisation.</w:t>
      </w:r>
    </w:p>
    <w:p w:rsidRPr="00FE48E2" w:rsidR="00D87E44" w:rsidP="00D226F4" w:rsidRDefault="00D87E44" w14:paraId="1545874D" w14:textId="77777777">
      <w:pPr>
        <w:spacing w:line="259" w:lineRule="auto"/>
        <w:jc w:val="both"/>
        <w:rPr>
          <w:rFonts w:eastAsia="Times New Roman"/>
          <w:b/>
          <w:noProof/>
          <w:szCs w:val="24"/>
          <w:lang w:val="en-IE"/>
        </w:rPr>
      </w:pPr>
      <w:r w:rsidRPr="00FE48E2">
        <w:rPr>
          <w:rFonts w:eastAsia="Times New Roman"/>
          <w:b/>
          <w:noProof/>
          <w:szCs w:val="24"/>
          <w:lang w:val="en-IE"/>
        </w:rPr>
        <w:t>Investment 3: Aid for research and development in the field of the environment</w:t>
      </w:r>
    </w:p>
    <w:p w:rsidRPr="00FF1320" w:rsidR="00D87E44" w:rsidP="00441DE3" w:rsidRDefault="00D87E44" w14:paraId="1545874E" w14:textId="77777777">
      <w:pPr>
        <w:autoSpaceDE w:val="0"/>
        <w:autoSpaceDN w:val="0"/>
        <w:adjustRightInd w:val="0"/>
        <w:spacing w:line="259" w:lineRule="auto"/>
        <w:jc w:val="both"/>
        <w:rPr>
          <w:lang w:val="en-IE"/>
        </w:rPr>
      </w:pPr>
      <w:r w:rsidRPr="05CF9E1D">
        <w:rPr>
          <w:rFonts w:eastAsia="Times New Roman"/>
          <w:noProof/>
          <w:lang w:val="en-IE"/>
        </w:rPr>
        <w:t xml:space="preserve">The </w:t>
      </w:r>
      <w:r>
        <w:rPr>
          <w:rFonts w:eastAsia="Times New Roman"/>
          <w:noProof/>
          <w:lang w:val="en-IE"/>
        </w:rPr>
        <w:t>objective of the measure</w:t>
      </w:r>
      <w:r w:rsidRPr="05CF9E1D">
        <w:rPr>
          <w:rFonts w:eastAsia="Times New Roman"/>
          <w:noProof/>
          <w:lang w:val="en-IE"/>
        </w:rPr>
        <w:t xml:space="preserve"> </w:t>
      </w:r>
      <w:r>
        <w:rPr>
          <w:rFonts w:eastAsia="Times New Roman"/>
          <w:noProof/>
          <w:lang w:val="en-IE"/>
        </w:rPr>
        <w:t>is</w:t>
      </w:r>
      <w:r w:rsidRPr="05CF9E1D">
        <w:rPr>
          <w:rFonts w:eastAsia="Times New Roman"/>
          <w:noProof/>
          <w:lang w:val="en-IE"/>
        </w:rPr>
        <w:t xml:space="preserve"> </w:t>
      </w:r>
      <w:r>
        <w:rPr>
          <w:rFonts w:eastAsia="Times New Roman"/>
          <w:noProof/>
          <w:lang w:val="en-IE"/>
        </w:rPr>
        <w:t>to</w:t>
      </w:r>
      <w:r w:rsidRPr="05CF9E1D">
        <w:rPr>
          <w:rFonts w:eastAsia="Times New Roman"/>
          <w:noProof/>
          <w:lang w:val="en-IE"/>
        </w:rPr>
        <w:t xml:space="preserve"> support industrial RDI projects submitted by research organisations and enterprises, including collaborative projects, aimed at addressing challenges identified under the “State Environmental Policy of the Czech Republic 2030 with outlook to 2050” and the sectoral strategy of research support. </w:t>
      </w:r>
      <w:r>
        <w:rPr>
          <w:rFonts w:eastAsia="Times New Roman"/>
          <w:noProof/>
          <w:lang w:val="en-IE"/>
        </w:rPr>
        <w:t xml:space="preserve">It consists of supporting </w:t>
      </w:r>
      <w:r w:rsidRPr="00FE48E2">
        <w:rPr>
          <w:rFonts w:eastAsia="Times New Roman"/>
          <w:noProof/>
          <w:lang w:val="en-IE"/>
        </w:rPr>
        <w:t>RDI projects in the field of environment.</w:t>
      </w:r>
    </w:p>
    <w:p w:rsidRPr="00FE48E2" w:rsidR="00D87E44" w:rsidP="0033235F" w:rsidRDefault="00D87E44" w14:paraId="1545874F" w14:textId="77777777">
      <w:pPr>
        <w:spacing w:line="240" w:lineRule="auto"/>
        <w:jc w:val="both"/>
        <w:rPr>
          <w:rFonts w:eastAsia="Times New Roman"/>
          <w:b/>
          <w:noProof/>
          <w:color w:val="000000"/>
          <w:sz w:val="23"/>
          <w:szCs w:val="23"/>
          <w:lang w:val="en-IE" w:eastAsia="cs-CZ"/>
        </w:rPr>
      </w:pPr>
      <w:r w:rsidRPr="00FE48E2">
        <w:rPr>
          <w:rFonts w:eastAsia="Times New Roman"/>
          <w:b/>
          <w:noProof/>
          <w:szCs w:val="24"/>
          <w:lang w:val="en-IE"/>
        </w:rPr>
        <w:t xml:space="preserve">Investment 4: </w:t>
      </w:r>
      <w:r w:rsidRPr="00FE48E2">
        <w:rPr>
          <w:rFonts w:eastAsia="Times New Roman"/>
          <w:b/>
          <w:noProof/>
          <w:color w:val="000000"/>
          <w:sz w:val="23"/>
          <w:szCs w:val="23"/>
          <w:lang w:val="en-IE" w:eastAsia="cs-CZ"/>
        </w:rPr>
        <w:t xml:space="preserve">Support for research and development in synergy effects with the Framework Programme for Research and Innovation </w:t>
      </w:r>
    </w:p>
    <w:p w:rsidRPr="00FF1320" w:rsidR="00D87E44" w:rsidP="00441DE3" w:rsidRDefault="00D87E44" w14:paraId="15458750" w14:textId="77777777">
      <w:pPr>
        <w:spacing w:line="259" w:lineRule="auto"/>
        <w:jc w:val="both"/>
        <w:rPr>
          <w:sz w:val="22"/>
          <w:lang w:val="en-IE"/>
        </w:rPr>
      </w:pPr>
      <w:r w:rsidRPr="00FE48E2">
        <w:rPr>
          <w:rFonts w:eastAsia="Times New Roman"/>
          <w:noProof/>
          <w:szCs w:val="24"/>
          <w:lang w:val="en-IE"/>
        </w:rPr>
        <w:t xml:space="preserve">The </w:t>
      </w:r>
      <w:r>
        <w:rPr>
          <w:rFonts w:eastAsia="Times New Roman"/>
          <w:noProof/>
          <w:szCs w:val="24"/>
          <w:lang w:val="en-IE"/>
        </w:rPr>
        <w:t>objective of the measure is</w:t>
      </w:r>
      <w:r w:rsidRPr="00FE48E2">
        <w:rPr>
          <w:rFonts w:eastAsia="Times New Roman"/>
          <w:noProof/>
          <w:szCs w:val="24"/>
          <w:lang w:val="en-IE"/>
        </w:rPr>
        <w:t xml:space="preserve"> </w:t>
      </w:r>
      <w:r>
        <w:rPr>
          <w:rFonts w:eastAsia="Times New Roman"/>
          <w:noProof/>
          <w:szCs w:val="24"/>
          <w:lang w:val="en-IE"/>
        </w:rPr>
        <w:t>to</w:t>
      </w:r>
      <w:r w:rsidRPr="00FE48E2">
        <w:rPr>
          <w:rFonts w:eastAsia="Times New Roman"/>
          <w:noProof/>
          <w:szCs w:val="24"/>
          <w:lang w:val="en-IE"/>
        </w:rPr>
        <w:t xml:space="preserve"> fund Seal of Excellence projects, in particular the instruments of the European Innovation Council Accelerator (including EIC Accelerator</w:t>
      </w:r>
      <w:r>
        <w:rPr>
          <w:rFonts w:eastAsia="Times New Roman"/>
          <w:noProof/>
          <w:szCs w:val="24"/>
          <w:lang w:val="en-IE"/>
        </w:rPr>
        <w:t xml:space="preserve"> Pilot</w:t>
      </w:r>
      <w:r w:rsidRPr="00FE48E2">
        <w:rPr>
          <w:rFonts w:eastAsia="Times New Roman"/>
          <w:noProof/>
          <w:szCs w:val="24"/>
          <w:lang w:val="en-IE"/>
        </w:rPr>
        <w:t xml:space="preserve">), which supports </w:t>
      </w:r>
      <w:r>
        <w:rPr>
          <w:rFonts w:eastAsia="Times New Roman"/>
          <w:noProof/>
          <w:szCs w:val="24"/>
          <w:lang w:val="en-IE"/>
        </w:rPr>
        <w:t>businesses</w:t>
      </w:r>
      <w:r w:rsidRPr="00FE48E2">
        <w:rPr>
          <w:rFonts w:eastAsia="Times New Roman"/>
          <w:noProof/>
          <w:szCs w:val="24"/>
          <w:lang w:val="en-IE"/>
        </w:rPr>
        <w:t xml:space="preserve"> with the highest potential for rapid growth, as well as support European Research Area NET Cofunds (European Partnerships) that address the most pressing research and development challenges in the international context. </w:t>
      </w:r>
      <w:r>
        <w:rPr>
          <w:rFonts w:eastAsia="Times New Roman"/>
          <w:noProof/>
          <w:lang w:val="en-IE"/>
        </w:rPr>
        <w:t xml:space="preserve">The investment consists of supporting </w:t>
      </w:r>
      <w:r w:rsidRPr="5E3AFA2A">
        <w:rPr>
          <w:rFonts w:eastAsia="Times New Roman"/>
          <w:noProof/>
          <w:lang w:val="en-IE"/>
        </w:rPr>
        <w:t xml:space="preserve">projects participating in European Research </w:t>
      </w:r>
      <w:r w:rsidRPr="5E3AFA2A">
        <w:rPr>
          <w:rFonts w:eastAsia="Times New Roman"/>
          <w:noProof/>
          <w:lang w:val="en-IE"/>
        </w:rPr>
        <w:t xml:space="preserve">Area NET Cofunds or projects that received the Seal of Excellence (including in the EIC Accelerator Pilot).  </w:t>
      </w:r>
    </w:p>
    <w:p w:rsidRPr="00FE48E2" w:rsidR="00D87E44" w:rsidP="00D226F4" w:rsidRDefault="00D87E44" w14:paraId="15458751" w14:textId="77777777">
      <w:pPr>
        <w:spacing w:line="257" w:lineRule="auto"/>
        <w:jc w:val="both"/>
        <w:rPr>
          <w:rFonts w:eastAsia="Times New Roman"/>
          <w:b/>
          <w:noProof/>
          <w:szCs w:val="24"/>
          <w:lang w:val="en-IE"/>
        </w:rPr>
      </w:pPr>
      <w:r w:rsidRPr="00FE48E2">
        <w:rPr>
          <w:rFonts w:eastAsia="Times New Roman"/>
          <w:b/>
          <w:noProof/>
          <w:szCs w:val="24"/>
          <w:lang w:val="en-IE"/>
        </w:rPr>
        <w:t>Investment 5: Aid for research and development in enterprises in line with the national RIS3 strategy</w:t>
      </w:r>
    </w:p>
    <w:p w:rsidRPr="00FE48E2" w:rsidR="00D87E44" w:rsidP="00D226F4" w:rsidRDefault="00D87E44" w14:paraId="15458752" w14:textId="77777777">
      <w:pPr>
        <w:spacing w:line="257" w:lineRule="auto"/>
        <w:jc w:val="both"/>
        <w:rPr>
          <w:rFonts w:eastAsia="Times New Roman"/>
          <w:noProof/>
          <w:lang w:val="en-IE"/>
        </w:rPr>
      </w:pPr>
      <w:r w:rsidRPr="4A45BCA2">
        <w:rPr>
          <w:rFonts w:eastAsia="Times New Roman"/>
          <w:noProof/>
          <w:lang w:val="en-IE"/>
        </w:rPr>
        <w:t>The objective of the measure is to support industrial research and experimental development projects submitted by enterprises in line with the national RIS3 strategy. The investment consists of signed grant agreements for the support of projects and disbursements to final beneficiaries.</w:t>
      </w:r>
    </w:p>
    <w:p w:rsidR="00D87E44" w:rsidP="00D226F4" w:rsidRDefault="00D87E44" w14:paraId="15458753" w14:textId="77777777">
      <w:pPr>
        <w:spacing w:line="257" w:lineRule="auto"/>
        <w:jc w:val="both"/>
        <w:rPr>
          <w:rFonts w:eastAsia="Times New Roman"/>
          <w:b/>
          <w:noProof/>
          <w:szCs w:val="24"/>
          <w:lang w:val="en-IE"/>
        </w:rPr>
      </w:pPr>
      <w:r w:rsidRPr="00FE48E2">
        <w:rPr>
          <w:rFonts w:eastAsia="Times New Roman"/>
          <w:b/>
          <w:noProof/>
          <w:szCs w:val="24"/>
          <w:lang w:val="en-IE"/>
        </w:rPr>
        <w:t>Investment 6: Aid for research and development in the field of transport</w:t>
      </w:r>
    </w:p>
    <w:p w:rsidR="00D87E44" w:rsidP="00D226F4" w:rsidRDefault="00D87E44" w14:paraId="15458754" w14:textId="77777777">
      <w:pPr>
        <w:spacing w:line="257" w:lineRule="auto"/>
        <w:jc w:val="both"/>
        <w:rPr>
          <w:rFonts w:eastAsia="Times New Roman"/>
          <w:noProof/>
          <w:lang w:val="en-IE"/>
        </w:rPr>
      </w:pPr>
      <w:r w:rsidRPr="4A45BCA2">
        <w:rPr>
          <w:rFonts w:eastAsia="Times New Roman"/>
          <w:noProof/>
          <w:lang w:val="en-IE"/>
        </w:rPr>
        <w:t>The objective of the measure is to support R&amp;D&amp;I projects in the field of transport. The investment consists of signed grant agreements for the support of projects and disbursements to final beneficiaries.</w:t>
      </w:r>
    </w:p>
    <w:p w:rsidRPr="00FE48E2" w:rsidR="00D87E44" w:rsidP="00D226F4" w:rsidRDefault="00D87E44" w14:paraId="15458755" w14:textId="77777777">
      <w:pPr>
        <w:spacing w:line="259" w:lineRule="auto"/>
        <w:jc w:val="both"/>
        <w:rPr>
          <w:rFonts w:eastAsia="Times New Roman"/>
          <w:b/>
          <w:noProof/>
          <w:lang w:val="en-IE"/>
        </w:rPr>
      </w:pPr>
      <w:r w:rsidRPr="00FE48E2">
        <w:rPr>
          <w:rFonts w:eastAsia="Times New Roman"/>
          <w:b/>
          <w:noProof/>
          <w:lang w:val="en-IE"/>
        </w:rPr>
        <w:t>Investment 7: Aid for research and development in the environment</w:t>
      </w:r>
      <w:r>
        <w:rPr>
          <w:rFonts w:eastAsia="Times New Roman"/>
          <w:b/>
          <w:noProof/>
          <w:lang w:val="en-IE"/>
        </w:rPr>
        <w:t>al field</w:t>
      </w:r>
    </w:p>
    <w:p w:rsidRPr="00FE48E2" w:rsidR="00D87E44" w:rsidP="00D226F4" w:rsidRDefault="00D87E44" w14:paraId="15458756" w14:textId="77777777">
      <w:pPr>
        <w:spacing w:line="257" w:lineRule="auto"/>
        <w:jc w:val="both"/>
        <w:rPr>
          <w:rFonts w:eastAsia="Times New Roman"/>
          <w:noProof/>
          <w:lang w:val="en-IE"/>
        </w:rPr>
      </w:pPr>
      <w:r w:rsidRPr="4A45BCA2">
        <w:rPr>
          <w:rFonts w:eastAsia="Times New Roman"/>
          <w:noProof/>
          <w:lang w:val="en-IE"/>
        </w:rPr>
        <w:t>The objective of the measure is to support industrial RDI projects submitted by research organisations and enterprises, including collaborative projects, aimed at addressing challenges identified under the “State Environmental Policy of the Czech Republic 2030 with outlook to 2050” and the sectoral strategy of research support. The investment consists of signed grant agreements for the support of projects in the environmental field and disbursements to final beneficiaries.</w:t>
      </w:r>
    </w:p>
    <w:p w:rsidRPr="00FE48E2" w:rsidR="00D87E44" w:rsidP="00D226F4" w:rsidRDefault="00D87E44" w14:paraId="15458757" w14:textId="77777777">
      <w:pPr>
        <w:spacing w:line="240" w:lineRule="auto"/>
        <w:jc w:val="both"/>
        <w:rPr>
          <w:rFonts w:eastAsia="Times New Roman"/>
          <w:noProof/>
          <w:lang w:val="en-IE"/>
        </w:rPr>
        <w:sectPr w:rsidRPr="00FE48E2" w:rsidR="00C16C1F" w:rsidSect="00D226F4">
          <w:headerReference w:type="even" r:id="R44fd7f0195664ba4"/>
          <w:footerReference w:type="even" r:id="Ra10bae93312341c1"/>
          <w:headerReference w:type="first" r:id="R5c3c29420a67458e"/>
          <w:footerReference w:type="first" r:id="Rce9a578bdb6a454d"/>
          <w:pgSz w:w="11907" w:h="16839"/>
          <w:pgMar w:top="1134" w:right="1134" w:bottom="1134" w:left="1134" w:header="567" w:footer="567" w:gutter="0"/>
          <w:cols w:space="720"/>
          <w:docGrid w:linePitch="360"/>
        </w:sectPr>
      </w:pPr>
    </w:p>
    <w:p w:rsidRPr="00FE48E2" w:rsidR="00D87E44" w:rsidP="00D226F4" w:rsidRDefault="00D87E44" w14:paraId="15458758" w14:textId="77777777">
      <w:pPr>
        <w:tabs>
          <w:tab w:val="left" w:pos="993"/>
        </w:tabs>
        <w:spacing w:line="240" w:lineRule="auto"/>
        <w:jc w:val="both"/>
        <w:rPr>
          <w:b/>
          <w:bCs/>
          <w:noProof/>
          <w:u w:val="single"/>
          <w:lang w:val="en-IE"/>
        </w:rPr>
      </w:pPr>
      <w:r w:rsidRPr="1B282876">
        <w:rPr>
          <w:b/>
          <w:bCs/>
          <w:noProof/>
          <w:u w:val="single"/>
          <w:lang w:val="en-IE"/>
        </w:rPr>
        <w:lastRenderedPageBreak/>
        <w:t xml:space="preserve">AA.2. Milestones, targets, indicators, and timetable for monitoring and implementation for non-repayable financial support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675"/>
        <w:gridCol w:w="1276"/>
        <w:gridCol w:w="1077"/>
        <w:gridCol w:w="1418"/>
        <w:gridCol w:w="1134"/>
        <w:gridCol w:w="1417"/>
        <w:gridCol w:w="1134"/>
        <w:gridCol w:w="709"/>
        <w:gridCol w:w="850"/>
        <w:gridCol w:w="639"/>
        <w:gridCol w:w="4745"/>
      </w:tblGrid>
      <w:tr w:rsidRPr="00FE48E2" w:rsidR="00E3458A" w:rsidTr="00F825FF" w14:paraId="15458761" w14:textId="77777777">
        <w:trPr>
          <w:trHeight w:val="75"/>
          <w:tblHeader/>
        </w:trPr>
        <w:tc>
          <w:tcPr>
            <w:tcW w:w="675" w:type="dxa"/>
            <w:vMerge w:val="restart"/>
            <w:shd w:val="clear" w:color="auto" w:fill="BDD7EE"/>
            <w:vAlign w:val="center"/>
          </w:tcPr>
          <w:p w:rsidRPr="00FE48E2" w:rsidR="00D87E44" w:rsidRDefault="00D87E44" w14:paraId="15458759" w14:textId="77777777">
            <w:pPr>
              <w:spacing w:line="240" w:lineRule="auto"/>
              <w:jc w:val="center"/>
              <w:rPr>
                <w:noProof/>
                <w:sz w:val="18"/>
                <w:szCs w:val="18"/>
                <w:lang w:val="en-IE"/>
              </w:rPr>
            </w:pPr>
            <w:r w:rsidRPr="00FE48E2">
              <w:rPr>
                <w:rFonts w:eastAsia="Times New Roman"/>
                <w:b/>
                <w:noProof/>
                <w:sz w:val="18"/>
                <w:szCs w:val="18"/>
                <w:lang w:val="en-IE"/>
              </w:rPr>
              <w:t xml:space="preserve">Seq. Num. </w:t>
            </w:r>
          </w:p>
        </w:tc>
        <w:tc>
          <w:tcPr>
            <w:tcW w:w="1276" w:type="dxa"/>
            <w:vMerge w:val="restart"/>
            <w:shd w:val="clear" w:color="auto" w:fill="BDD7EE"/>
            <w:vAlign w:val="center"/>
          </w:tcPr>
          <w:p w:rsidRPr="00FE48E2" w:rsidR="00D87E44" w:rsidRDefault="00D87E44" w14:paraId="1545875A"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077" w:type="dxa"/>
            <w:vMerge w:val="restart"/>
            <w:shd w:val="clear" w:color="auto" w:fill="BDD7EE"/>
            <w:vAlign w:val="center"/>
          </w:tcPr>
          <w:p w:rsidRPr="00FE48E2" w:rsidR="00D87E44" w:rsidRDefault="00D87E44" w14:paraId="1545875B"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418" w:type="dxa"/>
            <w:vMerge w:val="restart"/>
            <w:shd w:val="clear" w:color="auto" w:fill="BDD7EE"/>
            <w:vAlign w:val="center"/>
          </w:tcPr>
          <w:p w:rsidRPr="00FE48E2" w:rsidR="00D87E44" w:rsidRDefault="00D87E44" w14:paraId="1545875C"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134" w:type="dxa"/>
            <w:vMerge w:val="restart"/>
            <w:shd w:val="clear" w:color="auto" w:fill="BDD7EE"/>
            <w:vAlign w:val="center"/>
          </w:tcPr>
          <w:p w:rsidRPr="00FE48E2" w:rsidR="00D87E44" w:rsidRDefault="00D87E44" w14:paraId="1545875D"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2835" w:type="dxa"/>
            <w:gridSpan w:val="3"/>
            <w:shd w:val="clear" w:color="auto" w:fill="BDD7EE"/>
            <w:vAlign w:val="center"/>
          </w:tcPr>
          <w:p w:rsidRPr="00FE48E2" w:rsidR="00D87E44" w:rsidRDefault="00D87E44" w14:paraId="1545875E"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489" w:type="dxa"/>
            <w:gridSpan w:val="2"/>
            <w:shd w:val="clear" w:color="auto" w:fill="BDD7EE"/>
            <w:vAlign w:val="center"/>
          </w:tcPr>
          <w:p w:rsidRPr="00FE48E2" w:rsidR="00D87E44" w:rsidRDefault="00D87E44" w14:paraId="1545875F"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745" w:type="dxa"/>
            <w:vMerge w:val="restart"/>
            <w:shd w:val="clear" w:color="auto" w:fill="BDD7EE"/>
            <w:vAlign w:val="center"/>
          </w:tcPr>
          <w:p w:rsidRPr="00FE48E2" w:rsidR="00D87E44" w:rsidRDefault="00D87E44" w14:paraId="15458760" w14:textId="77777777">
            <w:pPr>
              <w:spacing w:line="240" w:lineRule="auto"/>
              <w:jc w:val="center"/>
              <w:rPr>
                <w:noProof/>
                <w:sz w:val="18"/>
                <w:szCs w:val="18"/>
                <w:lang w:val="en-IE"/>
              </w:rPr>
            </w:pPr>
            <w:r w:rsidRPr="00FE48E2">
              <w:rPr>
                <w:rFonts w:eastAsia="Times New Roman"/>
                <w:b/>
                <w:noProof/>
                <w:sz w:val="18"/>
                <w:szCs w:val="18"/>
                <w:lang w:val="en-IE"/>
              </w:rPr>
              <w:t xml:space="preserve">Description and clear definition of each milestone and target </w:t>
            </w:r>
          </w:p>
        </w:tc>
      </w:tr>
      <w:tr w:rsidRPr="00FE48E2" w:rsidR="00E3458A" w:rsidTr="00F825FF" w14:paraId="1545876D" w14:textId="77777777">
        <w:trPr>
          <w:trHeight w:val="600"/>
          <w:tblHeader/>
        </w:trPr>
        <w:tc>
          <w:tcPr>
            <w:tcW w:w="675" w:type="dxa"/>
            <w:vMerge/>
            <w:vAlign w:val="center"/>
          </w:tcPr>
          <w:p w:rsidRPr="00FE48E2" w:rsidR="00D87E44" w:rsidRDefault="00D87E44" w14:paraId="15458762" w14:textId="77777777">
            <w:pPr>
              <w:spacing w:line="240" w:lineRule="auto"/>
              <w:jc w:val="center"/>
              <w:rPr>
                <w:noProof/>
                <w:sz w:val="16"/>
                <w:szCs w:val="16"/>
                <w:lang w:val="en-IE"/>
              </w:rPr>
            </w:pPr>
          </w:p>
        </w:tc>
        <w:tc>
          <w:tcPr>
            <w:tcW w:w="1276" w:type="dxa"/>
            <w:vMerge/>
            <w:vAlign w:val="center"/>
          </w:tcPr>
          <w:p w:rsidRPr="00FE48E2" w:rsidR="00D87E44" w:rsidRDefault="00D87E44" w14:paraId="15458763" w14:textId="77777777">
            <w:pPr>
              <w:spacing w:line="240" w:lineRule="auto"/>
              <w:jc w:val="center"/>
              <w:rPr>
                <w:noProof/>
                <w:sz w:val="16"/>
                <w:szCs w:val="16"/>
                <w:lang w:val="en-IE"/>
              </w:rPr>
            </w:pPr>
          </w:p>
        </w:tc>
        <w:tc>
          <w:tcPr>
            <w:tcW w:w="1077" w:type="dxa"/>
            <w:vMerge/>
            <w:vAlign w:val="center"/>
          </w:tcPr>
          <w:p w:rsidRPr="00FE48E2" w:rsidR="00D87E44" w:rsidRDefault="00D87E44" w14:paraId="15458764" w14:textId="77777777">
            <w:pPr>
              <w:spacing w:line="240" w:lineRule="auto"/>
              <w:jc w:val="center"/>
              <w:rPr>
                <w:noProof/>
                <w:sz w:val="16"/>
                <w:szCs w:val="16"/>
                <w:lang w:val="en-IE"/>
              </w:rPr>
            </w:pPr>
          </w:p>
        </w:tc>
        <w:tc>
          <w:tcPr>
            <w:tcW w:w="1418" w:type="dxa"/>
            <w:vMerge/>
            <w:vAlign w:val="center"/>
          </w:tcPr>
          <w:p w:rsidRPr="00FE48E2" w:rsidR="00D87E44" w:rsidRDefault="00D87E44" w14:paraId="15458765" w14:textId="77777777">
            <w:pPr>
              <w:spacing w:line="240" w:lineRule="auto"/>
              <w:jc w:val="center"/>
              <w:rPr>
                <w:noProof/>
                <w:sz w:val="16"/>
                <w:szCs w:val="16"/>
                <w:lang w:val="en-IE"/>
              </w:rPr>
            </w:pPr>
          </w:p>
        </w:tc>
        <w:tc>
          <w:tcPr>
            <w:tcW w:w="1134" w:type="dxa"/>
            <w:vMerge/>
            <w:vAlign w:val="center"/>
          </w:tcPr>
          <w:p w:rsidRPr="00FE48E2" w:rsidR="00D87E44" w:rsidRDefault="00D87E44" w14:paraId="15458766" w14:textId="77777777">
            <w:pPr>
              <w:spacing w:line="240" w:lineRule="auto"/>
              <w:jc w:val="center"/>
              <w:rPr>
                <w:noProof/>
                <w:sz w:val="16"/>
                <w:szCs w:val="16"/>
                <w:lang w:val="en-IE"/>
              </w:rPr>
            </w:pPr>
          </w:p>
        </w:tc>
        <w:tc>
          <w:tcPr>
            <w:tcW w:w="1417" w:type="dxa"/>
            <w:shd w:val="clear" w:color="auto" w:fill="BDD7EE"/>
            <w:vAlign w:val="center"/>
          </w:tcPr>
          <w:p w:rsidRPr="00290CF7" w:rsidR="00D87E44" w:rsidRDefault="00D87E44" w14:paraId="15458767" w14:textId="77777777">
            <w:pPr>
              <w:spacing w:line="240" w:lineRule="auto"/>
              <w:jc w:val="center"/>
              <w:rPr>
                <w:noProof/>
                <w:sz w:val="18"/>
                <w:szCs w:val="18"/>
                <w:lang w:val="en-IE"/>
              </w:rPr>
            </w:pPr>
            <w:r w:rsidRPr="00290CF7">
              <w:rPr>
                <w:rFonts w:eastAsia="Times New Roman"/>
                <w:b/>
                <w:noProof/>
                <w:sz w:val="18"/>
                <w:szCs w:val="18"/>
                <w:lang w:val="en-IE"/>
              </w:rPr>
              <w:t>Unit of measure</w:t>
            </w:r>
          </w:p>
        </w:tc>
        <w:tc>
          <w:tcPr>
            <w:tcW w:w="1134" w:type="dxa"/>
            <w:shd w:val="clear" w:color="auto" w:fill="BDD7EE"/>
            <w:vAlign w:val="center"/>
          </w:tcPr>
          <w:p w:rsidRPr="00290CF7" w:rsidR="00D87E44" w:rsidRDefault="00D87E44" w14:paraId="15458768" w14:textId="77777777">
            <w:pPr>
              <w:spacing w:line="240" w:lineRule="auto"/>
              <w:jc w:val="center"/>
              <w:rPr>
                <w:noProof/>
                <w:sz w:val="18"/>
                <w:szCs w:val="18"/>
                <w:lang w:val="en-IE"/>
              </w:rPr>
            </w:pPr>
            <w:r w:rsidRPr="00290CF7">
              <w:rPr>
                <w:rFonts w:eastAsia="Times New Roman"/>
                <w:b/>
                <w:noProof/>
                <w:sz w:val="18"/>
                <w:szCs w:val="18"/>
                <w:lang w:val="en-IE"/>
              </w:rPr>
              <w:t>Baseline</w:t>
            </w:r>
          </w:p>
        </w:tc>
        <w:tc>
          <w:tcPr>
            <w:tcW w:w="709" w:type="dxa"/>
            <w:shd w:val="clear" w:color="auto" w:fill="BDD7EE"/>
            <w:vAlign w:val="center"/>
          </w:tcPr>
          <w:p w:rsidRPr="00290CF7" w:rsidR="00D87E44" w:rsidRDefault="00D87E44" w14:paraId="15458769" w14:textId="77777777">
            <w:pPr>
              <w:spacing w:line="240" w:lineRule="auto"/>
              <w:jc w:val="center"/>
              <w:rPr>
                <w:noProof/>
                <w:sz w:val="18"/>
                <w:szCs w:val="18"/>
                <w:lang w:val="en-IE"/>
              </w:rPr>
            </w:pPr>
            <w:r w:rsidRPr="00290CF7">
              <w:rPr>
                <w:rFonts w:eastAsia="Times New Roman"/>
                <w:b/>
                <w:noProof/>
                <w:sz w:val="18"/>
                <w:szCs w:val="18"/>
                <w:lang w:val="en-IE"/>
              </w:rPr>
              <w:t>Goal</w:t>
            </w:r>
          </w:p>
        </w:tc>
        <w:tc>
          <w:tcPr>
            <w:tcW w:w="850" w:type="dxa"/>
            <w:shd w:val="clear" w:color="auto" w:fill="BDD7EE"/>
            <w:vAlign w:val="center"/>
          </w:tcPr>
          <w:p w:rsidRPr="00290CF7" w:rsidR="00D87E44" w:rsidRDefault="00D87E44" w14:paraId="1545876A" w14:textId="77777777">
            <w:pPr>
              <w:spacing w:line="240" w:lineRule="auto"/>
              <w:jc w:val="center"/>
              <w:rPr>
                <w:noProof/>
                <w:sz w:val="18"/>
                <w:szCs w:val="18"/>
                <w:lang w:val="en-IE"/>
              </w:rPr>
            </w:pPr>
            <w:r w:rsidRPr="00290CF7">
              <w:rPr>
                <w:rFonts w:eastAsia="Times New Roman"/>
                <w:b/>
                <w:noProof/>
                <w:sz w:val="18"/>
                <w:szCs w:val="18"/>
                <w:lang w:val="en-IE"/>
              </w:rPr>
              <w:t>Quarter</w:t>
            </w:r>
          </w:p>
        </w:tc>
        <w:tc>
          <w:tcPr>
            <w:tcW w:w="639" w:type="dxa"/>
            <w:shd w:val="clear" w:color="auto" w:fill="BDD7EE"/>
            <w:vAlign w:val="center"/>
          </w:tcPr>
          <w:p w:rsidRPr="00290CF7" w:rsidR="00D87E44" w:rsidRDefault="00D87E44" w14:paraId="1545876B" w14:textId="77777777">
            <w:pPr>
              <w:spacing w:line="240" w:lineRule="auto"/>
              <w:jc w:val="center"/>
              <w:rPr>
                <w:noProof/>
                <w:sz w:val="18"/>
                <w:szCs w:val="18"/>
                <w:lang w:val="en-IE"/>
              </w:rPr>
            </w:pPr>
            <w:r w:rsidRPr="00290CF7">
              <w:rPr>
                <w:rFonts w:eastAsia="Times New Roman"/>
                <w:b/>
                <w:noProof/>
                <w:sz w:val="18"/>
                <w:szCs w:val="18"/>
                <w:lang w:val="en-IE"/>
              </w:rPr>
              <w:t>Year</w:t>
            </w:r>
          </w:p>
        </w:tc>
        <w:tc>
          <w:tcPr>
            <w:tcW w:w="4745" w:type="dxa"/>
            <w:vMerge/>
            <w:vAlign w:val="center"/>
          </w:tcPr>
          <w:p w:rsidRPr="00FE48E2" w:rsidR="00D87E44" w:rsidRDefault="00D87E44" w14:paraId="1545876C" w14:textId="77777777">
            <w:pPr>
              <w:spacing w:line="240" w:lineRule="auto"/>
              <w:jc w:val="center"/>
              <w:rPr>
                <w:noProof/>
                <w:sz w:val="16"/>
                <w:szCs w:val="16"/>
                <w:lang w:val="en-IE"/>
              </w:rPr>
            </w:pPr>
          </w:p>
        </w:tc>
      </w:tr>
      <w:tr w:rsidRPr="00FE48E2" w:rsidR="00E3458A" w:rsidTr="00F825FF" w14:paraId="15458779" w14:textId="77777777">
        <w:trPr>
          <w:trHeight w:val="945"/>
        </w:trPr>
        <w:tc>
          <w:tcPr>
            <w:tcW w:w="675" w:type="dxa"/>
            <w:shd w:val="clear" w:color="auto" w:fill="C6EFCE"/>
          </w:tcPr>
          <w:p w:rsidRPr="00BD790C" w:rsidR="00D87E44" w:rsidRDefault="00D87E44" w14:paraId="1545876E"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226</w:t>
            </w:r>
          </w:p>
        </w:tc>
        <w:tc>
          <w:tcPr>
            <w:tcW w:w="1276" w:type="dxa"/>
            <w:shd w:val="clear" w:color="auto" w:fill="C6EFCE"/>
          </w:tcPr>
          <w:p w:rsidRPr="00BD790C" w:rsidR="00D87E44" w:rsidRDefault="00D87E44" w14:paraId="1545876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Reform 1: Creation of National Coordination Group for Support for Industrial Research</w:t>
            </w:r>
          </w:p>
        </w:tc>
        <w:tc>
          <w:tcPr>
            <w:tcW w:w="1077" w:type="dxa"/>
            <w:shd w:val="clear" w:color="auto" w:fill="C6EFCE"/>
          </w:tcPr>
          <w:p w:rsidRPr="00BD790C" w:rsidR="00D87E44" w:rsidRDefault="00D87E44" w14:paraId="1545877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Milestone</w:t>
            </w:r>
          </w:p>
        </w:tc>
        <w:tc>
          <w:tcPr>
            <w:tcW w:w="1418" w:type="dxa"/>
            <w:shd w:val="clear" w:color="auto" w:fill="C6EFCE"/>
          </w:tcPr>
          <w:p w:rsidRPr="00BD790C" w:rsidR="00D87E44" w:rsidRDefault="00D87E44" w14:paraId="1545877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Establishment of National </w:t>
            </w:r>
            <w:r w:rsidRPr="00BD790C">
              <w:rPr>
                <w:rFonts w:eastAsia="Times New Roman"/>
                <w:noProof/>
                <w:color w:val="006100"/>
                <w:sz w:val="18"/>
                <w:szCs w:val="18"/>
                <w:lang w:val="en-IE"/>
              </w:rPr>
              <w:t>Coordination Group for Support for Industrial Research</w:t>
            </w:r>
          </w:p>
        </w:tc>
        <w:tc>
          <w:tcPr>
            <w:tcW w:w="1134" w:type="dxa"/>
            <w:shd w:val="clear" w:color="auto" w:fill="C6EFCE"/>
          </w:tcPr>
          <w:p w:rsidRPr="00BD790C" w:rsidR="00D87E44" w:rsidRDefault="00D87E44" w14:paraId="1545877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Start of operation of the group</w:t>
            </w:r>
          </w:p>
        </w:tc>
        <w:tc>
          <w:tcPr>
            <w:tcW w:w="1417" w:type="dxa"/>
            <w:shd w:val="clear" w:color="auto" w:fill="C6EFCE"/>
          </w:tcPr>
          <w:p w:rsidRPr="00BD790C" w:rsidR="00D87E44" w:rsidRDefault="00D87E44" w14:paraId="15458773" w14:textId="77777777">
            <w:pPr>
              <w:spacing w:before="0" w:after="0" w:line="240" w:lineRule="auto"/>
              <w:rPr>
                <w:rFonts w:eastAsia="Times New Roman"/>
                <w:noProof/>
                <w:color w:val="006100"/>
                <w:sz w:val="18"/>
                <w:szCs w:val="18"/>
                <w:lang w:val="en-IE"/>
              </w:rPr>
            </w:pPr>
          </w:p>
        </w:tc>
        <w:tc>
          <w:tcPr>
            <w:tcW w:w="1134" w:type="dxa"/>
            <w:shd w:val="clear" w:color="auto" w:fill="C6EFCE"/>
          </w:tcPr>
          <w:p w:rsidRPr="00BD790C" w:rsidR="00D87E44" w:rsidRDefault="00D87E44" w14:paraId="15458774" w14:textId="77777777">
            <w:pPr>
              <w:spacing w:before="0" w:after="0" w:line="240" w:lineRule="auto"/>
              <w:rPr>
                <w:rFonts w:eastAsia="Times New Roman"/>
                <w:noProof/>
                <w:color w:val="006100"/>
                <w:sz w:val="18"/>
                <w:szCs w:val="18"/>
                <w:lang w:val="en-IE"/>
              </w:rPr>
            </w:pPr>
          </w:p>
        </w:tc>
        <w:tc>
          <w:tcPr>
            <w:tcW w:w="709" w:type="dxa"/>
            <w:shd w:val="clear" w:color="auto" w:fill="C6EFCE"/>
          </w:tcPr>
          <w:p w:rsidRPr="00BD790C" w:rsidR="00D87E44" w:rsidRDefault="00D87E44" w14:paraId="15458775"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BD790C" w:rsidR="00D87E44" w:rsidRDefault="00D87E44" w14:paraId="1545877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Q4</w:t>
            </w:r>
          </w:p>
        </w:tc>
        <w:tc>
          <w:tcPr>
            <w:tcW w:w="639" w:type="dxa"/>
            <w:shd w:val="clear" w:color="auto" w:fill="C6EFCE"/>
          </w:tcPr>
          <w:p w:rsidRPr="00BD790C" w:rsidR="00D87E44" w:rsidRDefault="00D87E44" w14:paraId="1545877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2021</w:t>
            </w:r>
          </w:p>
        </w:tc>
        <w:tc>
          <w:tcPr>
            <w:tcW w:w="4745" w:type="dxa"/>
            <w:shd w:val="clear" w:color="auto" w:fill="C6EFCE"/>
          </w:tcPr>
          <w:p w:rsidRPr="00BD790C" w:rsidR="00D87E44" w:rsidRDefault="00D87E44" w14:paraId="1545877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A National Coordination Group for Support for Industrial Research shall be established and put in operation. The coordination group shall harmonize the industrial R&amp;D support policies between policy makers, existing RDI support providers and the Government Council for RDI, the conditions for granting support, and concentrate all relevant programmes under the remit of the Technology Agency of the Czech Republic.</w:t>
            </w:r>
          </w:p>
        </w:tc>
      </w:tr>
      <w:tr w:rsidRPr="00FE48E2" w:rsidR="00E3458A" w:rsidTr="00F825FF" w14:paraId="15458786" w14:textId="77777777">
        <w:trPr>
          <w:trHeight w:val="945"/>
        </w:trPr>
        <w:tc>
          <w:tcPr>
            <w:tcW w:w="675" w:type="dxa"/>
            <w:shd w:val="clear" w:color="auto" w:fill="C6EFCE"/>
          </w:tcPr>
          <w:p w:rsidRPr="00BD790C" w:rsidR="00D87E44" w:rsidRDefault="00D87E44" w14:paraId="1545877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227</w:t>
            </w:r>
          </w:p>
        </w:tc>
        <w:tc>
          <w:tcPr>
            <w:tcW w:w="1276" w:type="dxa"/>
            <w:shd w:val="clear" w:color="auto" w:fill="C6EFCE"/>
          </w:tcPr>
          <w:p w:rsidRPr="00BD790C" w:rsidR="00D87E44" w:rsidRDefault="00D87E44" w14:paraId="1545877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1: Supporting the uptake of innovation in business practice</w:t>
            </w:r>
          </w:p>
        </w:tc>
        <w:tc>
          <w:tcPr>
            <w:tcW w:w="1077" w:type="dxa"/>
            <w:shd w:val="clear" w:color="auto" w:fill="C6EFCE"/>
          </w:tcPr>
          <w:p w:rsidRPr="00BD790C" w:rsidR="00D87E44" w:rsidRDefault="00D87E44" w14:paraId="1545877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7D"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tc>
        <w:tc>
          <w:tcPr>
            <w:tcW w:w="1134" w:type="dxa"/>
            <w:shd w:val="clear" w:color="auto" w:fill="C6EFCE"/>
          </w:tcPr>
          <w:p w:rsidRPr="00BD790C" w:rsidR="00D87E44" w:rsidRDefault="00D87E44" w14:paraId="1545877E"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7F" w14:textId="77777777">
            <w:pPr>
              <w:spacing w:before="0" w:after="0" w:line="240" w:lineRule="auto"/>
              <w:rPr>
                <w:rFonts w:eastAsia="Times New Roman"/>
                <w:noProof/>
                <w:color w:val="006100"/>
                <w:sz w:val="18"/>
                <w:szCs w:val="18"/>
                <w:lang w:val="en-IE"/>
              </w:rPr>
            </w:pPr>
            <w:r w:rsidRPr="33B55F1B">
              <w:rPr>
                <w:rFonts w:eastAsia="Times New Roman"/>
                <w:noProof/>
                <w:color w:val="006100"/>
                <w:sz w:val="18"/>
                <w:szCs w:val="18"/>
                <w:lang w:val="en-IE"/>
              </w:rPr>
              <w:t>%</w:t>
            </w:r>
          </w:p>
        </w:tc>
        <w:tc>
          <w:tcPr>
            <w:tcW w:w="1134" w:type="dxa"/>
            <w:shd w:val="clear" w:color="auto" w:fill="C6EFCE"/>
          </w:tcPr>
          <w:p w:rsidRPr="00BD790C" w:rsidR="00D87E44" w:rsidRDefault="00D87E44" w14:paraId="15458780" w14:textId="77777777">
            <w:pPr>
              <w:spacing w:before="0" w:after="0" w:line="240" w:lineRule="auto"/>
              <w:rPr>
                <w:rFonts w:eastAsia="Times New Roman"/>
                <w:noProof/>
                <w:color w:val="006100"/>
                <w:sz w:val="18"/>
                <w:szCs w:val="18"/>
                <w:lang w:val="en-IE"/>
              </w:rPr>
            </w:pPr>
            <w:r w:rsidRPr="7EEF0960">
              <w:rPr>
                <w:rFonts w:eastAsia="Times New Roman"/>
                <w:noProof/>
                <w:color w:val="006100"/>
                <w:sz w:val="18"/>
                <w:szCs w:val="18"/>
                <w:lang w:val="en-IE"/>
              </w:rPr>
              <w:t>0</w:t>
            </w:r>
          </w:p>
        </w:tc>
        <w:tc>
          <w:tcPr>
            <w:tcW w:w="709" w:type="dxa"/>
            <w:shd w:val="clear" w:color="auto" w:fill="C6EFCE"/>
          </w:tcPr>
          <w:p w:rsidRPr="00BD790C" w:rsidR="00D87E44" w:rsidRDefault="00D87E44" w14:paraId="15458781" w14:textId="77777777">
            <w:pPr>
              <w:spacing w:before="0" w:after="0" w:line="240" w:lineRule="auto"/>
              <w:rPr>
                <w:rFonts w:eastAsia="Times New Roman"/>
                <w:noProof/>
                <w:color w:val="006100"/>
                <w:sz w:val="18"/>
                <w:szCs w:val="18"/>
                <w:lang w:val="en-IE"/>
              </w:rPr>
            </w:pPr>
            <w:r w:rsidRPr="7EEF0960">
              <w:rPr>
                <w:rFonts w:eastAsia="Times New Roman"/>
                <w:noProof/>
                <w:color w:val="006100"/>
                <w:sz w:val="18"/>
                <w:szCs w:val="18"/>
                <w:lang w:val="en-IE"/>
              </w:rPr>
              <w:t>90</w:t>
            </w:r>
          </w:p>
        </w:tc>
        <w:tc>
          <w:tcPr>
            <w:tcW w:w="850" w:type="dxa"/>
            <w:shd w:val="clear" w:color="auto" w:fill="C6EFCE"/>
          </w:tcPr>
          <w:p w:rsidRPr="00BD790C" w:rsidR="00D87E44" w:rsidRDefault="00D87E44" w14:paraId="15458782" w14:textId="77777777">
            <w:pPr>
              <w:spacing w:before="0" w:after="0" w:line="240" w:lineRule="auto"/>
              <w:rPr>
                <w:rFonts w:eastAsia="Times New Roman"/>
                <w:noProof/>
                <w:color w:val="006100"/>
                <w:sz w:val="18"/>
                <w:szCs w:val="18"/>
                <w:lang w:val="en-IE"/>
              </w:rPr>
            </w:pPr>
            <w:r w:rsidRPr="308215C1">
              <w:rPr>
                <w:rFonts w:eastAsia="Times New Roman"/>
                <w:noProof/>
                <w:color w:val="006100"/>
                <w:sz w:val="18"/>
                <w:szCs w:val="18"/>
                <w:lang w:val="en-IE"/>
              </w:rPr>
              <w:t>Q2</w:t>
            </w:r>
          </w:p>
        </w:tc>
        <w:tc>
          <w:tcPr>
            <w:tcW w:w="639" w:type="dxa"/>
            <w:shd w:val="clear" w:color="auto" w:fill="C6EFCE"/>
          </w:tcPr>
          <w:p w:rsidRPr="00BD790C" w:rsidR="00D87E44" w:rsidRDefault="00D87E44" w14:paraId="15458783" w14:textId="77777777">
            <w:pPr>
              <w:spacing w:before="0" w:after="0" w:line="240" w:lineRule="auto"/>
              <w:rPr>
                <w:rFonts w:eastAsia="Times New Roman"/>
                <w:noProof/>
                <w:color w:val="006100"/>
                <w:sz w:val="18"/>
                <w:szCs w:val="18"/>
                <w:lang w:val="en-IE"/>
              </w:rPr>
            </w:pPr>
            <w:r w:rsidRPr="308215C1">
              <w:rPr>
                <w:rFonts w:eastAsia="Times New Roman"/>
                <w:noProof/>
                <w:color w:val="006100"/>
                <w:sz w:val="18"/>
                <w:szCs w:val="18"/>
                <w:lang w:val="en-IE"/>
              </w:rPr>
              <w:t>2025</w:t>
            </w:r>
          </w:p>
        </w:tc>
        <w:tc>
          <w:tcPr>
            <w:tcW w:w="4745" w:type="dxa"/>
            <w:shd w:val="clear" w:color="auto" w:fill="C6EFCE"/>
          </w:tcPr>
          <w:p w:rsidRPr="00BD790C" w:rsidR="00D87E44" w:rsidRDefault="00D87E44" w14:paraId="15458784" w14:textId="77777777">
            <w:pPr>
              <w:spacing w:before="0" w:after="0" w:line="240" w:lineRule="auto"/>
              <w:rPr>
                <w:noProof/>
                <w:color w:val="006100"/>
                <w:sz w:val="18"/>
                <w:szCs w:val="18"/>
                <w:lang w:val="en-IE"/>
              </w:rPr>
            </w:pPr>
            <w:r w:rsidRPr="1F5DC060">
              <w:rPr>
                <w:noProof/>
                <w:color w:val="006100"/>
                <w:sz w:val="18"/>
                <w:szCs w:val="18"/>
                <w:lang w:val="en-IE"/>
              </w:rPr>
              <w:t xml:space="preserve">At least 90% of </w:t>
            </w:r>
            <w:r w:rsidRPr="197B9B17">
              <w:rPr>
                <w:noProof/>
                <w:color w:val="006100"/>
                <w:sz w:val="18"/>
                <w:szCs w:val="18"/>
                <w:lang w:val="en-IE"/>
              </w:rPr>
              <w:t xml:space="preserve">the total budget of </w:t>
            </w:r>
            <w:r w:rsidRPr="01917347">
              <w:rPr>
                <w:noProof/>
                <w:color w:val="006100"/>
                <w:sz w:val="18"/>
                <w:szCs w:val="18"/>
                <w:lang w:val="en-IE"/>
              </w:rPr>
              <w:t>EUR 39</w:t>
            </w:r>
            <w:r>
              <w:rPr>
                <w:noProof/>
                <w:color w:val="006100"/>
                <w:sz w:val="18"/>
                <w:szCs w:val="18"/>
                <w:lang w:val="en-IE"/>
              </w:rPr>
              <w:t> </w:t>
            </w:r>
            <w:r w:rsidRPr="01917347">
              <w:rPr>
                <w:noProof/>
                <w:color w:val="006100"/>
                <w:sz w:val="18"/>
                <w:szCs w:val="18"/>
                <w:lang w:val="en-IE"/>
              </w:rPr>
              <w:t>000</w:t>
            </w:r>
            <w:r>
              <w:rPr>
                <w:noProof/>
                <w:color w:val="006100"/>
                <w:sz w:val="18"/>
                <w:szCs w:val="18"/>
                <w:lang w:val="en-IE"/>
              </w:rPr>
              <w:t> </w:t>
            </w:r>
            <w:r w:rsidRPr="01917347">
              <w:rPr>
                <w:noProof/>
                <w:color w:val="006100"/>
                <w:sz w:val="18"/>
                <w:szCs w:val="18"/>
                <w:lang w:val="en-IE"/>
              </w:rPr>
              <w:t>000</w:t>
            </w:r>
            <w:r w:rsidRPr="1F5DC060">
              <w:rPr>
                <w:noProof/>
                <w:color w:val="006100"/>
                <w:sz w:val="18"/>
                <w:szCs w:val="18"/>
                <w:lang w:val="en-IE"/>
              </w:rPr>
              <w:t xml:space="preserve"> shall be disbursed.</w:t>
            </w:r>
          </w:p>
          <w:p w:rsidRPr="00BD790C" w:rsidR="00D87E44" w:rsidRDefault="00D87E44" w14:paraId="15458785" w14:textId="77777777">
            <w:pPr>
              <w:spacing w:before="0" w:after="0" w:line="240" w:lineRule="auto"/>
              <w:rPr>
                <w:rFonts w:eastAsia="Times New Roman"/>
                <w:noProof/>
                <w:color w:val="006100"/>
                <w:sz w:val="18"/>
                <w:szCs w:val="18"/>
                <w:lang w:val="en-IE"/>
              </w:rPr>
            </w:pPr>
          </w:p>
        </w:tc>
      </w:tr>
      <w:tr w:rsidRPr="00FE48E2" w:rsidR="00E3458A" w:rsidTr="00F825FF" w14:paraId="15458792" w14:textId="77777777">
        <w:trPr>
          <w:trHeight w:val="945"/>
        </w:trPr>
        <w:tc>
          <w:tcPr>
            <w:tcW w:w="675" w:type="dxa"/>
            <w:shd w:val="clear" w:color="auto" w:fill="C6EFCE"/>
          </w:tcPr>
          <w:p w:rsidRPr="00BD790C" w:rsidR="00D87E44" w:rsidRDefault="00D87E44" w14:paraId="15458787"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228</w:t>
            </w:r>
          </w:p>
        </w:tc>
        <w:tc>
          <w:tcPr>
            <w:tcW w:w="1276" w:type="dxa"/>
            <w:shd w:val="clear" w:color="auto" w:fill="C6EFCE"/>
          </w:tcPr>
          <w:p w:rsidRPr="00BD790C" w:rsidR="00D87E44" w:rsidRDefault="00D87E44" w14:paraId="1545878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2: Support for research and development </w:t>
            </w:r>
            <w:r w:rsidRPr="00BD790C">
              <w:rPr>
                <w:rFonts w:eastAsia="Times New Roman"/>
                <w:noProof/>
                <w:color w:val="006100"/>
                <w:sz w:val="18"/>
                <w:szCs w:val="18"/>
                <w:lang w:val="en-IE"/>
              </w:rPr>
              <w:t>cooperation (in line with Smart Specialization Strategy)</w:t>
            </w:r>
          </w:p>
        </w:tc>
        <w:tc>
          <w:tcPr>
            <w:tcW w:w="1077" w:type="dxa"/>
            <w:shd w:val="clear" w:color="auto" w:fill="C6EFCE"/>
          </w:tcPr>
          <w:p w:rsidRPr="00BD790C" w:rsidR="00D87E44" w:rsidRDefault="00D87E44" w14:paraId="1545878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8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Cooperation of SMEs with a public research organisation under National Centres of Competence</w:t>
            </w:r>
          </w:p>
        </w:tc>
        <w:tc>
          <w:tcPr>
            <w:tcW w:w="1134" w:type="dxa"/>
            <w:shd w:val="clear" w:color="auto" w:fill="C6EFCE"/>
          </w:tcPr>
          <w:p w:rsidRPr="00BD790C" w:rsidR="00D87E44" w:rsidRDefault="00D87E44" w14:paraId="1545878B"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8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Number of supported SMEs involved in cooperation projects</w:t>
            </w:r>
          </w:p>
        </w:tc>
        <w:tc>
          <w:tcPr>
            <w:tcW w:w="1134" w:type="dxa"/>
            <w:shd w:val="clear" w:color="auto" w:fill="C6EFCE"/>
          </w:tcPr>
          <w:p w:rsidRPr="00BD790C" w:rsidR="00D87E44" w:rsidRDefault="00D87E44" w14:paraId="1545878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8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60</w:t>
            </w:r>
          </w:p>
        </w:tc>
        <w:tc>
          <w:tcPr>
            <w:tcW w:w="850" w:type="dxa"/>
            <w:shd w:val="clear" w:color="auto" w:fill="C6EFCE"/>
          </w:tcPr>
          <w:p w:rsidRPr="00BD790C" w:rsidR="00D87E44" w:rsidRDefault="00D87E44" w14:paraId="1545878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Q4</w:t>
            </w:r>
          </w:p>
        </w:tc>
        <w:tc>
          <w:tcPr>
            <w:tcW w:w="639" w:type="dxa"/>
            <w:shd w:val="clear" w:color="auto" w:fill="C6EFCE"/>
          </w:tcPr>
          <w:p w:rsidRPr="00BD790C" w:rsidR="00D87E44" w:rsidRDefault="00D87E44" w14:paraId="1545879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2022</w:t>
            </w:r>
          </w:p>
        </w:tc>
        <w:tc>
          <w:tcPr>
            <w:tcW w:w="4745" w:type="dxa"/>
            <w:shd w:val="clear" w:color="auto" w:fill="C6EFCE"/>
          </w:tcPr>
          <w:p w:rsidRPr="00BD790C" w:rsidR="00D87E44" w:rsidRDefault="00D87E44" w14:paraId="1545879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Grant agreements shall be signed for the support of cooperation projects involving at least 60 SMEs with a public research organisation under newly created National Centres of Competence.</w:t>
            </w:r>
          </w:p>
        </w:tc>
      </w:tr>
      <w:tr w:rsidRPr="00FE48E2" w:rsidR="00E3458A" w:rsidTr="00F825FF" w14:paraId="154587A1" w14:textId="77777777">
        <w:trPr>
          <w:trHeight w:val="945"/>
        </w:trPr>
        <w:tc>
          <w:tcPr>
            <w:tcW w:w="675" w:type="dxa"/>
            <w:shd w:val="clear" w:color="auto" w:fill="C6EFCE"/>
          </w:tcPr>
          <w:p w:rsidRPr="00BD790C" w:rsidR="00D87E44" w:rsidRDefault="00D87E44" w14:paraId="1545879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290</w:t>
            </w:r>
          </w:p>
        </w:tc>
        <w:tc>
          <w:tcPr>
            <w:tcW w:w="1276" w:type="dxa"/>
            <w:shd w:val="clear" w:color="auto" w:fill="C6EFCE"/>
          </w:tcPr>
          <w:p w:rsidRPr="00BD790C" w:rsidR="00D87E44" w:rsidRDefault="00D87E44" w14:paraId="1545879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2: Support for research and development </w:t>
            </w:r>
            <w:r w:rsidRPr="00BD790C">
              <w:rPr>
                <w:rFonts w:eastAsia="Times New Roman"/>
                <w:noProof/>
                <w:color w:val="006100"/>
                <w:sz w:val="18"/>
                <w:szCs w:val="18"/>
                <w:lang w:val="en-IE"/>
              </w:rPr>
              <w:t>cooperation (in line with Smart Specialization Strategy)</w:t>
            </w:r>
          </w:p>
          <w:p w:rsidRPr="00BD790C" w:rsidR="00D87E44" w:rsidRDefault="00D87E44" w14:paraId="15458795"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79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97"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p w:rsidRPr="00BD790C" w:rsidR="00D87E44" w:rsidRDefault="00D87E44" w14:paraId="15458798" w14:textId="77777777">
            <w:pPr>
              <w:spacing w:before="0" w:after="0" w:line="240" w:lineRule="auto"/>
              <w:rPr>
                <w:rFonts w:eastAsia="Times New Roman"/>
                <w:noProof/>
                <w:color w:val="006100"/>
                <w:sz w:val="18"/>
                <w:szCs w:val="18"/>
                <w:lang w:val="en-IE"/>
              </w:rPr>
            </w:pPr>
          </w:p>
        </w:tc>
        <w:tc>
          <w:tcPr>
            <w:tcW w:w="1134" w:type="dxa"/>
            <w:shd w:val="clear" w:color="auto" w:fill="C6EFCE"/>
          </w:tcPr>
          <w:p w:rsidRPr="00BD790C" w:rsidR="00D87E44" w:rsidRDefault="00D87E44" w14:paraId="15458799"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9A" w14:textId="77777777">
            <w:pPr>
              <w:spacing w:before="0" w:after="0" w:line="240" w:lineRule="auto"/>
              <w:rPr>
                <w:rFonts w:eastAsia="Times New Roman"/>
                <w:noProof/>
                <w:color w:val="006100"/>
                <w:sz w:val="18"/>
                <w:szCs w:val="18"/>
                <w:lang w:val="en-IE"/>
              </w:rPr>
            </w:pPr>
            <w:r w:rsidRPr="33B55F1B">
              <w:rPr>
                <w:rFonts w:eastAsia="Times New Roman"/>
                <w:noProof/>
                <w:color w:val="006100"/>
                <w:sz w:val="18"/>
                <w:szCs w:val="18"/>
                <w:lang w:val="en-IE"/>
              </w:rPr>
              <w:t>%</w:t>
            </w:r>
          </w:p>
        </w:tc>
        <w:tc>
          <w:tcPr>
            <w:tcW w:w="1134" w:type="dxa"/>
            <w:shd w:val="clear" w:color="auto" w:fill="C6EFCE"/>
          </w:tcPr>
          <w:p w:rsidRPr="00BD790C" w:rsidR="00D87E44" w:rsidRDefault="00D87E44" w14:paraId="1545879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9C" w14:textId="77777777">
            <w:pPr>
              <w:spacing w:before="0" w:after="0" w:line="240" w:lineRule="auto"/>
              <w:rPr>
                <w:rFonts w:eastAsia="Times New Roman"/>
                <w:noProof/>
                <w:color w:val="006100"/>
                <w:sz w:val="18"/>
                <w:szCs w:val="18"/>
                <w:lang w:val="en-IE"/>
              </w:rPr>
            </w:pPr>
            <w:r w:rsidRPr="33B55F1B">
              <w:rPr>
                <w:rFonts w:eastAsia="Times New Roman"/>
                <w:noProof/>
                <w:color w:val="006100"/>
                <w:sz w:val="18"/>
                <w:szCs w:val="18"/>
                <w:lang w:val="en-IE"/>
              </w:rPr>
              <w:t>90</w:t>
            </w:r>
          </w:p>
        </w:tc>
        <w:tc>
          <w:tcPr>
            <w:tcW w:w="850" w:type="dxa"/>
            <w:shd w:val="clear" w:color="auto" w:fill="C6EFCE"/>
          </w:tcPr>
          <w:p w:rsidRPr="00BD790C" w:rsidR="00D87E44" w:rsidRDefault="00D87E44" w14:paraId="1545879D"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Q4</w:t>
            </w:r>
          </w:p>
        </w:tc>
        <w:tc>
          <w:tcPr>
            <w:tcW w:w="639" w:type="dxa"/>
            <w:shd w:val="clear" w:color="auto" w:fill="C6EFCE"/>
          </w:tcPr>
          <w:p w:rsidRPr="00BD790C" w:rsidR="00D87E44" w:rsidRDefault="00D87E44" w14:paraId="1545879E"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2025</w:t>
            </w:r>
          </w:p>
        </w:tc>
        <w:tc>
          <w:tcPr>
            <w:tcW w:w="4745" w:type="dxa"/>
            <w:shd w:val="clear" w:color="auto" w:fill="C6EFCE"/>
          </w:tcPr>
          <w:p w:rsidRPr="00BD790C" w:rsidR="00D87E44" w:rsidRDefault="00D87E44" w14:paraId="1545879F" w14:textId="77777777">
            <w:pPr>
              <w:spacing w:before="0" w:after="0" w:line="240" w:lineRule="auto"/>
              <w:rPr>
                <w:noProof/>
                <w:color w:val="006100"/>
                <w:sz w:val="18"/>
                <w:szCs w:val="18"/>
                <w:lang w:val="en-IE"/>
              </w:rPr>
            </w:pPr>
            <w:r w:rsidRPr="1AFCC17B">
              <w:rPr>
                <w:noProof/>
                <w:color w:val="006100"/>
                <w:sz w:val="18"/>
                <w:szCs w:val="18"/>
                <w:lang w:val="en-IE"/>
              </w:rPr>
              <w:t xml:space="preserve">At least 90% of </w:t>
            </w:r>
            <w:r w:rsidRPr="197B9B17">
              <w:rPr>
                <w:noProof/>
                <w:color w:val="006100"/>
                <w:sz w:val="18"/>
                <w:szCs w:val="18"/>
                <w:lang w:val="en-IE"/>
              </w:rPr>
              <w:t xml:space="preserve">the total budget of </w:t>
            </w:r>
            <w:r w:rsidRPr="1AFCC17B">
              <w:rPr>
                <w:noProof/>
                <w:color w:val="006100"/>
                <w:sz w:val="18"/>
                <w:szCs w:val="18"/>
                <w:lang w:val="en-IE"/>
              </w:rPr>
              <w:t>EUR 58</w:t>
            </w:r>
            <w:r>
              <w:rPr>
                <w:noProof/>
                <w:color w:val="006100"/>
                <w:sz w:val="18"/>
                <w:szCs w:val="18"/>
                <w:lang w:val="en-IE"/>
              </w:rPr>
              <w:t> </w:t>
            </w:r>
            <w:r w:rsidRPr="1AFCC17B">
              <w:rPr>
                <w:noProof/>
                <w:color w:val="006100"/>
                <w:sz w:val="18"/>
                <w:szCs w:val="18"/>
                <w:lang w:val="en-IE"/>
              </w:rPr>
              <w:t>000</w:t>
            </w:r>
            <w:r>
              <w:rPr>
                <w:noProof/>
                <w:color w:val="006100"/>
                <w:sz w:val="18"/>
                <w:szCs w:val="18"/>
                <w:lang w:val="en-IE"/>
              </w:rPr>
              <w:t> </w:t>
            </w:r>
            <w:r w:rsidRPr="1AFCC17B">
              <w:rPr>
                <w:noProof/>
                <w:color w:val="006100"/>
                <w:sz w:val="18"/>
                <w:szCs w:val="18"/>
                <w:lang w:val="en-IE"/>
              </w:rPr>
              <w:t>000 shall  be disbursed.</w:t>
            </w:r>
          </w:p>
          <w:p w:rsidRPr="00BD790C" w:rsidR="00D87E44" w:rsidRDefault="00D87E44" w14:paraId="154587A0" w14:textId="77777777">
            <w:pPr>
              <w:spacing w:before="0" w:after="0" w:line="240" w:lineRule="auto"/>
              <w:rPr>
                <w:rFonts w:eastAsia="Times New Roman"/>
                <w:noProof/>
                <w:color w:val="006100"/>
                <w:sz w:val="18"/>
                <w:szCs w:val="18"/>
                <w:lang w:val="en-IE"/>
              </w:rPr>
            </w:pPr>
          </w:p>
        </w:tc>
      </w:tr>
      <w:tr w:rsidRPr="00FE48E2" w:rsidR="00E3458A" w:rsidTr="00F825FF" w14:paraId="154587AD" w14:textId="77777777">
        <w:trPr>
          <w:trHeight w:val="945"/>
        </w:trPr>
        <w:tc>
          <w:tcPr>
            <w:tcW w:w="675" w:type="dxa"/>
            <w:shd w:val="clear" w:color="auto" w:fill="C6EFCE"/>
          </w:tcPr>
          <w:p w:rsidRPr="00BD790C" w:rsidR="00D87E44" w:rsidRDefault="00D87E44" w14:paraId="154587A2"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229</w:t>
            </w:r>
          </w:p>
        </w:tc>
        <w:tc>
          <w:tcPr>
            <w:tcW w:w="1276" w:type="dxa"/>
            <w:shd w:val="clear" w:color="auto" w:fill="C6EFCE"/>
          </w:tcPr>
          <w:p w:rsidRPr="00BD790C" w:rsidR="00D87E44" w:rsidRDefault="00D87E44" w14:paraId="154587A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3: Aid for research and development in the </w:t>
            </w:r>
            <w:r w:rsidRPr="00BD790C">
              <w:rPr>
                <w:rFonts w:eastAsia="Times New Roman"/>
                <w:noProof/>
                <w:color w:val="006100"/>
                <w:sz w:val="18"/>
                <w:szCs w:val="18"/>
                <w:lang w:val="en-IE"/>
              </w:rPr>
              <w:lastRenderedPageBreak/>
              <w:t>environmental field</w:t>
            </w:r>
          </w:p>
        </w:tc>
        <w:tc>
          <w:tcPr>
            <w:tcW w:w="1077" w:type="dxa"/>
            <w:shd w:val="clear" w:color="auto" w:fill="C6EFCE"/>
          </w:tcPr>
          <w:p w:rsidRPr="00BD790C" w:rsidR="00D87E44" w:rsidRDefault="00D87E44" w14:paraId="154587A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lastRenderedPageBreak/>
              <w:t>Target</w:t>
            </w:r>
          </w:p>
        </w:tc>
        <w:tc>
          <w:tcPr>
            <w:tcW w:w="1418" w:type="dxa"/>
            <w:shd w:val="clear" w:color="auto" w:fill="C6EFCE"/>
          </w:tcPr>
          <w:p w:rsidRPr="00BD790C" w:rsidR="00D87E44" w:rsidRDefault="00D87E44" w14:paraId="154587A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R</w:t>
            </w:r>
            <w:r w:rsidRPr="00BD790C">
              <w:rPr>
                <w:rFonts w:eastAsia="Times New Roman"/>
                <w:noProof/>
                <w:color w:val="006100"/>
                <w:sz w:val="18"/>
                <w:szCs w:val="18"/>
                <w:lang w:val="en-IE"/>
              </w:rPr>
              <w:t>esearch and development in the environmental field</w:t>
            </w:r>
          </w:p>
        </w:tc>
        <w:tc>
          <w:tcPr>
            <w:tcW w:w="1134" w:type="dxa"/>
            <w:shd w:val="clear" w:color="auto" w:fill="C6EFCE"/>
          </w:tcPr>
          <w:p w:rsidRPr="00BD790C" w:rsidR="00D87E44" w:rsidRDefault="00D87E44" w14:paraId="154587A6"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A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Number of supported projects in the environmental field</w:t>
            </w:r>
          </w:p>
        </w:tc>
        <w:tc>
          <w:tcPr>
            <w:tcW w:w="1134" w:type="dxa"/>
            <w:shd w:val="clear" w:color="auto" w:fill="C6EFCE"/>
          </w:tcPr>
          <w:p w:rsidRPr="00BD790C" w:rsidR="00D87E44" w:rsidRDefault="00D87E44" w14:paraId="154587A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43</w:t>
            </w:r>
          </w:p>
        </w:tc>
        <w:tc>
          <w:tcPr>
            <w:tcW w:w="709" w:type="dxa"/>
            <w:shd w:val="clear" w:color="auto" w:fill="C6EFCE"/>
          </w:tcPr>
          <w:p w:rsidRPr="00BD790C" w:rsidR="00D87E44" w:rsidRDefault="00D87E44" w14:paraId="154587A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58</w:t>
            </w:r>
          </w:p>
        </w:tc>
        <w:tc>
          <w:tcPr>
            <w:tcW w:w="850" w:type="dxa"/>
            <w:shd w:val="clear" w:color="auto" w:fill="C6EFCE"/>
          </w:tcPr>
          <w:p w:rsidRPr="00BD790C" w:rsidR="00D87E44" w:rsidRDefault="00D87E44" w14:paraId="154587A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Q3</w:t>
            </w:r>
          </w:p>
        </w:tc>
        <w:tc>
          <w:tcPr>
            <w:tcW w:w="639" w:type="dxa"/>
            <w:shd w:val="clear" w:color="auto" w:fill="C6EFCE"/>
          </w:tcPr>
          <w:p w:rsidRPr="00BD790C" w:rsidR="00D87E44" w:rsidRDefault="00D87E44" w14:paraId="154587A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2022</w:t>
            </w:r>
          </w:p>
        </w:tc>
        <w:tc>
          <w:tcPr>
            <w:tcW w:w="4745" w:type="dxa"/>
            <w:shd w:val="clear" w:color="auto" w:fill="C6EFCE"/>
          </w:tcPr>
          <w:p w:rsidRPr="00FE48E2" w:rsidR="00D87E44" w:rsidRDefault="00D87E44" w14:paraId="154587AC" w14:textId="77777777">
            <w:pPr>
              <w:spacing w:before="0" w:after="0" w:line="240" w:lineRule="auto"/>
              <w:rPr>
                <w:noProof/>
                <w:color w:val="006100"/>
                <w:sz w:val="18"/>
                <w:szCs w:val="18"/>
                <w:lang w:val="en-IE"/>
              </w:rPr>
            </w:pPr>
            <w:r w:rsidRPr="00FE48E2">
              <w:rPr>
                <w:noProof/>
                <w:color w:val="006100"/>
                <w:sz w:val="18"/>
                <w:szCs w:val="18"/>
                <w:lang w:val="en-IE"/>
              </w:rPr>
              <w:t xml:space="preserve">Grant agreements shall be signed for the support of </w:t>
            </w:r>
            <w:r>
              <w:rPr>
                <w:noProof/>
                <w:color w:val="006100"/>
                <w:sz w:val="18"/>
                <w:szCs w:val="18"/>
                <w:lang w:val="en-IE"/>
              </w:rPr>
              <w:t>at least fifteen</w:t>
            </w:r>
            <w:r w:rsidRPr="00FE48E2">
              <w:rPr>
                <w:noProof/>
                <w:color w:val="006100"/>
                <w:sz w:val="18"/>
                <w:szCs w:val="18"/>
                <w:lang w:val="en-IE"/>
              </w:rPr>
              <w:t xml:space="preserve"> RDI projects in the environmental field. The projects shall focus on priority thematic areas such as protection and sustainable use of natural resources, climate protection and improvement of air quality, waste management and reuse, </w:t>
            </w:r>
            <w:r w:rsidRPr="00FE48E2">
              <w:rPr>
                <w:noProof/>
                <w:color w:val="006100"/>
                <w:sz w:val="18"/>
                <w:szCs w:val="18"/>
                <w:lang w:val="en-IE"/>
              </w:rPr>
              <w:lastRenderedPageBreak/>
              <w:t>protection of nature and landscape or a safe and resilient environment, including prevention and reduction of the consequences of natural and anthropogenic hazards.</w:t>
            </w:r>
          </w:p>
        </w:tc>
      </w:tr>
      <w:tr w:rsidRPr="00FE48E2" w:rsidR="00E3458A" w:rsidTr="00F825FF" w14:paraId="154587BD" w14:textId="77777777">
        <w:trPr>
          <w:trHeight w:val="945"/>
        </w:trPr>
        <w:tc>
          <w:tcPr>
            <w:tcW w:w="675" w:type="dxa"/>
            <w:shd w:val="clear" w:color="auto" w:fill="C6EFCE"/>
          </w:tcPr>
          <w:p w:rsidRPr="00BD790C" w:rsidR="00D87E44" w:rsidRDefault="00D87E44" w14:paraId="154587A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lastRenderedPageBreak/>
              <w:t>291</w:t>
            </w:r>
          </w:p>
        </w:tc>
        <w:tc>
          <w:tcPr>
            <w:tcW w:w="1276" w:type="dxa"/>
            <w:shd w:val="clear" w:color="auto" w:fill="C6EFCE"/>
          </w:tcPr>
          <w:p w:rsidRPr="00BD790C" w:rsidR="00D87E44" w:rsidRDefault="00D87E44" w14:paraId="154587A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3: Aid for research and development in the environmental field</w:t>
            </w:r>
          </w:p>
        </w:tc>
        <w:tc>
          <w:tcPr>
            <w:tcW w:w="1077" w:type="dxa"/>
            <w:shd w:val="clear" w:color="auto" w:fill="C6EFCE"/>
          </w:tcPr>
          <w:p w:rsidRPr="00BD790C" w:rsidR="00D87E44" w:rsidRDefault="00D87E44" w14:paraId="154587B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p w:rsidRPr="00BD790C" w:rsidR="00D87E44" w:rsidRDefault="00D87E44" w14:paraId="154587B1" w14:textId="77777777">
            <w:pPr>
              <w:spacing w:before="0" w:after="0" w:line="240" w:lineRule="auto"/>
              <w:rPr>
                <w:rFonts w:eastAsia="Times New Roman"/>
                <w:noProof/>
                <w:color w:val="006100"/>
                <w:sz w:val="18"/>
                <w:szCs w:val="18"/>
                <w:lang w:val="en-IE"/>
              </w:rPr>
            </w:pPr>
          </w:p>
        </w:tc>
        <w:tc>
          <w:tcPr>
            <w:tcW w:w="1418" w:type="dxa"/>
            <w:shd w:val="clear" w:color="auto" w:fill="C6EFCE"/>
          </w:tcPr>
          <w:p w:rsidRPr="00BD790C" w:rsidR="00D87E44" w:rsidRDefault="00D87E44" w14:paraId="154587B2"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p w:rsidRPr="00BD790C" w:rsidR="00D87E44" w:rsidRDefault="00D87E44" w14:paraId="154587B3" w14:textId="77777777">
            <w:pPr>
              <w:spacing w:before="0" w:after="0" w:line="240" w:lineRule="auto"/>
              <w:rPr>
                <w:rFonts w:eastAsia="Times New Roman"/>
                <w:noProof/>
                <w:color w:val="006100"/>
                <w:sz w:val="18"/>
                <w:szCs w:val="18"/>
                <w:lang w:val="en-IE"/>
              </w:rPr>
            </w:pPr>
          </w:p>
        </w:tc>
        <w:tc>
          <w:tcPr>
            <w:tcW w:w="1134" w:type="dxa"/>
            <w:shd w:val="clear" w:color="auto" w:fill="C6EFCE"/>
          </w:tcPr>
          <w:p w:rsidRPr="00BD790C" w:rsidR="00D87E44" w:rsidRDefault="00D87E44" w14:paraId="154587B4"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B5" w14:textId="77777777">
            <w:pPr>
              <w:spacing w:before="0" w:after="0" w:line="240" w:lineRule="auto"/>
              <w:rPr>
                <w:rFonts w:eastAsia="Times New Roman"/>
                <w:noProof/>
                <w:color w:val="006100"/>
                <w:sz w:val="18"/>
                <w:szCs w:val="18"/>
                <w:lang w:val="en-IE"/>
              </w:rPr>
            </w:pPr>
            <w:r w:rsidRPr="76F99DC2">
              <w:rPr>
                <w:rFonts w:eastAsia="Times New Roman"/>
                <w:noProof/>
                <w:color w:val="006100"/>
                <w:sz w:val="18"/>
                <w:szCs w:val="18"/>
                <w:lang w:val="en-IE"/>
              </w:rPr>
              <w:t>%</w:t>
            </w:r>
          </w:p>
          <w:p w:rsidRPr="00BD790C" w:rsidR="00D87E44" w:rsidRDefault="00D87E44" w14:paraId="154587B6" w14:textId="77777777">
            <w:pPr>
              <w:spacing w:before="0" w:after="0" w:line="240" w:lineRule="auto"/>
              <w:rPr>
                <w:rFonts w:eastAsia="Times New Roman"/>
                <w:noProof/>
                <w:color w:val="006100"/>
                <w:sz w:val="18"/>
                <w:szCs w:val="18"/>
                <w:lang w:val="en-IE"/>
              </w:rPr>
            </w:pPr>
          </w:p>
        </w:tc>
        <w:tc>
          <w:tcPr>
            <w:tcW w:w="1134" w:type="dxa"/>
            <w:shd w:val="clear" w:color="auto" w:fill="C6EFCE"/>
          </w:tcPr>
          <w:p w:rsidRPr="00BD790C" w:rsidR="00D87E44" w:rsidRDefault="00D87E44" w14:paraId="154587B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B8" w14:textId="77777777">
            <w:pPr>
              <w:spacing w:before="0" w:after="0" w:line="240" w:lineRule="auto"/>
              <w:rPr>
                <w:rFonts w:eastAsia="Times New Roman"/>
                <w:noProof/>
                <w:color w:val="006100"/>
                <w:sz w:val="18"/>
                <w:szCs w:val="18"/>
                <w:lang w:val="en-IE"/>
              </w:rPr>
            </w:pPr>
            <w:r w:rsidRPr="33B55F1B">
              <w:rPr>
                <w:rFonts w:eastAsia="Times New Roman"/>
                <w:noProof/>
                <w:color w:val="006100"/>
                <w:sz w:val="18"/>
                <w:szCs w:val="18"/>
                <w:lang w:val="en-IE"/>
              </w:rPr>
              <w:t>90</w:t>
            </w:r>
          </w:p>
        </w:tc>
        <w:tc>
          <w:tcPr>
            <w:tcW w:w="850" w:type="dxa"/>
            <w:shd w:val="clear" w:color="auto" w:fill="C6EFCE"/>
          </w:tcPr>
          <w:p w:rsidRPr="00BD790C" w:rsidR="00D87E44" w:rsidRDefault="00D87E44" w14:paraId="154587B9" w14:textId="77777777">
            <w:pPr>
              <w:spacing w:before="0" w:after="0" w:line="240" w:lineRule="auto"/>
              <w:rPr>
                <w:rFonts w:eastAsia="Times New Roman"/>
                <w:noProof/>
                <w:color w:val="006100"/>
                <w:sz w:val="18"/>
                <w:szCs w:val="18"/>
                <w:lang w:val="en-IE"/>
              </w:rPr>
            </w:pPr>
            <w:r w:rsidRPr="308215C1">
              <w:rPr>
                <w:rFonts w:eastAsia="Times New Roman"/>
                <w:noProof/>
                <w:color w:val="006100"/>
                <w:sz w:val="18"/>
                <w:szCs w:val="18"/>
                <w:lang w:val="en-IE"/>
              </w:rPr>
              <w:t>Q2</w:t>
            </w:r>
          </w:p>
        </w:tc>
        <w:tc>
          <w:tcPr>
            <w:tcW w:w="639" w:type="dxa"/>
            <w:shd w:val="clear" w:color="auto" w:fill="C6EFCE"/>
          </w:tcPr>
          <w:p w:rsidRPr="00BD790C" w:rsidR="00D87E44" w:rsidRDefault="00D87E44" w14:paraId="154587BA" w14:textId="77777777">
            <w:pPr>
              <w:spacing w:before="0" w:after="0" w:line="240" w:lineRule="auto"/>
              <w:rPr>
                <w:rFonts w:eastAsia="Times New Roman"/>
                <w:noProof/>
                <w:color w:val="006100"/>
                <w:sz w:val="18"/>
                <w:szCs w:val="18"/>
                <w:lang w:val="en-IE"/>
              </w:rPr>
            </w:pPr>
            <w:r w:rsidRPr="308215C1">
              <w:rPr>
                <w:rFonts w:eastAsia="Times New Roman"/>
                <w:noProof/>
                <w:color w:val="006100"/>
                <w:sz w:val="18"/>
                <w:szCs w:val="18"/>
                <w:lang w:val="en-IE"/>
              </w:rPr>
              <w:t>2025</w:t>
            </w:r>
          </w:p>
        </w:tc>
        <w:tc>
          <w:tcPr>
            <w:tcW w:w="4745" w:type="dxa"/>
            <w:shd w:val="clear" w:color="auto" w:fill="C6EFCE"/>
          </w:tcPr>
          <w:p w:rsidRPr="00FE48E2" w:rsidR="00D87E44" w:rsidRDefault="00D87E44" w14:paraId="154587BB" w14:textId="77777777">
            <w:pPr>
              <w:spacing w:before="0" w:after="0" w:line="240" w:lineRule="auto"/>
              <w:rPr>
                <w:noProof/>
                <w:color w:val="006100"/>
                <w:sz w:val="18"/>
                <w:szCs w:val="18"/>
                <w:lang w:val="en-IE"/>
              </w:rPr>
            </w:pPr>
            <w:r w:rsidRPr="680A459D">
              <w:rPr>
                <w:noProof/>
                <w:color w:val="006100"/>
                <w:sz w:val="18"/>
                <w:szCs w:val="18"/>
                <w:lang w:val="en-IE"/>
              </w:rPr>
              <w:t xml:space="preserve">At least 90% of </w:t>
            </w:r>
            <w:r w:rsidRPr="7D4FC4E0">
              <w:rPr>
                <w:noProof/>
                <w:color w:val="006100"/>
                <w:sz w:val="18"/>
                <w:szCs w:val="18"/>
                <w:lang w:val="en-IE"/>
              </w:rPr>
              <w:t xml:space="preserve">the total budget </w:t>
            </w:r>
            <w:r w:rsidRPr="473D26A8">
              <w:rPr>
                <w:noProof/>
                <w:color w:val="006100"/>
                <w:sz w:val="18"/>
                <w:szCs w:val="18"/>
                <w:lang w:val="en-IE"/>
              </w:rPr>
              <w:t>of EUR</w:t>
            </w:r>
            <w:r w:rsidRPr="680A459D">
              <w:rPr>
                <w:noProof/>
                <w:color w:val="006100"/>
                <w:sz w:val="18"/>
                <w:szCs w:val="18"/>
                <w:lang w:val="en-IE"/>
              </w:rPr>
              <w:t xml:space="preserve"> 7</w:t>
            </w:r>
            <w:r w:rsidRPr="00FF1320">
              <w:rPr>
                <w:color w:val="006100"/>
                <w:sz w:val="18"/>
                <w:lang w:val="en-IE"/>
              </w:rPr>
              <w:t> </w:t>
            </w:r>
            <w:r w:rsidRPr="680A459D">
              <w:rPr>
                <w:noProof/>
                <w:color w:val="006100"/>
                <w:sz w:val="18"/>
                <w:szCs w:val="18"/>
                <w:lang w:val="en-IE"/>
              </w:rPr>
              <w:t>000</w:t>
            </w:r>
            <w:r w:rsidRPr="00FF1320">
              <w:rPr>
                <w:color w:val="006100"/>
                <w:sz w:val="18"/>
                <w:lang w:val="en-IE"/>
              </w:rPr>
              <w:t> </w:t>
            </w:r>
            <w:r w:rsidRPr="680A459D">
              <w:rPr>
                <w:noProof/>
                <w:color w:val="006100"/>
                <w:sz w:val="18"/>
                <w:szCs w:val="18"/>
                <w:lang w:val="en-IE"/>
              </w:rPr>
              <w:t>000 shall be disbursed.</w:t>
            </w:r>
          </w:p>
          <w:p w:rsidRPr="00FE48E2" w:rsidR="00D87E44" w:rsidRDefault="00D87E44" w14:paraId="154587BC" w14:textId="77777777">
            <w:pPr>
              <w:spacing w:before="0" w:after="0" w:line="240" w:lineRule="auto"/>
              <w:rPr>
                <w:noProof/>
                <w:color w:val="006100"/>
                <w:sz w:val="18"/>
                <w:szCs w:val="18"/>
                <w:lang w:val="en-IE"/>
              </w:rPr>
            </w:pPr>
          </w:p>
        </w:tc>
      </w:tr>
      <w:tr w:rsidRPr="00FE48E2" w:rsidR="00E3458A" w:rsidTr="00F825FF" w14:paraId="154587C9" w14:textId="77777777">
        <w:trPr>
          <w:trHeight w:val="945"/>
        </w:trPr>
        <w:tc>
          <w:tcPr>
            <w:tcW w:w="675" w:type="dxa"/>
            <w:shd w:val="clear" w:color="auto" w:fill="C6EFCE"/>
          </w:tcPr>
          <w:p w:rsidRPr="00BD790C" w:rsidR="00D87E44" w:rsidRDefault="00D87E44" w14:paraId="154587B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230</w:t>
            </w:r>
          </w:p>
        </w:tc>
        <w:tc>
          <w:tcPr>
            <w:tcW w:w="1276" w:type="dxa"/>
            <w:shd w:val="clear" w:color="auto" w:fill="C6EFCE"/>
          </w:tcPr>
          <w:p w:rsidRPr="00BD790C" w:rsidR="00D87E44" w:rsidRDefault="00D87E44" w14:paraId="154587B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4: Aid for research and development in synergy effects with the Framework Programme for Research and Innovation</w:t>
            </w:r>
          </w:p>
        </w:tc>
        <w:tc>
          <w:tcPr>
            <w:tcW w:w="1077" w:type="dxa"/>
            <w:shd w:val="clear" w:color="auto" w:fill="C6EFCE"/>
          </w:tcPr>
          <w:p w:rsidRPr="00BD790C" w:rsidR="00D87E44" w:rsidRDefault="00D87E44" w14:paraId="154587C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C1"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tc>
        <w:tc>
          <w:tcPr>
            <w:tcW w:w="1134" w:type="dxa"/>
            <w:shd w:val="clear" w:color="auto" w:fill="C6EFCE"/>
          </w:tcPr>
          <w:p w:rsidRPr="00BD790C" w:rsidR="00D87E44" w:rsidRDefault="00D87E44" w14:paraId="154587C2"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C3"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w:t>
            </w:r>
          </w:p>
        </w:tc>
        <w:tc>
          <w:tcPr>
            <w:tcW w:w="1134" w:type="dxa"/>
            <w:shd w:val="clear" w:color="auto" w:fill="C6EFCE"/>
          </w:tcPr>
          <w:p w:rsidRPr="00BD790C" w:rsidR="00D87E44" w:rsidRDefault="00D87E44" w14:paraId="154587C4"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0</w:t>
            </w:r>
          </w:p>
        </w:tc>
        <w:tc>
          <w:tcPr>
            <w:tcW w:w="709" w:type="dxa"/>
            <w:shd w:val="clear" w:color="auto" w:fill="C6EFCE"/>
          </w:tcPr>
          <w:p w:rsidRPr="00BD790C" w:rsidR="00D87E44" w:rsidRDefault="00D87E44" w14:paraId="154587C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90</w:t>
            </w:r>
          </w:p>
        </w:tc>
        <w:tc>
          <w:tcPr>
            <w:tcW w:w="850" w:type="dxa"/>
            <w:shd w:val="clear" w:color="auto" w:fill="C6EFCE"/>
          </w:tcPr>
          <w:p w:rsidRPr="00BD790C" w:rsidR="00D87E44" w:rsidRDefault="00D87E44" w14:paraId="154587C6"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Q4</w:t>
            </w:r>
          </w:p>
        </w:tc>
        <w:tc>
          <w:tcPr>
            <w:tcW w:w="639" w:type="dxa"/>
            <w:shd w:val="clear" w:color="auto" w:fill="C6EFCE"/>
          </w:tcPr>
          <w:p w:rsidRPr="00BD790C" w:rsidR="00D87E44" w:rsidRDefault="00D87E44" w14:paraId="154587C7"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2025</w:t>
            </w:r>
          </w:p>
        </w:tc>
        <w:tc>
          <w:tcPr>
            <w:tcW w:w="4745" w:type="dxa"/>
            <w:shd w:val="clear" w:color="auto" w:fill="C6EFCE"/>
          </w:tcPr>
          <w:p w:rsidRPr="00FE48E2" w:rsidR="00D87E44" w:rsidRDefault="00D87E44" w14:paraId="154587C8" w14:textId="77777777">
            <w:pPr>
              <w:spacing w:line="240" w:lineRule="auto"/>
              <w:rPr>
                <w:noProof/>
                <w:color w:val="006100"/>
                <w:sz w:val="18"/>
                <w:szCs w:val="18"/>
                <w:lang w:val="en-IE"/>
              </w:rPr>
            </w:pPr>
            <w:r w:rsidRPr="65B9C87D">
              <w:rPr>
                <w:noProof/>
                <w:color w:val="006100"/>
                <w:sz w:val="18"/>
                <w:szCs w:val="18"/>
                <w:lang w:val="en-IE"/>
              </w:rPr>
              <w:t xml:space="preserve">At least 90% of the total budget of EUR </w:t>
            </w:r>
            <w:r w:rsidRPr="74A6E7A7">
              <w:rPr>
                <w:noProof/>
                <w:color w:val="006100"/>
                <w:sz w:val="18"/>
                <w:szCs w:val="18"/>
                <w:lang w:val="en-IE"/>
              </w:rPr>
              <w:t>11</w:t>
            </w:r>
            <w:r w:rsidRPr="00FF1320">
              <w:rPr>
                <w:color w:val="006100"/>
                <w:sz w:val="18"/>
                <w:lang w:val="en-IE"/>
              </w:rPr>
              <w:t> </w:t>
            </w:r>
            <w:r w:rsidRPr="65B9C87D">
              <w:rPr>
                <w:noProof/>
                <w:color w:val="006100"/>
                <w:sz w:val="18"/>
                <w:szCs w:val="18"/>
                <w:lang w:val="en-IE"/>
              </w:rPr>
              <w:t>500</w:t>
            </w:r>
            <w:r w:rsidRPr="00FF1320">
              <w:rPr>
                <w:color w:val="006100"/>
                <w:sz w:val="18"/>
                <w:lang w:val="en-IE"/>
              </w:rPr>
              <w:t> </w:t>
            </w:r>
            <w:r w:rsidRPr="65B9C87D">
              <w:rPr>
                <w:noProof/>
                <w:color w:val="006100"/>
                <w:sz w:val="18"/>
                <w:szCs w:val="18"/>
                <w:lang w:val="en-IE"/>
              </w:rPr>
              <w:t>000 shall be disbursed.</w:t>
            </w:r>
          </w:p>
        </w:tc>
      </w:tr>
      <w:tr w:rsidRPr="00FE48E2" w:rsidR="00E3458A" w:rsidTr="00F825FF" w14:paraId="154587D7" w14:textId="77777777">
        <w:trPr>
          <w:trHeight w:val="945"/>
        </w:trPr>
        <w:tc>
          <w:tcPr>
            <w:tcW w:w="675" w:type="dxa"/>
            <w:shd w:val="clear" w:color="auto" w:fill="C6EFCE"/>
          </w:tcPr>
          <w:p w:rsidRPr="00BD790C" w:rsidR="00D87E44" w:rsidRDefault="00D87E44" w14:paraId="154587CA"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292</w:t>
            </w:r>
          </w:p>
        </w:tc>
        <w:tc>
          <w:tcPr>
            <w:tcW w:w="1276" w:type="dxa"/>
            <w:shd w:val="clear" w:color="auto" w:fill="C6EFCE"/>
          </w:tcPr>
          <w:p w:rsidRPr="00BD790C" w:rsidR="00D87E44" w:rsidRDefault="00D87E44" w14:paraId="154587C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5: Aid for research and development in enterprises in line with the national RIS3 strategy</w:t>
            </w:r>
          </w:p>
        </w:tc>
        <w:tc>
          <w:tcPr>
            <w:tcW w:w="1077" w:type="dxa"/>
            <w:shd w:val="clear" w:color="auto" w:fill="C6EFCE"/>
          </w:tcPr>
          <w:p w:rsidRPr="00BD790C" w:rsidR="00D87E44" w:rsidRDefault="00D87E44" w14:paraId="154587C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C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Research and development in line with the RIS3 strategy</w:t>
            </w:r>
          </w:p>
        </w:tc>
        <w:tc>
          <w:tcPr>
            <w:tcW w:w="1134" w:type="dxa"/>
            <w:shd w:val="clear" w:color="auto" w:fill="C6EFCE"/>
          </w:tcPr>
          <w:p w:rsidRPr="00BD790C" w:rsidR="00D87E44" w:rsidRDefault="00D87E44" w14:paraId="154587CE"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C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of </w:t>
            </w:r>
            <w:r w:rsidRPr="00BD790C">
              <w:rPr>
                <w:rFonts w:eastAsia="Times New Roman"/>
                <w:noProof/>
                <w:color w:val="006100"/>
                <w:sz w:val="18"/>
                <w:szCs w:val="18"/>
                <w:lang w:val="en-IE"/>
              </w:rPr>
              <w:t>projects in line with the RIS3 strategy for which a grant agreement has been signed</w:t>
            </w:r>
          </w:p>
        </w:tc>
        <w:tc>
          <w:tcPr>
            <w:tcW w:w="1134" w:type="dxa"/>
            <w:shd w:val="clear" w:color="auto" w:fill="C6EFCE"/>
          </w:tcPr>
          <w:p w:rsidRPr="00BD790C" w:rsidR="00D87E44" w:rsidRDefault="00D87E44" w14:paraId="154587D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D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78</w:t>
            </w:r>
          </w:p>
        </w:tc>
        <w:tc>
          <w:tcPr>
            <w:tcW w:w="850" w:type="dxa"/>
            <w:shd w:val="clear" w:color="auto" w:fill="C6EFCE"/>
          </w:tcPr>
          <w:p w:rsidRPr="00BD790C" w:rsidR="00D87E44" w:rsidRDefault="00D87E44" w14:paraId="154587D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Q2</w:t>
            </w:r>
          </w:p>
        </w:tc>
        <w:tc>
          <w:tcPr>
            <w:tcW w:w="639" w:type="dxa"/>
            <w:shd w:val="clear" w:color="auto" w:fill="C6EFCE"/>
          </w:tcPr>
          <w:p w:rsidRPr="00BD790C" w:rsidR="00D87E44" w:rsidRDefault="00D87E44" w14:paraId="154587D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2024</w:t>
            </w:r>
          </w:p>
        </w:tc>
        <w:tc>
          <w:tcPr>
            <w:tcW w:w="4745" w:type="dxa"/>
            <w:shd w:val="clear" w:color="auto" w:fill="C6EFCE"/>
          </w:tcPr>
          <w:p w:rsidRPr="00BD790C" w:rsidR="00D87E44" w:rsidRDefault="00D87E44" w14:paraId="154587D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Grant agreements shall be signed for the support of at least 78 projects in line with the national RIS3 strategy. The tender shall aim at supporting industrial research and experimental development projects aimed at putting results into practice, in particular in industrial production and in the supply of products on the market, projects developing new services, technologies and materials, increasing automation and robotisation and the use of digital technologies.  </w:t>
            </w:r>
          </w:p>
          <w:p w:rsidRPr="00BD790C" w:rsidR="00D87E44" w:rsidRDefault="00D87E44" w14:paraId="154587D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The projects selected for support shall be in line with  one R&amp;D&amp;I specialisation domain of the national RIS3 strategy. </w:t>
            </w:r>
          </w:p>
          <w:p w:rsidRPr="00BD790C" w:rsidR="00D87E44" w:rsidRDefault="00D87E44" w14:paraId="154587D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The total budget committed in the grant agreements for all projects and the overall implementation period shall amount to at least EUR 59 million.</w:t>
            </w:r>
          </w:p>
        </w:tc>
      </w:tr>
      <w:tr w:rsidRPr="00FE48E2" w:rsidR="00E3458A" w:rsidTr="00F825FF" w14:paraId="154587E3" w14:textId="77777777">
        <w:trPr>
          <w:trHeight w:val="945"/>
        </w:trPr>
        <w:tc>
          <w:tcPr>
            <w:tcW w:w="675" w:type="dxa"/>
            <w:shd w:val="clear" w:color="auto" w:fill="C6EFCE"/>
          </w:tcPr>
          <w:p w:rsidRPr="00BD790C" w:rsidR="00D87E44" w:rsidRDefault="00D87E44" w14:paraId="154587D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293</w:t>
            </w:r>
          </w:p>
        </w:tc>
        <w:tc>
          <w:tcPr>
            <w:tcW w:w="1276" w:type="dxa"/>
            <w:shd w:val="clear" w:color="auto" w:fill="C6EFCE"/>
          </w:tcPr>
          <w:p w:rsidRPr="00BD790C" w:rsidR="00D87E44" w:rsidRDefault="00D87E44" w14:paraId="154587D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5: Aid for research and development in enterprises in </w:t>
            </w:r>
            <w:r w:rsidRPr="00BD790C">
              <w:rPr>
                <w:rFonts w:eastAsia="Times New Roman"/>
                <w:noProof/>
                <w:color w:val="006100"/>
                <w:sz w:val="18"/>
                <w:szCs w:val="18"/>
                <w:lang w:val="en-IE"/>
              </w:rPr>
              <w:lastRenderedPageBreak/>
              <w:t>line with the national RIS3 strategy</w:t>
            </w:r>
          </w:p>
        </w:tc>
        <w:tc>
          <w:tcPr>
            <w:tcW w:w="1077" w:type="dxa"/>
            <w:shd w:val="clear" w:color="auto" w:fill="C6EFCE"/>
          </w:tcPr>
          <w:p w:rsidRPr="00BD790C" w:rsidR="00D87E44" w:rsidRDefault="00D87E44" w14:paraId="154587D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lastRenderedPageBreak/>
              <w:t>Target</w:t>
            </w:r>
          </w:p>
        </w:tc>
        <w:tc>
          <w:tcPr>
            <w:tcW w:w="1418" w:type="dxa"/>
            <w:shd w:val="clear" w:color="auto" w:fill="C6EFCE"/>
          </w:tcPr>
          <w:p w:rsidRPr="00BD790C" w:rsidR="00D87E44" w:rsidRDefault="00D87E44" w14:paraId="154587DB"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tc>
        <w:tc>
          <w:tcPr>
            <w:tcW w:w="1134" w:type="dxa"/>
            <w:shd w:val="clear" w:color="auto" w:fill="C6EFCE"/>
          </w:tcPr>
          <w:p w:rsidRPr="00BD790C" w:rsidR="00D87E44" w:rsidRDefault="00D87E44" w14:paraId="154587DC"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D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w:t>
            </w:r>
          </w:p>
        </w:tc>
        <w:tc>
          <w:tcPr>
            <w:tcW w:w="1134" w:type="dxa"/>
            <w:shd w:val="clear" w:color="auto" w:fill="C6EFCE"/>
          </w:tcPr>
          <w:p w:rsidRPr="00BD790C" w:rsidR="00D87E44" w:rsidRDefault="00D87E44" w14:paraId="154587D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D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90</w:t>
            </w:r>
          </w:p>
        </w:tc>
        <w:tc>
          <w:tcPr>
            <w:tcW w:w="850" w:type="dxa"/>
            <w:shd w:val="clear" w:color="auto" w:fill="C6EFCE"/>
          </w:tcPr>
          <w:p w:rsidRPr="00BD790C" w:rsidR="00D87E44" w:rsidRDefault="00D87E44" w14:paraId="154587E0" w14:textId="77777777">
            <w:pPr>
              <w:spacing w:before="0" w:after="0" w:line="240" w:lineRule="auto"/>
              <w:rPr>
                <w:rFonts w:eastAsia="Times New Roman"/>
                <w:noProof/>
                <w:color w:val="006100"/>
                <w:sz w:val="18"/>
                <w:szCs w:val="18"/>
                <w:lang w:val="en-IE"/>
              </w:rPr>
            </w:pPr>
            <w:r w:rsidRPr="7A2A3AE3">
              <w:rPr>
                <w:rFonts w:eastAsia="Times New Roman"/>
                <w:noProof/>
                <w:color w:val="006100"/>
                <w:sz w:val="18"/>
                <w:szCs w:val="18"/>
                <w:lang w:val="en-IE"/>
              </w:rPr>
              <w:t>Q4</w:t>
            </w:r>
          </w:p>
        </w:tc>
        <w:tc>
          <w:tcPr>
            <w:tcW w:w="639" w:type="dxa"/>
            <w:shd w:val="clear" w:color="auto" w:fill="C6EFCE"/>
          </w:tcPr>
          <w:p w:rsidRPr="00BD790C" w:rsidR="00D87E44" w:rsidRDefault="00D87E44" w14:paraId="154587E1" w14:textId="77777777">
            <w:pPr>
              <w:spacing w:before="0" w:after="0" w:line="240" w:lineRule="auto"/>
              <w:rPr>
                <w:rFonts w:eastAsia="Times New Roman"/>
                <w:noProof/>
                <w:color w:val="006100"/>
                <w:sz w:val="18"/>
                <w:szCs w:val="18"/>
                <w:lang w:val="en-IE"/>
              </w:rPr>
            </w:pPr>
            <w:r w:rsidRPr="05BA7F8A">
              <w:rPr>
                <w:rFonts w:eastAsia="Times New Roman"/>
                <w:noProof/>
                <w:color w:val="006100"/>
                <w:sz w:val="18"/>
                <w:szCs w:val="18"/>
                <w:lang w:val="en-IE"/>
              </w:rPr>
              <w:t>2025</w:t>
            </w:r>
          </w:p>
        </w:tc>
        <w:tc>
          <w:tcPr>
            <w:tcW w:w="4745" w:type="dxa"/>
            <w:shd w:val="clear" w:color="auto" w:fill="C6EFCE"/>
          </w:tcPr>
          <w:p w:rsidRPr="00FE48E2" w:rsidR="00D87E44" w:rsidRDefault="00D87E44" w14:paraId="154587E2" w14:textId="77777777">
            <w:pPr>
              <w:spacing w:before="0" w:after="0" w:line="240" w:lineRule="auto"/>
              <w:rPr>
                <w:noProof/>
                <w:color w:val="006100"/>
                <w:sz w:val="18"/>
                <w:szCs w:val="18"/>
                <w:lang w:val="en-IE"/>
              </w:rPr>
            </w:pPr>
            <w:r w:rsidRPr="00FE48E2">
              <w:rPr>
                <w:noProof/>
                <w:color w:val="006100"/>
                <w:sz w:val="18"/>
                <w:szCs w:val="18"/>
                <w:lang w:val="en-IE"/>
              </w:rPr>
              <w:t xml:space="preserve">At least 90% of the </w:t>
            </w:r>
            <w:r>
              <w:rPr>
                <w:noProof/>
                <w:color w:val="006100"/>
                <w:sz w:val="18"/>
                <w:szCs w:val="18"/>
                <w:lang w:val="en-IE"/>
              </w:rPr>
              <w:t xml:space="preserve">total </w:t>
            </w:r>
            <w:r w:rsidRPr="00FE48E2">
              <w:rPr>
                <w:noProof/>
                <w:color w:val="006100"/>
                <w:sz w:val="18"/>
                <w:szCs w:val="18"/>
                <w:lang w:val="en-IE"/>
              </w:rPr>
              <w:t xml:space="preserve">budget </w:t>
            </w:r>
            <w:r>
              <w:rPr>
                <w:noProof/>
                <w:color w:val="006100"/>
                <w:sz w:val="18"/>
                <w:szCs w:val="18"/>
                <w:lang w:val="en-IE"/>
              </w:rPr>
              <w:t xml:space="preserve">of EUR </w:t>
            </w:r>
            <w:r>
              <w:rPr>
                <w:noProof/>
                <w:color w:val="006100"/>
                <w:sz w:val="18"/>
                <w:szCs w:val="18"/>
                <w:lang w:val="en-IE"/>
              </w:rPr>
              <w:t>59 000 000</w:t>
            </w:r>
            <w:r w:rsidRPr="00FE48E2">
              <w:rPr>
                <w:noProof/>
                <w:color w:val="006100"/>
                <w:sz w:val="18"/>
                <w:szCs w:val="18"/>
                <w:lang w:val="en-IE"/>
              </w:rPr>
              <w:t xml:space="preserve"> shall be disbursed.</w:t>
            </w:r>
          </w:p>
        </w:tc>
      </w:tr>
      <w:tr w:rsidRPr="00FE48E2" w:rsidR="00E3458A" w:rsidTr="00F825FF" w14:paraId="154587F1" w14:textId="77777777">
        <w:trPr>
          <w:trHeight w:val="945"/>
        </w:trPr>
        <w:tc>
          <w:tcPr>
            <w:tcW w:w="675" w:type="dxa"/>
            <w:shd w:val="clear" w:color="auto" w:fill="C6EFCE"/>
          </w:tcPr>
          <w:p w:rsidRPr="00BD790C" w:rsidR="00D87E44" w:rsidRDefault="00D87E44" w14:paraId="154587E4"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294</w:t>
            </w:r>
          </w:p>
        </w:tc>
        <w:tc>
          <w:tcPr>
            <w:tcW w:w="1276" w:type="dxa"/>
            <w:shd w:val="clear" w:color="auto" w:fill="C6EFCE"/>
          </w:tcPr>
          <w:p w:rsidRPr="00BD790C" w:rsidR="00D87E44" w:rsidRDefault="00D87E44" w14:paraId="154587E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6: Aid for research and development in the field of transport</w:t>
            </w:r>
          </w:p>
        </w:tc>
        <w:tc>
          <w:tcPr>
            <w:tcW w:w="1077" w:type="dxa"/>
            <w:shd w:val="clear" w:color="auto" w:fill="C6EFCE"/>
          </w:tcPr>
          <w:p w:rsidRPr="00BD790C" w:rsidR="00D87E44" w:rsidRDefault="00D87E44" w14:paraId="154587E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E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Research and development in the field of transport</w:t>
            </w:r>
          </w:p>
        </w:tc>
        <w:tc>
          <w:tcPr>
            <w:tcW w:w="1134" w:type="dxa"/>
            <w:shd w:val="clear" w:color="auto" w:fill="C6EFCE"/>
          </w:tcPr>
          <w:p w:rsidRPr="00BD790C" w:rsidR="00D87E44" w:rsidRDefault="00D87E44" w14:paraId="154587E8"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E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Number of projects in the field of transport for which a grant agreement has been </w:t>
            </w:r>
            <w:r w:rsidRPr="00BD790C">
              <w:rPr>
                <w:rFonts w:eastAsia="Times New Roman"/>
                <w:noProof/>
                <w:color w:val="006100"/>
                <w:sz w:val="18"/>
                <w:szCs w:val="18"/>
                <w:lang w:val="en-IE"/>
              </w:rPr>
              <w:t>signed</w:t>
            </w:r>
          </w:p>
        </w:tc>
        <w:tc>
          <w:tcPr>
            <w:tcW w:w="1134" w:type="dxa"/>
            <w:shd w:val="clear" w:color="auto" w:fill="C6EFCE"/>
          </w:tcPr>
          <w:p w:rsidRPr="00BD790C" w:rsidR="00D87E44" w:rsidRDefault="00D87E44" w14:paraId="154587EA"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E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16</w:t>
            </w:r>
          </w:p>
        </w:tc>
        <w:tc>
          <w:tcPr>
            <w:tcW w:w="850" w:type="dxa"/>
            <w:shd w:val="clear" w:color="auto" w:fill="C6EFCE"/>
          </w:tcPr>
          <w:p w:rsidRPr="00BD790C" w:rsidR="00D87E44" w:rsidRDefault="00D87E44" w14:paraId="154587E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Q2</w:t>
            </w:r>
          </w:p>
        </w:tc>
        <w:tc>
          <w:tcPr>
            <w:tcW w:w="639" w:type="dxa"/>
            <w:shd w:val="clear" w:color="auto" w:fill="C6EFCE"/>
          </w:tcPr>
          <w:p w:rsidRPr="00BD790C" w:rsidR="00D87E44" w:rsidRDefault="00D87E44" w14:paraId="154587E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2024</w:t>
            </w:r>
          </w:p>
        </w:tc>
        <w:tc>
          <w:tcPr>
            <w:tcW w:w="4745" w:type="dxa"/>
            <w:shd w:val="clear" w:color="auto" w:fill="C6EFCE"/>
          </w:tcPr>
          <w:p w:rsidRPr="00FE48E2" w:rsidR="00D87E44" w:rsidRDefault="00D87E44" w14:paraId="154587EE" w14:textId="77777777">
            <w:pPr>
              <w:spacing w:before="0" w:after="0" w:line="240" w:lineRule="auto"/>
              <w:rPr>
                <w:noProof/>
                <w:color w:val="006100"/>
                <w:sz w:val="18"/>
                <w:szCs w:val="18"/>
                <w:lang w:val="en-IE"/>
              </w:rPr>
            </w:pPr>
            <w:r w:rsidRPr="00BD790C">
              <w:rPr>
                <w:rFonts w:eastAsia="Times New Roman"/>
                <w:noProof/>
                <w:color w:val="006100"/>
                <w:sz w:val="18"/>
                <w:szCs w:val="18"/>
                <w:lang w:val="en-IE"/>
              </w:rPr>
              <w:t>Grant</w:t>
            </w:r>
            <w:r w:rsidRPr="00FE48E2">
              <w:rPr>
                <w:noProof/>
                <w:color w:val="006100"/>
                <w:sz w:val="18"/>
                <w:szCs w:val="18"/>
                <w:lang w:val="en-IE"/>
              </w:rPr>
              <w:t xml:space="preserve"> agreements shall be signed for the support of at least </w:t>
            </w:r>
            <w:r w:rsidRPr="004F1648">
              <w:rPr>
                <w:noProof/>
                <w:color w:val="006100"/>
                <w:sz w:val="18"/>
                <w:szCs w:val="18"/>
                <w:lang w:val="en-IE"/>
              </w:rPr>
              <w:t>16</w:t>
            </w:r>
            <w:r w:rsidRPr="00FE48E2">
              <w:rPr>
                <w:noProof/>
                <w:color w:val="006100"/>
                <w:sz w:val="18"/>
                <w:szCs w:val="18"/>
                <w:lang w:val="en-IE"/>
              </w:rPr>
              <w:t xml:space="preserve"> R&amp;D projects in the field of transport. The tender shall aim at supporting projects for applied research, experimental development and innovation in one of the following fields: (i) sustainable, accessible and safe transport, (ii) automation, digitalisation and technologically advanced transport, (iii) zero emission transport.  </w:t>
            </w:r>
          </w:p>
          <w:p w:rsidRPr="00FE48E2" w:rsidR="00D87E44" w:rsidRDefault="00D87E44" w14:paraId="154587EF" w14:textId="77777777">
            <w:pPr>
              <w:spacing w:line="240" w:lineRule="auto"/>
              <w:rPr>
                <w:noProof/>
                <w:color w:val="006100"/>
                <w:sz w:val="18"/>
                <w:szCs w:val="18"/>
                <w:lang w:val="en-IE"/>
              </w:rPr>
            </w:pPr>
            <w:r w:rsidRPr="00FE48E2">
              <w:rPr>
                <w:noProof/>
                <w:color w:val="006100"/>
                <w:sz w:val="18"/>
                <w:szCs w:val="18"/>
                <w:lang w:val="en-IE"/>
              </w:rPr>
              <w:t xml:space="preserve">The projects selected for support shall also be in line with one of the following two specialisation domains of the national RIS3 strategy: (i) green transport; and (ii) technologically advanced and safe transport. </w:t>
            </w:r>
          </w:p>
          <w:p w:rsidRPr="00FE48E2" w:rsidR="00D87E44" w:rsidRDefault="00D87E44" w14:paraId="154587F0" w14:textId="77777777">
            <w:pPr>
              <w:spacing w:line="240" w:lineRule="auto"/>
              <w:rPr>
                <w:noProof/>
                <w:color w:val="006100"/>
                <w:sz w:val="18"/>
                <w:szCs w:val="18"/>
                <w:lang w:val="en-IE"/>
              </w:rPr>
            </w:pPr>
            <w:r w:rsidRPr="00FE48E2">
              <w:rPr>
                <w:noProof/>
                <w:color w:val="006100"/>
                <w:sz w:val="18"/>
                <w:szCs w:val="18"/>
                <w:lang w:val="en-IE"/>
              </w:rPr>
              <w:t xml:space="preserve">The total budget committed in the grant agreements for all projects and the overall implementation period shall amount to at least </w:t>
            </w:r>
            <w:r>
              <w:rPr>
                <w:noProof/>
                <w:color w:val="006100"/>
                <w:sz w:val="18"/>
                <w:szCs w:val="18"/>
                <w:lang w:val="en-IE"/>
              </w:rPr>
              <w:t xml:space="preserve">EUR </w:t>
            </w:r>
            <w:r w:rsidRPr="004F1648">
              <w:rPr>
                <w:noProof/>
                <w:color w:val="006100"/>
                <w:sz w:val="18"/>
                <w:szCs w:val="18"/>
                <w:lang w:val="en-IE"/>
              </w:rPr>
              <w:t>8 million</w:t>
            </w:r>
            <w:r w:rsidRPr="00FE48E2">
              <w:rPr>
                <w:noProof/>
                <w:color w:val="006100"/>
                <w:sz w:val="18"/>
                <w:szCs w:val="18"/>
                <w:lang w:val="en-IE"/>
              </w:rPr>
              <w:t>.</w:t>
            </w:r>
          </w:p>
        </w:tc>
      </w:tr>
      <w:tr w:rsidRPr="00FE48E2" w:rsidR="00E3458A" w:rsidTr="00F825FF" w14:paraId="154587FD" w14:textId="77777777">
        <w:trPr>
          <w:trHeight w:val="945"/>
        </w:trPr>
        <w:tc>
          <w:tcPr>
            <w:tcW w:w="675" w:type="dxa"/>
            <w:shd w:val="clear" w:color="auto" w:fill="C6EFCE"/>
          </w:tcPr>
          <w:p w:rsidRPr="00BD790C" w:rsidR="00D87E44" w:rsidRDefault="00D87E44" w14:paraId="154587F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295</w:t>
            </w:r>
          </w:p>
        </w:tc>
        <w:tc>
          <w:tcPr>
            <w:tcW w:w="1276" w:type="dxa"/>
            <w:shd w:val="clear" w:color="auto" w:fill="C6EFCE"/>
          </w:tcPr>
          <w:p w:rsidRPr="00BD790C" w:rsidR="00D87E44" w:rsidRDefault="00D87E44" w14:paraId="154587F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6: Aid for research and development in the field of transport</w:t>
            </w:r>
          </w:p>
        </w:tc>
        <w:tc>
          <w:tcPr>
            <w:tcW w:w="1077" w:type="dxa"/>
            <w:shd w:val="clear" w:color="auto" w:fill="C6EFCE"/>
          </w:tcPr>
          <w:p w:rsidRPr="00BD790C" w:rsidR="00D87E44" w:rsidRDefault="00D87E44" w14:paraId="154587F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7F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tc>
        <w:tc>
          <w:tcPr>
            <w:tcW w:w="1134" w:type="dxa"/>
            <w:shd w:val="clear" w:color="auto" w:fill="C6EFCE"/>
          </w:tcPr>
          <w:p w:rsidRPr="00BD790C" w:rsidR="00D87E44" w:rsidRDefault="00D87E44" w14:paraId="154587F6"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7F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w:t>
            </w:r>
          </w:p>
        </w:tc>
        <w:tc>
          <w:tcPr>
            <w:tcW w:w="1134" w:type="dxa"/>
            <w:shd w:val="clear" w:color="auto" w:fill="C6EFCE"/>
          </w:tcPr>
          <w:p w:rsidRPr="00BD790C" w:rsidR="00D87E44" w:rsidRDefault="00D87E44" w14:paraId="154587F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7F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90</w:t>
            </w:r>
          </w:p>
        </w:tc>
        <w:tc>
          <w:tcPr>
            <w:tcW w:w="850" w:type="dxa"/>
            <w:shd w:val="clear" w:color="auto" w:fill="C6EFCE"/>
          </w:tcPr>
          <w:p w:rsidRPr="00BD790C" w:rsidR="00D87E44" w:rsidRDefault="00D87E44" w14:paraId="154587FA"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Q4</w:t>
            </w:r>
          </w:p>
        </w:tc>
        <w:tc>
          <w:tcPr>
            <w:tcW w:w="639" w:type="dxa"/>
            <w:shd w:val="clear" w:color="auto" w:fill="C6EFCE"/>
          </w:tcPr>
          <w:p w:rsidRPr="00BD790C" w:rsidR="00D87E44" w:rsidRDefault="00D87E44" w14:paraId="154587FB"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2025</w:t>
            </w:r>
          </w:p>
        </w:tc>
        <w:tc>
          <w:tcPr>
            <w:tcW w:w="4745" w:type="dxa"/>
            <w:shd w:val="clear" w:color="auto" w:fill="C6EFCE"/>
          </w:tcPr>
          <w:p w:rsidRPr="00FE48E2" w:rsidR="00D87E44" w:rsidRDefault="00D87E44" w14:paraId="154587FC" w14:textId="77777777">
            <w:pPr>
              <w:spacing w:before="0" w:after="0" w:line="240" w:lineRule="auto"/>
              <w:rPr>
                <w:noProof/>
                <w:color w:val="006100"/>
                <w:sz w:val="18"/>
                <w:szCs w:val="18"/>
                <w:lang w:val="en-IE"/>
              </w:rPr>
            </w:pPr>
            <w:r w:rsidRPr="00FE48E2">
              <w:rPr>
                <w:noProof/>
                <w:color w:val="006100"/>
                <w:sz w:val="18"/>
                <w:szCs w:val="18"/>
                <w:lang w:val="en-IE"/>
              </w:rPr>
              <w:t xml:space="preserve">At least 90% of the </w:t>
            </w:r>
            <w:r>
              <w:rPr>
                <w:noProof/>
                <w:color w:val="006100"/>
                <w:sz w:val="18"/>
                <w:szCs w:val="18"/>
                <w:lang w:val="en-IE"/>
              </w:rPr>
              <w:t xml:space="preserve">total </w:t>
            </w:r>
            <w:r w:rsidRPr="00FE48E2">
              <w:rPr>
                <w:noProof/>
                <w:color w:val="006100"/>
                <w:sz w:val="18"/>
                <w:szCs w:val="18"/>
                <w:lang w:val="en-IE"/>
              </w:rPr>
              <w:t xml:space="preserve">budget </w:t>
            </w:r>
            <w:r>
              <w:rPr>
                <w:noProof/>
                <w:color w:val="006100"/>
                <w:sz w:val="18"/>
                <w:szCs w:val="18"/>
                <w:lang w:val="en-IE"/>
              </w:rPr>
              <w:t>of EUR 8 000 000</w:t>
            </w:r>
            <w:r w:rsidRPr="00FE48E2">
              <w:rPr>
                <w:noProof/>
                <w:color w:val="006100"/>
                <w:sz w:val="18"/>
                <w:szCs w:val="18"/>
                <w:lang w:val="en-IE"/>
              </w:rPr>
              <w:t xml:space="preserve"> shall be disbursed.</w:t>
            </w:r>
          </w:p>
        </w:tc>
      </w:tr>
      <w:tr w:rsidRPr="00FE48E2" w:rsidR="00E3458A" w:rsidTr="00F825FF" w14:paraId="1545880A" w14:textId="77777777">
        <w:trPr>
          <w:trHeight w:val="945"/>
        </w:trPr>
        <w:tc>
          <w:tcPr>
            <w:tcW w:w="675" w:type="dxa"/>
            <w:shd w:val="clear" w:color="auto" w:fill="C6EFCE"/>
          </w:tcPr>
          <w:p w:rsidRPr="00BD790C" w:rsidR="00D87E44" w:rsidRDefault="00D87E44" w14:paraId="154587FE" w14:textId="77777777">
            <w:pPr>
              <w:spacing w:before="0" w:after="0" w:line="240" w:lineRule="auto"/>
              <w:rPr>
                <w:rFonts w:eastAsia="Times New Roman"/>
                <w:noProof/>
                <w:color w:val="006100"/>
                <w:sz w:val="18"/>
                <w:szCs w:val="18"/>
                <w:lang w:val="en-IE"/>
              </w:rPr>
            </w:pPr>
            <w:r w:rsidRPr="00B51134">
              <w:rPr>
                <w:rFonts w:eastAsia="Times New Roman"/>
                <w:noProof/>
                <w:color w:val="006100"/>
                <w:sz w:val="18"/>
                <w:szCs w:val="18"/>
                <w:lang w:val="en-IE"/>
              </w:rPr>
              <w:t>296</w:t>
            </w:r>
          </w:p>
        </w:tc>
        <w:tc>
          <w:tcPr>
            <w:tcW w:w="1276" w:type="dxa"/>
            <w:shd w:val="clear" w:color="auto" w:fill="C6EFCE"/>
          </w:tcPr>
          <w:p w:rsidRPr="00BD790C" w:rsidR="00D87E44" w:rsidRDefault="00D87E44" w14:paraId="154587F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Investment 7: Aid for research and </w:t>
            </w:r>
            <w:r w:rsidRPr="00BD790C">
              <w:rPr>
                <w:rFonts w:eastAsia="Times New Roman"/>
                <w:noProof/>
                <w:color w:val="006100"/>
                <w:sz w:val="18"/>
                <w:szCs w:val="18"/>
                <w:lang w:val="en-IE"/>
              </w:rPr>
              <w:t>development in the environmental field</w:t>
            </w:r>
          </w:p>
        </w:tc>
        <w:tc>
          <w:tcPr>
            <w:tcW w:w="1077" w:type="dxa"/>
            <w:shd w:val="clear" w:color="auto" w:fill="C6EFCE"/>
          </w:tcPr>
          <w:p w:rsidRPr="00BD790C" w:rsidR="00D87E44" w:rsidRDefault="00D87E44" w14:paraId="1545880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80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Research and development in the environmental field</w:t>
            </w:r>
          </w:p>
        </w:tc>
        <w:tc>
          <w:tcPr>
            <w:tcW w:w="1134" w:type="dxa"/>
            <w:shd w:val="clear" w:color="auto" w:fill="C6EFCE"/>
          </w:tcPr>
          <w:p w:rsidRPr="00BD790C" w:rsidR="00D87E44" w:rsidRDefault="00D87E44" w14:paraId="15458802"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80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Number of projects for which a grant agreement has been signed</w:t>
            </w:r>
          </w:p>
        </w:tc>
        <w:tc>
          <w:tcPr>
            <w:tcW w:w="1134" w:type="dxa"/>
            <w:shd w:val="clear" w:color="auto" w:fill="C6EFCE"/>
          </w:tcPr>
          <w:p w:rsidRPr="00BD790C" w:rsidR="00D87E44" w:rsidRDefault="00D87E44" w14:paraId="1545880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80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35</w:t>
            </w:r>
          </w:p>
        </w:tc>
        <w:tc>
          <w:tcPr>
            <w:tcW w:w="850" w:type="dxa"/>
            <w:shd w:val="clear" w:color="auto" w:fill="C6EFCE"/>
          </w:tcPr>
          <w:p w:rsidRPr="00BD790C" w:rsidR="00D87E44" w:rsidRDefault="00D87E44" w14:paraId="1545880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Q2</w:t>
            </w:r>
          </w:p>
        </w:tc>
        <w:tc>
          <w:tcPr>
            <w:tcW w:w="639" w:type="dxa"/>
            <w:shd w:val="clear" w:color="auto" w:fill="C6EFCE"/>
          </w:tcPr>
          <w:p w:rsidRPr="00BD790C" w:rsidR="00D87E44" w:rsidRDefault="00D87E44" w14:paraId="1545880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2024</w:t>
            </w:r>
          </w:p>
        </w:tc>
        <w:tc>
          <w:tcPr>
            <w:tcW w:w="4745" w:type="dxa"/>
            <w:shd w:val="clear" w:color="auto" w:fill="C6EFCE"/>
          </w:tcPr>
          <w:p w:rsidRPr="00FE48E2" w:rsidR="00D87E44" w:rsidRDefault="00D87E44" w14:paraId="15458808" w14:textId="77777777">
            <w:pPr>
              <w:spacing w:before="0" w:after="0" w:line="240" w:lineRule="auto"/>
              <w:rPr>
                <w:noProof/>
                <w:color w:val="006100"/>
                <w:sz w:val="18"/>
                <w:szCs w:val="18"/>
                <w:lang w:val="en-IE"/>
              </w:rPr>
            </w:pPr>
            <w:r w:rsidRPr="00FE48E2">
              <w:rPr>
                <w:noProof/>
                <w:color w:val="006100"/>
                <w:sz w:val="18"/>
                <w:szCs w:val="18"/>
                <w:lang w:val="en-IE"/>
              </w:rPr>
              <w:t xml:space="preserve">Grant agreements shall be signed for the support of at least </w:t>
            </w:r>
            <w:r w:rsidRPr="004F1648">
              <w:rPr>
                <w:noProof/>
                <w:color w:val="006100"/>
                <w:sz w:val="18"/>
                <w:szCs w:val="18"/>
                <w:lang w:val="en-IE"/>
              </w:rPr>
              <w:t>35</w:t>
            </w:r>
            <w:r w:rsidRPr="00FE48E2">
              <w:rPr>
                <w:noProof/>
                <w:color w:val="006100"/>
                <w:sz w:val="18"/>
                <w:szCs w:val="18"/>
                <w:lang w:val="en-IE"/>
              </w:rPr>
              <w:t xml:space="preserve"> R&amp;D</w:t>
            </w:r>
            <w:r>
              <w:rPr>
                <w:noProof/>
                <w:color w:val="006100"/>
                <w:sz w:val="18"/>
                <w:szCs w:val="18"/>
                <w:lang w:val="en-IE"/>
              </w:rPr>
              <w:t>&amp;I</w:t>
            </w:r>
            <w:r w:rsidRPr="00FE48E2">
              <w:rPr>
                <w:noProof/>
                <w:color w:val="006100"/>
                <w:sz w:val="18"/>
                <w:szCs w:val="18"/>
                <w:lang w:val="en-IE"/>
              </w:rPr>
              <w:t xml:space="preserve"> projects in the environmental field. The projects selected for support shall also be in line with one R&amp;D&amp;I specialisation domain of the national RIS3 strategy.</w:t>
            </w:r>
          </w:p>
          <w:p w:rsidRPr="00FE48E2" w:rsidR="00D87E44" w:rsidRDefault="00D87E44" w14:paraId="15458809" w14:textId="77777777">
            <w:pPr>
              <w:spacing w:line="259" w:lineRule="auto"/>
              <w:rPr>
                <w:noProof/>
                <w:color w:val="006100"/>
                <w:sz w:val="18"/>
                <w:szCs w:val="18"/>
                <w:lang w:val="en-IE"/>
              </w:rPr>
            </w:pPr>
            <w:r w:rsidRPr="00FE48E2">
              <w:rPr>
                <w:noProof/>
                <w:color w:val="006100"/>
                <w:sz w:val="18"/>
                <w:szCs w:val="18"/>
                <w:lang w:val="en-IE"/>
              </w:rPr>
              <w:t xml:space="preserve">The total budget committed in the grant agreements for all projects and the overall implementation period shall amount to at least </w:t>
            </w:r>
            <w:r>
              <w:rPr>
                <w:noProof/>
                <w:color w:val="006100"/>
                <w:sz w:val="18"/>
                <w:szCs w:val="18"/>
                <w:lang w:val="en-IE"/>
              </w:rPr>
              <w:t xml:space="preserve">EUR </w:t>
            </w:r>
            <w:r w:rsidRPr="004F1648">
              <w:rPr>
                <w:noProof/>
                <w:color w:val="006100"/>
                <w:sz w:val="18"/>
                <w:szCs w:val="18"/>
                <w:lang w:val="en-IE"/>
              </w:rPr>
              <w:t>17.9 million</w:t>
            </w:r>
            <w:r w:rsidRPr="00FE48E2">
              <w:rPr>
                <w:noProof/>
                <w:color w:val="006100"/>
                <w:sz w:val="18"/>
                <w:szCs w:val="18"/>
                <w:lang w:val="en-IE"/>
              </w:rPr>
              <w:t>.</w:t>
            </w:r>
          </w:p>
        </w:tc>
      </w:tr>
      <w:tr w:rsidRPr="00FE48E2" w:rsidR="00E3458A" w:rsidTr="00F825FF" w14:paraId="15458817" w14:textId="77777777">
        <w:trPr>
          <w:trHeight w:val="945"/>
        </w:trPr>
        <w:tc>
          <w:tcPr>
            <w:tcW w:w="675" w:type="dxa"/>
            <w:shd w:val="clear" w:color="auto" w:fill="C6EFCE"/>
          </w:tcPr>
          <w:p w:rsidRPr="00BD790C" w:rsidR="00D87E44" w:rsidRDefault="00D87E44" w14:paraId="1545880B"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lastRenderedPageBreak/>
              <w:t>297</w:t>
            </w:r>
          </w:p>
        </w:tc>
        <w:tc>
          <w:tcPr>
            <w:tcW w:w="1276" w:type="dxa"/>
            <w:shd w:val="clear" w:color="auto" w:fill="C6EFCE"/>
          </w:tcPr>
          <w:p w:rsidRPr="00BD790C" w:rsidR="00D87E44" w:rsidRDefault="00D87E44" w14:paraId="1545880C"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7: Aid for research and development in the environmental field</w:t>
            </w:r>
          </w:p>
        </w:tc>
        <w:tc>
          <w:tcPr>
            <w:tcW w:w="1077" w:type="dxa"/>
            <w:shd w:val="clear" w:color="auto" w:fill="C6EFCE"/>
          </w:tcPr>
          <w:p w:rsidRPr="00BD790C" w:rsidR="00D87E44" w:rsidRDefault="00D87E44" w14:paraId="1545880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Target</w:t>
            </w:r>
          </w:p>
        </w:tc>
        <w:tc>
          <w:tcPr>
            <w:tcW w:w="1418" w:type="dxa"/>
            <w:shd w:val="clear" w:color="auto" w:fill="C6EFCE"/>
          </w:tcPr>
          <w:p w:rsidRPr="00BD790C" w:rsidR="00D87E44" w:rsidRDefault="00D87E44" w14:paraId="1545880E"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Funds disbursed</w:t>
            </w:r>
          </w:p>
          <w:p w:rsidRPr="00BD790C" w:rsidR="00D87E44" w:rsidRDefault="00D87E44" w14:paraId="1545880F" w14:textId="77777777">
            <w:pPr>
              <w:spacing w:before="0" w:after="0" w:line="240" w:lineRule="auto"/>
              <w:rPr>
                <w:rFonts w:eastAsia="Times New Roman"/>
                <w:noProof/>
                <w:color w:val="006100"/>
                <w:sz w:val="18"/>
                <w:szCs w:val="18"/>
                <w:lang w:val="en-IE"/>
              </w:rPr>
            </w:pPr>
          </w:p>
        </w:tc>
        <w:tc>
          <w:tcPr>
            <w:tcW w:w="1134" w:type="dxa"/>
            <w:shd w:val="clear" w:color="auto" w:fill="C6EFCE"/>
          </w:tcPr>
          <w:p w:rsidRPr="00BD790C" w:rsidR="00D87E44" w:rsidRDefault="00D87E44" w14:paraId="15458810" w14:textId="77777777">
            <w:pPr>
              <w:spacing w:before="0" w:after="0" w:line="240" w:lineRule="auto"/>
              <w:rPr>
                <w:rFonts w:eastAsia="Times New Roman"/>
                <w:noProof/>
                <w:color w:val="006100"/>
                <w:sz w:val="18"/>
                <w:szCs w:val="18"/>
                <w:lang w:val="en-IE"/>
              </w:rPr>
            </w:pPr>
          </w:p>
        </w:tc>
        <w:tc>
          <w:tcPr>
            <w:tcW w:w="1417" w:type="dxa"/>
            <w:shd w:val="clear" w:color="auto" w:fill="C6EFCE"/>
          </w:tcPr>
          <w:p w:rsidRPr="00BD790C" w:rsidR="00D87E44" w:rsidRDefault="00D87E44" w14:paraId="1545881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w:t>
            </w:r>
          </w:p>
        </w:tc>
        <w:tc>
          <w:tcPr>
            <w:tcW w:w="1134" w:type="dxa"/>
            <w:shd w:val="clear" w:color="auto" w:fill="C6EFCE"/>
          </w:tcPr>
          <w:p w:rsidRPr="00BD790C" w:rsidR="00D87E44" w:rsidRDefault="00D87E44" w14:paraId="1545881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0</w:t>
            </w:r>
          </w:p>
        </w:tc>
        <w:tc>
          <w:tcPr>
            <w:tcW w:w="709" w:type="dxa"/>
            <w:shd w:val="clear" w:color="auto" w:fill="C6EFCE"/>
          </w:tcPr>
          <w:p w:rsidRPr="00BD790C" w:rsidR="00D87E44" w:rsidRDefault="00D87E44" w14:paraId="15458813"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90</w:t>
            </w:r>
          </w:p>
        </w:tc>
        <w:tc>
          <w:tcPr>
            <w:tcW w:w="850" w:type="dxa"/>
            <w:shd w:val="clear" w:color="auto" w:fill="C6EFCE"/>
          </w:tcPr>
          <w:p w:rsidRPr="00BD790C" w:rsidR="00D87E44" w:rsidRDefault="00D87E44" w14:paraId="15458814"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Q4</w:t>
            </w:r>
          </w:p>
        </w:tc>
        <w:tc>
          <w:tcPr>
            <w:tcW w:w="639" w:type="dxa"/>
            <w:shd w:val="clear" w:color="auto" w:fill="C6EFCE"/>
          </w:tcPr>
          <w:p w:rsidRPr="00BD790C" w:rsidR="00D87E44" w:rsidRDefault="00D87E44" w14:paraId="15458815" w14:textId="77777777">
            <w:pPr>
              <w:spacing w:before="0" w:after="0" w:line="240" w:lineRule="auto"/>
              <w:rPr>
                <w:rFonts w:eastAsia="Times New Roman"/>
                <w:noProof/>
                <w:color w:val="006100"/>
                <w:sz w:val="18"/>
                <w:szCs w:val="18"/>
                <w:lang w:val="en-IE"/>
              </w:rPr>
            </w:pPr>
            <w:r w:rsidRPr="7C937054">
              <w:rPr>
                <w:rFonts w:eastAsia="Times New Roman"/>
                <w:noProof/>
                <w:color w:val="006100"/>
                <w:sz w:val="18"/>
                <w:szCs w:val="18"/>
                <w:lang w:val="en-IE"/>
              </w:rPr>
              <w:t>2025</w:t>
            </w:r>
          </w:p>
        </w:tc>
        <w:tc>
          <w:tcPr>
            <w:tcW w:w="4745" w:type="dxa"/>
            <w:shd w:val="clear" w:color="auto" w:fill="C6EFCE"/>
          </w:tcPr>
          <w:p w:rsidRPr="00FE48E2" w:rsidR="00D87E44" w:rsidRDefault="00D87E44" w14:paraId="15458816" w14:textId="77777777">
            <w:pPr>
              <w:spacing w:before="0" w:after="0" w:line="240" w:lineRule="auto"/>
              <w:rPr>
                <w:noProof/>
                <w:color w:val="006100"/>
                <w:sz w:val="18"/>
                <w:szCs w:val="18"/>
                <w:lang w:val="en-IE"/>
              </w:rPr>
            </w:pPr>
            <w:r w:rsidRPr="09E4EEEF">
              <w:rPr>
                <w:noProof/>
                <w:color w:val="006100"/>
                <w:sz w:val="18"/>
                <w:szCs w:val="18"/>
                <w:lang w:val="en-IE"/>
              </w:rPr>
              <w:t xml:space="preserve">At least 90% of the </w:t>
            </w:r>
            <w:r>
              <w:rPr>
                <w:noProof/>
                <w:color w:val="006100"/>
                <w:sz w:val="18"/>
                <w:szCs w:val="18"/>
                <w:lang w:val="en-IE"/>
              </w:rPr>
              <w:t xml:space="preserve">total </w:t>
            </w:r>
            <w:r w:rsidRPr="09E4EEEF">
              <w:rPr>
                <w:noProof/>
                <w:color w:val="006100"/>
                <w:sz w:val="18"/>
                <w:szCs w:val="18"/>
                <w:lang w:val="en-IE"/>
              </w:rPr>
              <w:t xml:space="preserve">budget </w:t>
            </w:r>
            <w:r>
              <w:rPr>
                <w:noProof/>
                <w:color w:val="006100"/>
                <w:sz w:val="18"/>
                <w:szCs w:val="18"/>
                <w:lang w:val="en-IE"/>
              </w:rPr>
              <w:t>of EUR 17 900 000</w:t>
            </w:r>
            <w:r w:rsidRPr="09E4EEEF">
              <w:rPr>
                <w:noProof/>
                <w:color w:val="006100"/>
                <w:sz w:val="18"/>
                <w:szCs w:val="18"/>
                <w:lang w:val="en-IE"/>
              </w:rPr>
              <w:t xml:space="preserve"> shall be disbursed.</w:t>
            </w:r>
          </w:p>
        </w:tc>
      </w:tr>
    </w:tbl>
    <w:p w:rsidRPr="00FE48E2" w:rsidR="00D87E44" w:rsidP="00D226F4" w:rsidRDefault="00D87E44" w14:paraId="15458818" w14:textId="77777777">
      <w:pPr>
        <w:spacing w:line="240" w:lineRule="auto"/>
        <w:rPr>
          <w:b/>
          <w:smallCaps/>
          <w:noProof/>
          <w:lang w:val="en-IE"/>
        </w:rPr>
        <w:sectPr w:rsidRPr="00FE48E2" w:rsidR="00C16C1F" w:rsidSect="00D226F4">
          <w:headerReference w:type="even" r:id="Ra1a51e5174a24355"/>
          <w:headerReference w:type="default" r:id="Rff78091f97e3493a"/>
          <w:footerReference w:type="even" r:id="R336351dd70014c54"/>
          <w:footerReference w:type="default" r:id="R0309a1e1ee894b43"/>
          <w:headerReference w:type="first" r:id="Rbe1df3ee20d84b1f"/>
          <w:footerReference w:type="first" r:id="Ra41e1985b6144823"/>
          <w:pgSz w:w="16839" w:h="11907" w:orient="landscape"/>
          <w:pgMar w:top="1134" w:right="1134" w:bottom="1134" w:left="1134" w:header="567" w:footer="567" w:gutter="0"/>
          <w:cols w:space="708"/>
          <w:docGrid w:linePitch="326"/>
        </w:sectPr>
      </w:pPr>
    </w:p>
    <w:p w:rsidRPr="004F1648" w:rsidR="00D87E44" w:rsidP="00D226F4" w:rsidRDefault="00D87E44" w14:paraId="15458819" w14:textId="77777777">
      <w:pPr>
        <w:keepNext/>
        <w:spacing w:line="240" w:lineRule="auto"/>
        <w:jc w:val="both"/>
        <w:outlineLvl w:val="0"/>
        <w:rPr>
          <w:rFonts w:eastAsia="Times New Roman"/>
          <w:b/>
          <w:smallCaps/>
          <w:noProof/>
          <w:lang w:val="en-IE"/>
        </w:rPr>
      </w:pPr>
      <w:r w:rsidRPr="004F1648">
        <w:rPr>
          <w:rFonts w:eastAsia="Times New Roman"/>
          <w:b/>
          <w:smallCaps/>
          <w:noProof/>
          <w:lang w:val="en-IE"/>
        </w:rPr>
        <w:lastRenderedPageBreak/>
        <w:t xml:space="preserve">BB. COMPONENT 5.3: A </w:t>
      </w:r>
      <w:r>
        <w:rPr>
          <w:rFonts w:eastAsia="Times New Roman"/>
          <w:b/>
          <w:bCs/>
          <w:smallCaps/>
          <w:noProof/>
          <w:lang w:val="en-IE"/>
        </w:rPr>
        <w:t>Strategically</w:t>
      </w:r>
      <w:r w:rsidRPr="004F1648">
        <w:rPr>
          <w:rFonts w:eastAsia="Times New Roman"/>
          <w:b/>
          <w:bCs/>
          <w:smallCaps/>
          <w:noProof/>
          <w:lang w:val="en-IE"/>
        </w:rPr>
        <w:t xml:space="preserve"> </w:t>
      </w:r>
      <w:r>
        <w:rPr>
          <w:rFonts w:eastAsia="Times New Roman"/>
          <w:b/>
          <w:bCs/>
          <w:smallCaps/>
          <w:noProof/>
          <w:lang w:val="en-IE"/>
        </w:rPr>
        <w:t>Managed</w:t>
      </w:r>
      <w:r w:rsidRPr="004F1648">
        <w:rPr>
          <w:rFonts w:eastAsia="Times New Roman"/>
          <w:b/>
          <w:bCs/>
          <w:smallCaps/>
          <w:noProof/>
          <w:lang w:val="en-IE"/>
        </w:rPr>
        <w:t xml:space="preserve"> </w:t>
      </w:r>
      <w:r>
        <w:rPr>
          <w:rFonts w:eastAsia="Times New Roman"/>
          <w:b/>
          <w:bCs/>
          <w:smallCaps/>
          <w:noProof/>
          <w:lang w:val="en-IE"/>
        </w:rPr>
        <w:t>And</w:t>
      </w:r>
      <w:r w:rsidRPr="004F1648">
        <w:rPr>
          <w:rFonts w:eastAsia="Times New Roman"/>
          <w:b/>
          <w:bCs/>
          <w:smallCaps/>
          <w:noProof/>
          <w:lang w:val="en-IE"/>
        </w:rPr>
        <w:t xml:space="preserve"> </w:t>
      </w:r>
      <w:r>
        <w:rPr>
          <w:rFonts w:eastAsia="Times New Roman"/>
          <w:b/>
          <w:bCs/>
          <w:smallCaps/>
          <w:noProof/>
          <w:lang w:val="en-IE"/>
        </w:rPr>
        <w:t>Internationally</w:t>
      </w:r>
      <w:r w:rsidRPr="004F1648">
        <w:rPr>
          <w:rFonts w:eastAsia="Times New Roman"/>
          <w:b/>
          <w:bCs/>
          <w:smallCaps/>
          <w:noProof/>
          <w:lang w:val="en-IE"/>
        </w:rPr>
        <w:t xml:space="preserve"> </w:t>
      </w:r>
      <w:r>
        <w:rPr>
          <w:rFonts w:eastAsia="Times New Roman"/>
          <w:b/>
          <w:bCs/>
          <w:smallCaps/>
          <w:noProof/>
          <w:lang w:val="en-IE"/>
        </w:rPr>
        <w:t>Competitive</w:t>
      </w:r>
      <w:r w:rsidRPr="004F1648">
        <w:rPr>
          <w:rFonts w:eastAsia="Times New Roman"/>
          <w:b/>
          <w:bCs/>
          <w:smallCaps/>
          <w:noProof/>
          <w:lang w:val="en-IE"/>
        </w:rPr>
        <w:t xml:space="preserve"> </w:t>
      </w:r>
      <w:r w:rsidRPr="004F1648">
        <w:rPr>
          <w:rFonts w:eastAsia="Times New Roman"/>
          <w:b/>
          <w:smallCaps/>
          <w:noProof/>
          <w:lang w:val="en-IE"/>
        </w:rPr>
        <w:t xml:space="preserve">R&amp;D&amp;I </w:t>
      </w:r>
      <w:r>
        <w:rPr>
          <w:rFonts w:eastAsia="Times New Roman"/>
          <w:b/>
          <w:bCs/>
          <w:smallCaps/>
          <w:noProof/>
          <w:lang w:val="en-IE"/>
        </w:rPr>
        <w:t>Ecosystem</w:t>
      </w:r>
    </w:p>
    <w:p w:rsidRPr="002F7C86" w:rsidR="00D87E44" w:rsidP="00D226F4" w:rsidRDefault="00D87E44" w14:paraId="1545881A" w14:textId="77777777">
      <w:pPr>
        <w:spacing w:line="240" w:lineRule="auto"/>
        <w:jc w:val="both"/>
        <w:rPr>
          <w:rFonts w:eastAsia="Times New Roman"/>
          <w:noProof/>
          <w:szCs w:val="24"/>
          <w:lang w:val="en-IE"/>
        </w:rPr>
      </w:pPr>
      <w:r w:rsidRPr="002F7C86">
        <w:rPr>
          <w:rFonts w:eastAsia="Times New Roman"/>
          <w:noProof/>
          <w:szCs w:val="24"/>
          <w:lang w:val="en-IE"/>
        </w:rPr>
        <w:t>This component of the Czech recovery and resilience plan aims at increasing competitiveness and socio-economic benefits and impacts of R &amp; D &amp; I by promoting excellence, strengthening international cooperation and strategic development of human capital. This</w:t>
      </w:r>
      <w:r w:rsidRPr="002F7C86" w:rsidDel="005F1FE4">
        <w:rPr>
          <w:rFonts w:eastAsia="Times New Roman"/>
          <w:noProof/>
          <w:szCs w:val="24"/>
          <w:lang w:val="en-IE"/>
        </w:rPr>
        <w:t xml:space="preserve"> </w:t>
      </w:r>
      <w:r w:rsidRPr="002F7C86">
        <w:rPr>
          <w:rFonts w:eastAsia="Times New Roman"/>
          <w:noProof/>
          <w:szCs w:val="24"/>
          <w:lang w:val="en-IE"/>
        </w:rPr>
        <w:t xml:space="preserve">is achieved through improving the process of developing, implementing, monitoring and evaluating R &amp; D &amp; I policy, harmonising the methodological environment for public R&amp;D&amp;I support, and supporting </w:t>
      </w:r>
      <w:r w:rsidRPr="002F7C86">
        <w:rPr>
          <w:rFonts w:eastAsia="Times New Roman"/>
          <w:noProof/>
          <w:szCs w:val="24"/>
          <w:lang w:val="en-IE"/>
        </w:rPr>
        <w:t>internationally competitive teams delivering excellence in R&amp;D&amp;I.</w:t>
      </w:r>
    </w:p>
    <w:p w:rsidRPr="004928A9" w:rsidR="00D87E44" w:rsidP="00D226F4" w:rsidRDefault="00D87E44" w14:paraId="1545881B" w14:textId="77777777">
      <w:pPr>
        <w:spacing w:line="240" w:lineRule="auto"/>
        <w:jc w:val="both"/>
        <w:rPr>
          <w:rFonts w:eastAsia="Times New Roman"/>
          <w:noProof/>
          <w:szCs w:val="24"/>
          <w:lang w:val="en-IE"/>
        </w:rPr>
      </w:pPr>
      <w:r w:rsidRPr="002F7C86">
        <w:rPr>
          <w:rFonts w:eastAsia="Times New Roman"/>
          <w:noProof/>
          <w:szCs w:val="24"/>
          <w:lang w:val="en-IE"/>
        </w:rPr>
        <w:t>The component supports addressing country-specific recommendation 3 2019, according to which Czechia shall remove the barriers hampering the development of a fully functioning innovation ecosystem.</w:t>
      </w:r>
    </w:p>
    <w:p w:rsidRPr="00FE48E2" w:rsidR="00D87E44" w:rsidP="00D226F4" w:rsidRDefault="00D87E44" w14:paraId="1545881C" w14:textId="77777777">
      <w:pPr>
        <w:spacing w:line="240" w:lineRule="auto"/>
        <w:jc w:val="both"/>
        <w:rPr>
          <w:rFonts w:eastAsia="Times New Roman"/>
          <w:noProof/>
          <w:color w:val="000000" w:themeColor="text1"/>
          <w:lang w:val="en-IE"/>
        </w:rPr>
      </w:pPr>
    </w:p>
    <w:p w:rsidRPr="00FE48E2" w:rsidR="00D87E44" w:rsidP="00D226F4" w:rsidRDefault="00D87E44" w14:paraId="1545881D" w14:textId="77777777">
      <w:pPr>
        <w:spacing w:line="240" w:lineRule="auto"/>
        <w:jc w:val="both"/>
        <w:rPr>
          <w:rFonts w:eastAsia="Times New Roman"/>
          <w:b/>
          <w:bCs/>
          <w:noProof/>
          <w:color w:val="000000" w:themeColor="text1"/>
          <w:u w:val="single"/>
          <w:lang w:val="en-IE"/>
        </w:rPr>
      </w:pPr>
      <w:r w:rsidRPr="1B282876">
        <w:rPr>
          <w:rFonts w:eastAsia="Times New Roman"/>
          <w:b/>
          <w:bCs/>
          <w:noProof/>
          <w:color w:val="000000" w:themeColor="text1"/>
          <w:u w:val="single"/>
          <w:lang w:val="en-IE"/>
        </w:rPr>
        <w:t>BB1. Description of the reforms and investments for non-repayable financial support</w:t>
      </w:r>
    </w:p>
    <w:p w:rsidRPr="004F1648" w:rsidR="00D87E44" w:rsidP="00D226F4" w:rsidRDefault="00D87E44" w14:paraId="1545881E" w14:textId="77777777">
      <w:pPr>
        <w:spacing w:line="240" w:lineRule="auto"/>
        <w:jc w:val="both"/>
        <w:rPr>
          <w:rFonts w:eastAsia="Times New Roman"/>
          <w:b/>
          <w:noProof/>
          <w:szCs w:val="24"/>
          <w:lang w:val="en-IE"/>
        </w:rPr>
      </w:pPr>
      <w:r w:rsidRPr="004F1648">
        <w:rPr>
          <w:rFonts w:eastAsia="Times New Roman"/>
          <w:b/>
          <w:noProof/>
          <w:szCs w:val="24"/>
          <w:lang w:val="en-IE"/>
        </w:rPr>
        <w:t>Reform 1: A strategically managed and internationally competitive R&amp;D&amp;I ecosystem</w:t>
      </w:r>
    </w:p>
    <w:p w:rsidRPr="002F7C86" w:rsidR="00D87E44" w:rsidP="2FA24842" w:rsidRDefault="00D87E44" w14:paraId="1545881F" w14:textId="77777777">
      <w:pPr>
        <w:spacing w:line="240" w:lineRule="auto"/>
        <w:jc w:val="both"/>
        <w:rPr>
          <w:rFonts w:eastAsia="Times New Roman"/>
          <w:noProof/>
          <w:lang w:val="en-IE"/>
        </w:rPr>
      </w:pPr>
      <w:r w:rsidRPr="2FA24842">
        <w:rPr>
          <w:rFonts w:eastAsia="Times New Roman"/>
          <w:noProof/>
          <w:lang w:val="en-IE"/>
        </w:rPr>
        <w:t>The objective of the measure is to steer reform processes in the R&amp;D&amp;I ecosystem in Czechia. The reform consists of the creation of a shared activities project on strategic intelligence for R</w:t>
      </w:r>
      <w:r w:rsidRPr="2FA24842">
        <w:rPr>
          <w:rFonts w:eastAsia="Times New Roman"/>
          <w:noProof/>
          <w:lang w:val="en-US"/>
        </w:rPr>
        <w:t>&amp;</w:t>
      </w:r>
      <w:r w:rsidRPr="2FA24842">
        <w:rPr>
          <w:rFonts w:eastAsia="Times New Roman"/>
          <w:noProof/>
          <w:lang w:val="cs-CZ"/>
        </w:rPr>
        <w:t>I</w:t>
      </w:r>
      <w:r w:rsidRPr="2FA24842">
        <w:rPr>
          <w:rFonts w:eastAsia="Times New Roman"/>
          <w:noProof/>
          <w:lang w:val="en-IE"/>
        </w:rPr>
        <w:t xml:space="preserve">, the creation of an excellence programme and adoption of guidelines aiming at the harmonisation of rules for granting public R&amp;D&amp;I support. </w:t>
      </w:r>
    </w:p>
    <w:p w:rsidRPr="002F7C86" w:rsidR="00D87E44" w:rsidP="00D226F4" w:rsidRDefault="00D87E44" w14:paraId="15458820" w14:textId="77777777">
      <w:pPr>
        <w:spacing w:line="240" w:lineRule="auto"/>
        <w:jc w:val="both"/>
        <w:rPr>
          <w:rFonts w:eastAsia="Times New Roman"/>
          <w:noProof/>
          <w:lang w:val="en-IE"/>
        </w:rPr>
        <w:sectPr w:rsidRPr="002F7C86" w:rsidR="00C16C1F" w:rsidSect="00D226F4">
          <w:headerReference w:type="even" r:id="R39738c0e35fc4fa2"/>
          <w:headerReference w:type="default" r:id="Ra3beb58480a14d1e"/>
          <w:footerReference w:type="even" r:id="Rb1dc595e0df34bd2"/>
          <w:footerReference w:type="default" r:id="R328c9698a28d451e"/>
          <w:headerReference w:type="first" r:id="R2c958e30d96244ca"/>
          <w:footerReference w:type="first" r:id="R9f78c9e7dd5049f7"/>
          <w:pgSz w:w="11907" w:h="16839"/>
          <w:pgMar w:top="1134" w:right="1134" w:bottom="1134" w:left="1134" w:header="567" w:footer="567" w:gutter="0"/>
          <w:cols w:space="708"/>
          <w:docGrid w:linePitch="326"/>
        </w:sectPr>
      </w:pPr>
    </w:p>
    <w:p w:rsidRPr="00FE48E2" w:rsidR="00D87E44" w:rsidP="00D226F4" w:rsidRDefault="00D87E44" w14:paraId="15458821" w14:textId="77777777">
      <w:pPr>
        <w:tabs>
          <w:tab w:val="left" w:pos="993"/>
        </w:tabs>
        <w:spacing w:line="240" w:lineRule="auto"/>
        <w:jc w:val="both"/>
        <w:rPr>
          <w:b/>
          <w:bCs/>
          <w:noProof/>
          <w:u w:val="single"/>
          <w:lang w:val="en-IE"/>
        </w:rPr>
      </w:pPr>
      <w:r w:rsidRPr="1B282876">
        <w:rPr>
          <w:b/>
          <w:bCs/>
          <w:noProof/>
          <w:u w:val="single"/>
          <w:lang w:val="en-IE"/>
        </w:rPr>
        <w:lastRenderedPageBreak/>
        <w:t>BB.2. Milestones, targets, indicators, and timetable for monitoring and implementation for non-repayable financial support</w:t>
      </w:r>
    </w:p>
    <w:tbl>
      <w:tblPr>
        <w:tblW w:w="15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637"/>
        <w:gridCol w:w="1565"/>
        <w:gridCol w:w="1095"/>
        <w:gridCol w:w="1489"/>
        <w:gridCol w:w="1731"/>
        <w:gridCol w:w="955"/>
        <w:gridCol w:w="955"/>
        <w:gridCol w:w="955"/>
        <w:gridCol w:w="961"/>
        <w:gridCol w:w="719"/>
        <w:gridCol w:w="3959"/>
      </w:tblGrid>
      <w:tr w:rsidRPr="00FE48E2" w:rsidR="00E3458A" w14:paraId="1545882A" w14:textId="77777777">
        <w:trPr>
          <w:trHeight w:val="672"/>
          <w:tblHeader/>
          <w:jc w:val="center"/>
        </w:trPr>
        <w:tc>
          <w:tcPr>
            <w:tcW w:w="637" w:type="dxa"/>
            <w:vMerge w:val="restart"/>
            <w:shd w:val="clear" w:color="auto" w:fill="BDD7EE"/>
            <w:vAlign w:val="center"/>
            <w:hideMark/>
          </w:tcPr>
          <w:p w:rsidRPr="00FE48E2" w:rsidR="00D87E44" w:rsidRDefault="00D87E44" w14:paraId="1545882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565" w:type="dxa"/>
            <w:vMerge w:val="restart"/>
            <w:shd w:val="clear" w:color="auto" w:fill="BDD7EE"/>
            <w:vAlign w:val="center"/>
            <w:hideMark/>
          </w:tcPr>
          <w:p w:rsidRPr="00FE48E2" w:rsidR="00D87E44" w:rsidRDefault="00D87E44" w14:paraId="1545882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Related Measure </w:t>
            </w:r>
            <w:r w:rsidRPr="00FE48E2">
              <w:rPr>
                <w:rFonts w:eastAsia="Times New Roman"/>
                <w:b/>
                <w:noProof/>
                <w:sz w:val="18"/>
                <w:szCs w:val="18"/>
                <w:lang w:val="en-IE"/>
              </w:rPr>
              <w:t>(Reform or Investment)</w:t>
            </w:r>
          </w:p>
        </w:tc>
        <w:tc>
          <w:tcPr>
            <w:tcW w:w="1095" w:type="dxa"/>
            <w:vMerge w:val="restart"/>
            <w:shd w:val="clear" w:color="auto" w:fill="BDD7EE"/>
            <w:vAlign w:val="center"/>
            <w:hideMark/>
          </w:tcPr>
          <w:p w:rsidRPr="00FE48E2" w:rsidR="00D87E44" w:rsidRDefault="00D87E44" w14:paraId="1545882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89" w:type="dxa"/>
            <w:vMerge w:val="restart"/>
            <w:shd w:val="clear" w:color="auto" w:fill="BDD7EE"/>
            <w:vAlign w:val="center"/>
            <w:hideMark/>
          </w:tcPr>
          <w:p w:rsidRPr="00FE48E2" w:rsidR="00D87E44" w:rsidRDefault="00D87E44" w14:paraId="15458825"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31" w:type="dxa"/>
            <w:vMerge w:val="restart"/>
            <w:shd w:val="clear" w:color="auto" w:fill="BDD7EE"/>
            <w:vAlign w:val="center"/>
            <w:hideMark/>
          </w:tcPr>
          <w:p w:rsidRPr="00FE48E2" w:rsidR="00D87E44" w:rsidRDefault="00D87E44" w14:paraId="15458826"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865" w:type="dxa"/>
            <w:gridSpan w:val="3"/>
            <w:shd w:val="clear" w:color="auto" w:fill="BDD7EE"/>
            <w:vAlign w:val="center"/>
            <w:hideMark/>
          </w:tcPr>
          <w:p w:rsidRPr="00FE48E2" w:rsidR="00D87E44" w:rsidRDefault="00D87E44" w14:paraId="15458827"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680" w:type="dxa"/>
            <w:gridSpan w:val="2"/>
            <w:shd w:val="clear" w:color="auto" w:fill="BDD7EE"/>
            <w:vAlign w:val="center"/>
            <w:hideMark/>
          </w:tcPr>
          <w:p w:rsidRPr="00FE48E2" w:rsidR="00D87E44" w:rsidRDefault="00D87E44" w14:paraId="15458828"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959" w:type="dxa"/>
            <w:vMerge w:val="restart"/>
            <w:shd w:val="clear" w:color="auto" w:fill="BDD7EE"/>
            <w:vAlign w:val="center"/>
            <w:hideMark/>
          </w:tcPr>
          <w:p w:rsidRPr="00FE48E2" w:rsidR="00D87E44" w:rsidRDefault="00D87E44" w14:paraId="15458829"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836" w14:textId="77777777">
        <w:trPr>
          <w:trHeight w:val="458"/>
          <w:tblHeader/>
          <w:jc w:val="center"/>
        </w:trPr>
        <w:tc>
          <w:tcPr>
            <w:tcW w:w="637" w:type="dxa"/>
            <w:vMerge/>
            <w:vAlign w:val="center"/>
            <w:hideMark/>
          </w:tcPr>
          <w:p w:rsidRPr="00FE48E2" w:rsidR="00D87E44" w:rsidRDefault="00D87E44" w14:paraId="1545882B" w14:textId="77777777">
            <w:pPr>
              <w:spacing w:before="0" w:after="0" w:line="240" w:lineRule="auto"/>
              <w:rPr>
                <w:rFonts w:eastAsia="Times New Roman"/>
                <w:b/>
                <w:noProof/>
                <w:sz w:val="18"/>
                <w:szCs w:val="18"/>
                <w:lang w:val="en-IE"/>
              </w:rPr>
            </w:pPr>
          </w:p>
        </w:tc>
        <w:tc>
          <w:tcPr>
            <w:tcW w:w="1565" w:type="dxa"/>
            <w:vMerge/>
            <w:vAlign w:val="center"/>
            <w:hideMark/>
          </w:tcPr>
          <w:p w:rsidRPr="00FE48E2" w:rsidR="00D87E44" w:rsidRDefault="00D87E44" w14:paraId="1545882C" w14:textId="77777777">
            <w:pPr>
              <w:spacing w:before="0" w:after="0" w:line="240" w:lineRule="auto"/>
              <w:rPr>
                <w:rFonts w:eastAsia="Times New Roman"/>
                <w:b/>
                <w:noProof/>
                <w:sz w:val="18"/>
                <w:szCs w:val="18"/>
                <w:lang w:val="en-IE"/>
              </w:rPr>
            </w:pPr>
          </w:p>
        </w:tc>
        <w:tc>
          <w:tcPr>
            <w:tcW w:w="1095" w:type="dxa"/>
            <w:vMerge/>
            <w:vAlign w:val="center"/>
            <w:hideMark/>
          </w:tcPr>
          <w:p w:rsidRPr="00FE48E2" w:rsidR="00D87E44" w:rsidRDefault="00D87E44" w14:paraId="1545882D" w14:textId="77777777">
            <w:pPr>
              <w:spacing w:before="0" w:after="0" w:line="240" w:lineRule="auto"/>
              <w:rPr>
                <w:rFonts w:eastAsia="Times New Roman"/>
                <w:b/>
                <w:noProof/>
                <w:sz w:val="18"/>
                <w:szCs w:val="18"/>
                <w:lang w:val="en-IE"/>
              </w:rPr>
            </w:pPr>
          </w:p>
        </w:tc>
        <w:tc>
          <w:tcPr>
            <w:tcW w:w="1489" w:type="dxa"/>
            <w:vMerge/>
            <w:vAlign w:val="center"/>
            <w:hideMark/>
          </w:tcPr>
          <w:p w:rsidRPr="00FE48E2" w:rsidR="00D87E44" w:rsidRDefault="00D87E44" w14:paraId="1545882E" w14:textId="77777777">
            <w:pPr>
              <w:spacing w:before="0" w:after="0" w:line="240" w:lineRule="auto"/>
              <w:rPr>
                <w:rFonts w:eastAsia="Times New Roman"/>
                <w:b/>
                <w:noProof/>
                <w:sz w:val="18"/>
                <w:szCs w:val="18"/>
                <w:lang w:val="en-IE"/>
              </w:rPr>
            </w:pPr>
          </w:p>
        </w:tc>
        <w:tc>
          <w:tcPr>
            <w:tcW w:w="1731" w:type="dxa"/>
            <w:vMerge/>
            <w:vAlign w:val="center"/>
            <w:hideMark/>
          </w:tcPr>
          <w:p w:rsidRPr="00FE48E2" w:rsidR="00D87E44" w:rsidRDefault="00D87E44" w14:paraId="1545882F" w14:textId="77777777">
            <w:pPr>
              <w:spacing w:before="0" w:after="0" w:line="240" w:lineRule="auto"/>
              <w:rPr>
                <w:rFonts w:eastAsia="Times New Roman"/>
                <w:b/>
                <w:noProof/>
                <w:sz w:val="18"/>
                <w:szCs w:val="18"/>
                <w:lang w:val="en-IE"/>
              </w:rPr>
            </w:pPr>
          </w:p>
        </w:tc>
        <w:tc>
          <w:tcPr>
            <w:tcW w:w="955" w:type="dxa"/>
            <w:shd w:val="clear" w:color="auto" w:fill="BDD7EE"/>
            <w:vAlign w:val="center"/>
            <w:hideMark/>
          </w:tcPr>
          <w:p w:rsidRPr="00290CF7" w:rsidR="00D87E44" w:rsidRDefault="00D87E44" w14:paraId="15458830" w14:textId="77777777">
            <w:pPr>
              <w:spacing w:before="0" w:after="0" w:line="240" w:lineRule="auto"/>
              <w:jc w:val="center"/>
              <w:rPr>
                <w:rFonts w:eastAsia="Times New Roman"/>
                <w:b/>
                <w:noProof/>
                <w:sz w:val="18"/>
                <w:szCs w:val="18"/>
                <w:lang w:val="en-IE"/>
              </w:rPr>
            </w:pPr>
            <w:r w:rsidRPr="00290CF7">
              <w:rPr>
                <w:rFonts w:eastAsia="Times New Roman"/>
                <w:b/>
                <w:noProof/>
                <w:sz w:val="18"/>
                <w:szCs w:val="18"/>
                <w:lang w:val="en-IE"/>
              </w:rPr>
              <w:t>Unit of measure</w:t>
            </w:r>
          </w:p>
        </w:tc>
        <w:tc>
          <w:tcPr>
            <w:tcW w:w="955" w:type="dxa"/>
            <w:shd w:val="clear" w:color="auto" w:fill="BDD7EE"/>
            <w:vAlign w:val="center"/>
            <w:hideMark/>
          </w:tcPr>
          <w:p w:rsidRPr="00290CF7" w:rsidR="00D87E44" w:rsidRDefault="00D87E44" w14:paraId="15458831" w14:textId="77777777">
            <w:pPr>
              <w:spacing w:before="0" w:after="0" w:line="240" w:lineRule="auto"/>
              <w:jc w:val="center"/>
              <w:rPr>
                <w:rFonts w:eastAsia="Times New Roman"/>
                <w:b/>
                <w:noProof/>
                <w:sz w:val="18"/>
                <w:szCs w:val="18"/>
                <w:lang w:val="en-IE"/>
              </w:rPr>
            </w:pPr>
            <w:r w:rsidRPr="00290CF7">
              <w:rPr>
                <w:rFonts w:eastAsia="Times New Roman"/>
                <w:b/>
                <w:noProof/>
                <w:sz w:val="18"/>
                <w:szCs w:val="18"/>
                <w:lang w:val="en-IE"/>
              </w:rPr>
              <w:t xml:space="preserve">Baseline </w:t>
            </w:r>
          </w:p>
        </w:tc>
        <w:tc>
          <w:tcPr>
            <w:tcW w:w="955" w:type="dxa"/>
            <w:shd w:val="clear" w:color="auto" w:fill="BDD7EE"/>
            <w:vAlign w:val="center"/>
            <w:hideMark/>
          </w:tcPr>
          <w:p w:rsidRPr="00290CF7" w:rsidR="00D87E44" w:rsidRDefault="00D87E44" w14:paraId="15458832" w14:textId="77777777">
            <w:pPr>
              <w:spacing w:before="0" w:after="0" w:line="240" w:lineRule="auto"/>
              <w:jc w:val="center"/>
              <w:rPr>
                <w:rFonts w:eastAsia="Times New Roman"/>
                <w:b/>
                <w:noProof/>
                <w:sz w:val="18"/>
                <w:szCs w:val="18"/>
                <w:lang w:val="en-IE"/>
              </w:rPr>
            </w:pPr>
            <w:r w:rsidRPr="00290CF7">
              <w:rPr>
                <w:rFonts w:eastAsia="Times New Roman"/>
                <w:b/>
                <w:noProof/>
                <w:sz w:val="18"/>
                <w:szCs w:val="18"/>
                <w:lang w:val="en-IE"/>
              </w:rPr>
              <w:t xml:space="preserve">Goal </w:t>
            </w:r>
          </w:p>
        </w:tc>
        <w:tc>
          <w:tcPr>
            <w:tcW w:w="961" w:type="dxa"/>
            <w:shd w:val="clear" w:color="auto" w:fill="BDD7EE"/>
            <w:vAlign w:val="center"/>
            <w:hideMark/>
          </w:tcPr>
          <w:p w:rsidRPr="00290CF7" w:rsidR="00D87E44" w:rsidRDefault="00D87E44" w14:paraId="15458833" w14:textId="77777777">
            <w:pPr>
              <w:spacing w:before="0" w:after="0" w:line="240" w:lineRule="auto"/>
              <w:jc w:val="center"/>
              <w:rPr>
                <w:rFonts w:eastAsia="Times New Roman"/>
                <w:b/>
                <w:noProof/>
                <w:sz w:val="18"/>
                <w:szCs w:val="18"/>
                <w:lang w:val="en-IE"/>
              </w:rPr>
            </w:pPr>
            <w:r w:rsidRPr="00290CF7">
              <w:rPr>
                <w:rFonts w:eastAsia="Times New Roman"/>
                <w:b/>
                <w:noProof/>
                <w:sz w:val="18"/>
                <w:szCs w:val="18"/>
                <w:lang w:val="en-IE"/>
              </w:rPr>
              <w:t>Quarter</w:t>
            </w:r>
          </w:p>
        </w:tc>
        <w:tc>
          <w:tcPr>
            <w:tcW w:w="719" w:type="dxa"/>
            <w:shd w:val="clear" w:color="auto" w:fill="BDD7EE"/>
            <w:vAlign w:val="center"/>
            <w:hideMark/>
          </w:tcPr>
          <w:p w:rsidRPr="00290CF7" w:rsidR="00D87E44" w:rsidRDefault="00D87E44" w14:paraId="15458834" w14:textId="77777777">
            <w:pPr>
              <w:spacing w:before="0" w:after="0" w:line="240" w:lineRule="auto"/>
              <w:jc w:val="center"/>
              <w:rPr>
                <w:rFonts w:eastAsia="Times New Roman"/>
                <w:b/>
                <w:noProof/>
                <w:sz w:val="18"/>
                <w:szCs w:val="18"/>
                <w:lang w:val="en-IE"/>
              </w:rPr>
            </w:pPr>
            <w:r w:rsidRPr="00290CF7">
              <w:rPr>
                <w:rFonts w:eastAsia="Times New Roman"/>
                <w:b/>
                <w:noProof/>
                <w:sz w:val="18"/>
                <w:szCs w:val="18"/>
                <w:lang w:val="en-IE"/>
              </w:rPr>
              <w:t>Year</w:t>
            </w:r>
          </w:p>
        </w:tc>
        <w:tc>
          <w:tcPr>
            <w:tcW w:w="3959" w:type="dxa"/>
            <w:vMerge/>
            <w:vAlign w:val="center"/>
            <w:hideMark/>
          </w:tcPr>
          <w:p w:rsidRPr="00FE48E2" w:rsidR="00D87E44" w:rsidRDefault="00D87E44" w14:paraId="15458835" w14:textId="77777777">
            <w:pPr>
              <w:spacing w:before="0" w:after="0" w:line="240" w:lineRule="auto"/>
              <w:rPr>
                <w:rFonts w:eastAsia="Times New Roman"/>
                <w:b/>
                <w:noProof/>
                <w:sz w:val="18"/>
                <w:szCs w:val="18"/>
                <w:lang w:val="en-IE"/>
              </w:rPr>
            </w:pPr>
          </w:p>
        </w:tc>
      </w:tr>
      <w:tr w:rsidRPr="00FE48E2" w:rsidR="00E3458A" w14:paraId="15458846" w14:textId="77777777">
        <w:trPr>
          <w:trHeight w:val="309"/>
          <w:jc w:val="center"/>
        </w:trPr>
        <w:tc>
          <w:tcPr>
            <w:tcW w:w="637" w:type="dxa"/>
            <w:shd w:val="clear" w:color="auto" w:fill="C6EFCE"/>
            <w:hideMark/>
          </w:tcPr>
          <w:p w:rsidRPr="00FE48E2" w:rsidR="00D87E44" w:rsidRDefault="00D87E44" w14:paraId="15458837" w14:textId="77777777">
            <w:pPr>
              <w:spacing w:before="0" w:after="0" w:line="240" w:lineRule="auto"/>
              <w:rPr>
                <w:noProof/>
              </w:rPr>
            </w:pPr>
            <w:r w:rsidRPr="1B282876">
              <w:rPr>
                <w:rFonts w:eastAsia="Times New Roman"/>
                <w:noProof/>
                <w:color w:val="006100"/>
                <w:sz w:val="18"/>
                <w:szCs w:val="18"/>
                <w:lang w:val="en-IE"/>
              </w:rPr>
              <w:t>298</w:t>
            </w:r>
          </w:p>
        </w:tc>
        <w:tc>
          <w:tcPr>
            <w:tcW w:w="1565" w:type="dxa"/>
            <w:shd w:val="clear" w:color="auto" w:fill="C6EFCE"/>
            <w:hideMark/>
          </w:tcPr>
          <w:p w:rsidRPr="00FE48E2" w:rsidR="00D87E44" w:rsidRDefault="00D87E44" w14:paraId="1545883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1: </w:t>
            </w:r>
          </w:p>
          <w:p w:rsidRPr="00FE48E2" w:rsidR="00D87E44" w:rsidRDefault="00D87E44" w14:paraId="15458839"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A strategically managed and internationally competitive R &amp; D &amp; I ecosystem</w:t>
            </w:r>
          </w:p>
        </w:tc>
        <w:tc>
          <w:tcPr>
            <w:tcW w:w="1095" w:type="dxa"/>
            <w:shd w:val="clear" w:color="auto" w:fill="C6EFCE"/>
            <w:hideMark/>
          </w:tcPr>
          <w:p w:rsidRPr="00FE48E2" w:rsidR="00D87E44" w:rsidRDefault="00D87E44" w14:paraId="1545883A"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Milestone </w:t>
            </w:r>
          </w:p>
        </w:tc>
        <w:tc>
          <w:tcPr>
            <w:tcW w:w="1489" w:type="dxa"/>
            <w:shd w:val="clear" w:color="auto" w:fill="C6EFCE"/>
            <w:hideMark/>
          </w:tcPr>
          <w:p w:rsidRPr="00FE48E2" w:rsidR="00D87E44" w:rsidRDefault="00D87E44" w14:paraId="1545883B" w14:textId="77777777">
            <w:pPr>
              <w:spacing w:before="0" w:after="0" w:line="240" w:lineRule="auto"/>
              <w:rPr>
                <w:rFonts w:eastAsia="Times New Roman"/>
                <w:noProof/>
                <w:sz w:val="18"/>
                <w:szCs w:val="18"/>
                <w:lang w:val="en-IE"/>
              </w:rPr>
            </w:pPr>
            <w:r w:rsidRPr="00FE48E2">
              <w:rPr>
                <w:rFonts w:eastAsia="Times New Roman"/>
                <w:noProof/>
                <w:color w:val="006100"/>
                <w:sz w:val="18"/>
                <w:szCs w:val="18"/>
                <w:lang w:val="en-IE"/>
              </w:rPr>
              <w:t xml:space="preserve">Adoption of Government Resolutions and </w:t>
            </w:r>
            <w:r>
              <w:rPr>
                <w:rFonts w:eastAsia="Times New Roman"/>
                <w:noProof/>
                <w:color w:val="006100"/>
                <w:sz w:val="18"/>
                <w:szCs w:val="18"/>
                <w:lang w:val="en-IE"/>
              </w:rPr>
              <w:t>of methodological g</w:t>
            </w:r>
            <w:r w:rsidRPr="00FE48E2">
              <w:rPr>
                <w:rFonts w:eastAsia="Times New Roman"/>
                <w:noProof/>
                <w:color w:val="006100"/>
                <w:sz w:val="18"/>
                <w:szCs w:val="18"/>
                <w:lang w:val="en-IE"/>
              </w:rPr>
              <w:t>uideline</w:t>
            </w:r>
          </w:p>
        </w:tc>
        <w:tc>
          <w:tcPr>
            <w:tcW w:w="1731" w:type="dxa"/>
            <w:shd w:val="clear" w:color="auto" w:fill="C6EFCE"/>
            <w:hideMark/>
          </w:tcPr>
          <w:p w:rsidRPr="00FE48E2" w:rsidR="00D87E44" w:rsidRDefault="00D87E44" w14:paraId="1545883C"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Adoption of Government Resolutions and </w:t>
            </w:r>
            <w:r>
              <w:rPr>
                <w:rFonts w:eastAsia="Times New Roman"/>
                <w:noProof/>
                <w:color w:val="006100"/>
                <w:sz w:val="18"/>
                <w:szCs w:val="18"/>
                <w:lang w:val="en-IE"/>
              </w:rPr>
              <w:t>of methodological g</w:t>
            </w:r>
            <w:r w:rsidRPr="00FE48E2">
              <w:rPr>
                <w:rFonts w:eastAsia="Times New Roman"/>
                <w:noProof/>
                <w:color w:val="006100"/>
                <w:sz w:val="18"/>
                <w:szCs w:val="18"/>
                <w:lang w:val="en-IE"/>
              </w:rPr>
              <w:t>uideline</w:t>
            </w:r>
          </w:p>
        </w:tc>
        <w:tc>
          <w:tcPr>
            <w:tcW w:w="955" w:type="dxa"/>
            <w:shd w:val="clear" w:color="auto" w:fill="C6EFCE"/>
          </w:tcPr>
          <w:p w:rsidRPr="00FE48E2" w:rsidR="00D87E44" w:rsidRDefault="00D87E44" w14:paraId="1545883D"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83E"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83F"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61" w:type="dxa"/>
            <w:shd w:val="clear" w:color="auto" w:fill="C6EFCE"/>
            <w:hideMark/>
          </w:tcPr>
          <w:p w:rsidRPr="00FE48E2" w:rsidR="00D87E44" w:rsidRDefault="00D87E44" w14:paraId="15458840"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Q2</w:t>
            </w:r>
          </w:p>
        </w:tc>
        <w:tc>
          <w:tcPr>
            <w:tcW w:w="719" w:type="dxa"/>
            <w:shd w:val="clear" w:color="auto" w:fill="C6EFCE"/>
            <w:hideMark/>
          </w:tcPr>
          <w:p w:rsidRPr="00FE48E2" w:rsidR="00D87E44" w:rsidRDefault="00D87E44" w14:paraId="15458841"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2025</w:t>
            </w:r>
          </w:p>
        </w:tc>
        <w:tc>
          <w:tcPr>
            <w:tcW w:w="3959" w:type="dxa"/>
            <w:shd w:val="clear" w:color="auto" w:fill="C6EFCE"/>
            <w:hideMark/>
          </w:tcPr>
          <w:p w:rsidRPr="00FF1320" w:rsidR="00D87E44" w:rsidRDefault="00D87E44" w14:paraId="15458842" w14:textId="77777777">
            <w:pPr>
              <w:spacing w:before="0" w:after="0" w:line="240" w:lineRule="auto"/>
              <w:rPr>
                <w:color w:val="006100"/>
                <w:kern w:val="2"/>
                <w:sz w:val="18"/>
                <w:lang w:val="en-IE"/>
              </w:rPr>
            </w:pPr>
            <w:r w:rsidRPr="00FF1320">
              <w:rPr>
                <w:color w:val="006100"/>
                <w:kern w:val="2"/>
                <w:sz w:val="18"/>
                <w:lang w:val="en-IE"/>
              </w:rPr>
              <w:t>The reform shall include the following actions:</w:t>
            </w:r>
          </w:p>
          <w:p w:rsidRPr="00EA3462" w:rsidR="00D87E44" w:rsidP="00FF1320" w:rsidRDefault="00D87E44" w14:paraId="15458843" w14:textId="77777777">
            <w:pPr>
              <w:pStyle w:val="ListParagraph"/>
              <w:numPr>
                <w:ilvl w:val="0"/>
                <w:numId w:val="81"/>
              </w:numPr>
              <w:spacing w:before="0" w:after="0" w:line="259" w:lineRule="auto"/>
              <w:rPr>
                <w:rFonts w:eastAsia="Times New Roman"/>
                <w:noProof/>
                <w:color w:val="006100"/>
                <w:sz w:val="18"/>
                <w:szCs w:val="18"/>
                <w:lang w:val="en-IE"/>
              </w:rPr>
            </w:pPr>
            <w:r w:rsidRPr="00E3458A">
              <w:rPr>
                <w:color w:val="006100"/>
                <w:sz w:val="18"/>
                <w:lang w:val="en-IE"/>
              </w:rPr>
              <w:t xml:space="preserve">Adoption of a Government Resolution creating a shared activities project </w:t>
            </w:r>
            <w:r>
              <w:rPr>
                <w:rFonts w:eastAsia="Times New Roman"/>
                <w:noProof/>
                <w:color w:val="006100"/>
                <w:sz w:val="18"/>
                <w:szCs w:val="18"/>
                <w:lang w:val="en-IE"/>
              </w:rPr>
              <w:t>on</w:t>
            </w:r>
            <w:r w:rsidRPr="00E3458A">
              <w:rPr>
                <w:color w:val="006100"/>
                <w:sz w:val="18"/>
                <w:lang w:val="en-IE"/>
              </w:rPr>
              <w:t xml:space="preserve"> strategic intelligence for research </w:t>
            </w:r>
            <w:r>
              <w:rPr>
                <w:rFonts w:eastAsia="Times New Roman"/>
                <w:noProof/>
                <w:color w:val="006100"/>
                <w:sz w:val="18"/>
                <w:szCs w:val="18"/>
                <w:lang w:val="en-IE"/>
              </w:rPr>
              <w:t>and innovation</w:t>
            </w:r>
            <w:r w:rsidRPr="00FE48E2">
              <w:rPr>
                <w:rFonts w:eastAsia="Times New Roman"/>
                <w:noProof/>
                <w:color w:val="006100"/>
                <w:sz w:val="18"/>
                <w:szCs w:val="18"/>
                <w:lang w:val="en-IE"/>
              </w:rPr>
              <w:t xml:space="preserve">. </w:t>
            </w:r>
          </w:p>
          <w:p w:rsidRPr="00FF1320" w:rsidR="00D87E44" w:rsidP="00FF1320" w:rsidRDefault="00D87E44" w14:paraId="15458844" w14:textId="77777777">
            <w:pPr>
              <w:pStyle w:val="ListParagraph"/>
              <w:numPr>
                <w:ilvl w:val="0"/>
                <w:numId w:val="81"/>
              </w:numPr>
              <w:spacing w:before="0" w:after="0" w:line="259" w:lineRule="auto"/>
              <w:rPr>
                <w:lang w:val="en-US"/>
              </w:rPr>
            </w:pPr>
            <w:r w:rsidRPr="00E3458A">
              <w:rPr>
                <w:color w:val="006100"/>
                <w:sz w:val="18"/>
                <w:lang w:val="en-IE"/>
              </w:rPr>
              <w:t>Adoption of a Government Resolution creating a programme</w:t>
            </w:r>
            <w:r>
              <w:rPr>
                <w:rFonts w:eastAsia="Times New Roman"/>
                <w:noProof/>
                <w:color w:val="006100"/>
                <w:sz w:val="18"/>
                <w:szCs w:val="18"/>
                <w:lang w:val="en-IE"/>
              </w:rPr>
              <w:t xml:space="preserve"> supporting the creation and cultivation of systemic conditions for developing excellence</w:t>
            </w:r>
            <w:r w:rsidRPr="00E6515D">
              <w:rPr>
                <w:rFonts w:eastAsia="Times New Roman"/>
                <w:noProof/>
                <w:color w:val="006100"/>
                <w:sz w:val="18"/>
                <w:szCs w:val="18"/>
                <w:lang w:val="en-IE"/>
              </w:rPr>
              <w:t>.</w:t>
            </w:r>
          </w:p>
          <w:p w:rsidRPr="00FE48E2" w:rsidR="00D87E44" w:rsidP="00FF1320" w:rsidRDefault="00D87E44" w14:paraId="15458845" w14:textId="77777777">
            <w:pPr>
              <w:pStyle w:val="ListParagraph"/>
              <w:numPr>
                <w:ilvl w:val="0"/>
                <w:numId w:val="81"/>
              </w:numPr>
              <w:spacing w:before="0" w:after="0" w:line="259" w:lineRule="auto"/>
              <w:rPr>
                <w:rFonts w:eastAsia="Times New Roman"/>
                <w:noProof/>
                <w:color w:val="004300"/>
                <w:sz w:val="18"/>
                <w:szCs w:val="18"/>
                <w:lang w:val="en-IE"/>
              </w:rPr>
            </w:pPr>
            <w:r w:rsidRPr="00E3458A">
              <w:rPr>
                <w:color w:val="006100"/>
                <w:sz w:val="18"/>
                <w:lang w:val="en-IE"/>
              </w:rPr>
              <w:t>Adoption of a methodological guideline</w:t>
            </w:r>
            <w:r w:rsidRPr="6773B191">
              <w:rPr>
                <w:rFonts w:eastAsia="Times New Roman"/>
                <w:noProof/>
                <w:color w:val="006100"/>
                <w:sz w:val="18"/>
                <w:szCs w:val="18"/>
                <w:lang w:val="en-IE"/>
              </w:rPr>
              <w:t xml:space="preserve"> </w:t>
            </w:r>
            <w:r w:rsidRPr="76D79C2F">
              <w:rPr>
                <w:rFonts w:eastAsia="Times New Roman"/>
                <w:noProof/>
                <w:color w:val="006100"/>
                <w:sz w:val="18"/>
                <w:szCs w:val="18"/>
                <w:lang w:val="en-IE"/>
              </w:rPr>
              <w:t xml:space="preserve">by the Council for Research, </w:t>
            </w:r>
            <w:r w:rsidRPr="37C15379">
              <w:rPr>
                <w:rFonts w:eastAsia="Times New Roman"/>
                <w:noProof/>
                <w:color w:val="006100"/>
                <w:sz w:val="18"/>
                <w:szCs w:val="18"/>
                <w:lang w:val="en-IE"/>
              </w:rPr>
              <w:t xml:space="preserve">Development and Innovation </w:t>
            </w:r>
            <w:r w:rsidRPr="00EA3462">
              <w:rPr>
                <w:rFonts w:eastAsia="Times New Roman"/>
                <w:noProof/>
                <w:color w:val="006100"/>
                <w:sz w:val="18"/>
                <w:szCs w:val="18"/>
                <w:lang w:val="en-IE"/>
              </w:rPr>
              <w:t>aiming at the harmonisation of</w:t>
            </w:r>
            <w:r w:rsidRPr="008C7FAF">
              <w:rPr>
                <w:rFonts w:eastAsia="Times New Roman"/>
                <w:noProof/>
                <w:color w:val="006100"/>
                <w:sz w:val="18"/>
                <w:szCs w:val="18"/>
                <w:lang w:val="en-IE"/>
              </w:rPr>
              <w:t xml:space="preserve"> </w:t>
            </w:r>
            <w:r w:rsidRPr="00E3458A">
              <w:rPr>
                <w:color w:val="006100"/>
                <w:sz w:val="18"/>
                <w:lang w:val="en-IE"/>
              </w:rPr>
              <w:t xml:space="preserve">rules </w:t>
            </w:r>
            <w:r w:rsidRPr="008C7FAF">
              <w:rPr>
                <w:rFonts w:eastAsia="Times New Roman"/>
                <w:noProof/>
                <w:color w:val="006100"/>
                <w:sz w:val="18"/>
                <w:szCs w:val="18"/>
                <w:lang w:val="en-IE"/>
              </w:rPr>
              <w:t xml:space="preserve">and methodological environment </w:t>
            </w:r>
            <w:r w:rsidRPr="00E3458A">
              <w:rPr>
                <w:color w:val="006100"/>
                <w:sz w:val="18"/>
                <w:lang w:val="en-IE"/>
              </w:rPr>
              <w:t xml:space="preserve">for the provision of </w:t>
            </w:r>
            <w:r w:rsidRPr="008C7FAF">
              <w:rPr>
                <w:rFonts w:eastAsia="Times New Roman"/>
                <w:noProof/>
                <w:color w:val="006100"/>
                <w:sz w:val="18"/>
                <w:szCs w:val="18"/>
                <w:lang w:val="en-IE"/>
              </w:rPr>
              <w:t xml:space="preserve">support for research, development </w:t>
            </w:r>
            <w:r w:rsidRPr="00E3458A">
              <w:rPr>
                <w:color w:val="006100"/>
                <w:sz w:val="18"/>
                <w:lang w:val="en-IE"/>
              </w:rPr>
              <w:t xml:space="preserve">and </w:t>
            </w:r>
            <w:r w:rsidRPr="008C7FAF">
              <w:rPr>
                <w:rFonts w:eastAsia="Times New Roman"/>
                <w:noProof/>
                <w:color w:val="006100"/>
                <w:sz w:val="18"/>
                <w:szCs w:val="18"/>
                <w:lang w:val="en-IE"/>
              </w:rPr>
              <w:t>innovation across various support providers.</w:t>
            </w:r>
          </w:p>
        </w:tc>
      </w:tr>
    </w:tbl>
    <w:p w:rsidRPr="00FE48E2" w:rsidR="00D87E44" w:rsidP="00D226F4" w:rsidRDefault="00D87E44" w14:paraId="15458847" w14:textId="77777777">
      <w:pPr>
        <w:tabs>
          <w:tab w:val="left" w:pos="993"/>
        </w:tabs>
        <w:spacing w:line="240" w:lineRule="auto"/>
        <w:jc w:val="both"/>
        <w:rPr>
          <w:b/>
          <w:noProof/>
          <w:u w:val="single"/>
          <w:lang w:val="en-IE"/>
        </w:rPr>
      </w:pPr>
    </w:p>
    <w:p w:rsidRPr="00FE48E2" w:rsidR="00D87E44" w:rsidP="00D226F4" w:rsidRDefault="00D87E44" w14:paraId="15458848" w14:textId="77777777">
      <w:pPr>
        <w:tabs>
          <w:tab w:val="left" w:pos="993"/>
        </w:tabs>
        <w:spacing w:line="240" w:lineRule="auto"/>
        <w:jc w:val="both"/>
        <w:rPr>
          <w:b/>
          <w:noProof/>
          <w:u w:val="single"/>
          <w:lang w:val="en-IE"/>
        </w:rPr>
      </w:pPr>
    </w:p>
    <w:p w:rsidRPr="00FE48E2" w:rsidR="00D87E44" w:rsidP="00D226F4" w:rsidRDefault="00D87E44" w14:paraId="15458849" w14:textId="77777777">
      <w:pPr>
        <w:rPr>
          <w:noProof/>
          <w:lang w:val="en-IE"/>
        </w:rPr>
        <w:sectPr w:rsidRPr="00FE48E2" w:rsidR="00C16C1F" w:rsidSect="00D226F4">
          <w:headerReference w:type="even" r:id="Refa566097da44cc9"/>
          <w:headerReference w:type="default" r:id="Rd2ab69c770f24a1a"/>
          <w:footerReference w:type="even" r:id="Rbe1ae4cd22cd4212"/>
          <w:footerReference w:type="default" r:id="Rd5817c8966c34159"/>
          <w:headerReference w:type="first" r:id="Rabdfd57bfc6d4105"/>
          <w:footerReference w:type="first" r:id="R97a6666b2329410b"/>
          <w:pgSz w:w="16839" w:h="11907" w:orient="landscape"/>
          <w:pgMar w:top="1134" w:right="1134" w:bottom="1134" w:left="1134" w:header="567" w:footer="567" w:gutter="0"/>
          <w:cols w:space="708"/>
          <w:docGrid w:linePitch="326"/>
        </w:sectPr>
      </w:pPr>
    </w:p>
    <w:p w:rsidRPr="00FE48E2" w:rsidR="00D87E44" w:rsidP="00D226F4" w:rsidRDefault="00D87E44" w14:paraId="1545884A" w14:textId="77777777">
      <w:pPr>
        <w:keepNext/>
        <w:spacing w:line="240" w:lineRule="auto"/>
        <w:jc w:val="both"/>
        <w:outlineLvl w:val="0"/>
        <w:rPr>
          <w:rFonts w:eastAsia="Times New Roman"/>
          <w:b/>
          <w:bCs/>
          <w:smallCaps/>
          <w:noProof/>
          <w:lang w:val="en-IE"/>
        </w:rPr>
      </w:pPr>
      <w:r w:rsidRPr="1B282876">
        <w:rPr>
          <w:rFonts w:eastAsia="Times New Roman"/>
          <w:b/>
          <w:bCs/>
          <w:smallCaps/>
          <w:noProof/>
          <w:lang w:val="en-IE"/>
        </w:rPr>
        <w:lastRenderedPageBreak/>
        <w:t xml:space="preserve">CC. COMPONENT 6.1: Increasing Resilience of the Health System </w:t>
      </w:r>
    </w:p>
    <w:p w:rsidRPr="00FE48E2" w:rsidR="00D87E44" w:rsidP="00D226F4" w:rsidRDefault="00D87E44" w14:paraId="1545884B" w14:textId="77777777">
      <w:pPr>
        <w:spacing w:line="240" w:lineRule="auto"/>
        <w:jc w:val="both"/>
        <w:rPr>
          <w:noProof/>
          <w:szCs w:val="24"/>
          <w:lang w:val="en-IE"/>
        </w:rPr>
      </w:pPr>
      <w:r w:rsidRPr="00FE48E2">
        <w:rPr>
          <w:noProof/>
          <w:szCs w:val="24"/>
          <w:lang w:val="en-IE"/>
        </w:rPr>
        <w:t xml:space="preserve">This component </w:t>
      </w:r>
      <w:r w:rsidRPr="00FE48E2">
        <w:rPr>
          <w:rFonts w:eastAsia="Times New Roman"/>
          <w:noProof/>
          <w:szCs w:val="24"/>
          <w:lang w:val="en-IE"/>
        </w:rPr>
        <w:t xml:space="preserve">of the Czech recovery and resilience plan </w:t>
      </w:r>
      <w:r w:rsidRPr="00FE48E2">
        <w:rPr>
          <w:noProof/>
          <w:szCs w:val="24"/>
          <w:lang w:val="en-IE"/>
        </w:rPr>
        <w:t xml:space="preserve">addresses the challenge of strengthening the resilience of the health system by investing in healthcare infrastructure and improving the education of health workers in acute care. With respect to healthcare infrastructure, the objective is to increase availability and quality of rehabilitation care for patients recovering from critical conditions </w:t>
      </w:r>
      <w:r w:rsidRPr="00FE48E2">
        <w:rPr>
          <w:rFonts w:eastAsia="Times New Roman"/>
          <w:noProof/>
          <w:szCs w:val="24"/>
          <w:lang w:val="en-IE"/>
        </w:rPr>
        <w:t>(acute medical conditions)</w:t>
      </w:r>
      <w:r w:rsidRPr="00FE48E2">
        <w:rPr>
          <w:noProof/>
          <w:szCs w:val="24"/>
          <w:lang w:val="en-IE"/>
        </w:rPr>
        <w:t>, which proved insufficient during the pandemic. Also, the component aims at addressing the lack of highly specialised diagnosis tools an</w:t>
      </w:r>
      <w:r w:rsidRPr="00FE48E2">
        <w:rPr>
          <w:noProof/>
          <w:szCs w:val="24"/>
          <w:lang w:val="en-IE"/>
        </w:rPr>
        <w:t>d treatment of serious cardiovascular diseases, including transplant medicine. With respect to the education of healthcare personnel, systemic measures and investment are foreseen to tackle the growing shortage of healthcare workers.</w:t>
      </w:r>
    </w:p>
    <w:p w:rsidRPr="00FE48E2" w:rsidR="00D87E44" w:rsidP="00D226F4" w:rsidRDefault="00D87E44" w14:paraId="1545884C" w14:textId="77777777">
      <w:pPr>
        <w:spacing w:line="240" w:lineRule="auto"/>
        <w:jc w:val="both"/>
        <w:rPr>
          <w:noProof/>
          <w:szCs w:val="24"/>
          <w:lang w:val="en-IE"/>
        </w:rPr>
      </w:pPr>
      <w:r w:rsidRPr="00FE48E2">
        <w:rPr>
          <w:noProof/>
          <w:szCs w:val="24"/>
          <w:lang w:val="en-IE"/>
        </w:rPr>
        <w:t>The component contributes to addressing the country-specific recommendation 1, 2020, according to which Czechia shall ensure the resilience of the health system, strengthen the availability of health workers, primary care and the integration of care, and deployment of e-health services.</w:t>
      </w:r>
    </w:p>
    <w:p w:rsidRPr="00FE48E2" w:rsidR="00D87E44" w:rsidP="00D226F4" w:rsidRDefault="00D87E44" w14:paraId="1545884D" w14:textId="77777777">
      <w:pPr>
        <w:spacing w:line="240" w:lineRule="auto"/>
        <w:jc w:val="both"/>
        <w:rPr>
          <w:noProof/>
          <w:szCs w:val="24"/>
          <w:lang w:val="en-IE"/>
        </w:rPr>
      </w:pPr>
      <w:r w:rsidRPr="00FE48E2">
        <w:rPr>
          <w:noProof/>
          <w:szCs w:val="24"/>
          <w:lang w:val="en-IE"/>
        </w:rPr>
        <w:t>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w:t>
      </w:r>
    </w:p>
    <w:p w:rsidRPr="00FE48E2" w:rsidR="00D87E44" w:rsidP="00D226F4" w:rsidRDefault="00D87E44" w14:paraId="1545884E" w14:textId="77777777">
      <w:pPr>
        <w:spacing w:line="240" w:lineRule="auto"/>
        <w:jc w:val="both"/>
        <w:rPr>
          <w:i/>
          <w:noProof/>
          <w:szCs w:val="24"/>
          <w:lang w:val="en-IE"/>
        </w:rPr>
      </w:pPr>
    </w:p>
    <w:p w:rsidRPr="00FE48E2" w:rsidR="00D87E44" w:rsidP="00D226F4" w:rsidRDefault="00D87E44" w14:paraId="1545884F" w14:textId="77777777">
      <w:pPr>
        <w:spacing w:line="240" w:lineRule="auto"/>
        <w:jc w:val="both"/>
        <w:rPr>
          <w:b/>
          <w:bCs/>
          <w:noProof/>
          <w:u w:val="single"/>
          <w:lang w:val="en-IE"/>
        </w:rPr>
      </w:pPr>
      <w:r w:rsidRPr="1B282876">
        <w:rPr>
          <w:b/>
          <w:bCs/>
          <w:noProof/>
          <w:u w:val="single"/>
          <w:lang w:val="en-IE"/>
        </w:rPr>
        <w:t>CC.1. Description of the reforms and investments for non-repayable financial support</w:t>
      </w:r>
    </w:p>
    <w:p w:rsidRPr="003637C3" w:rsidR="00D87E44" w:rsidP="00D226F4" w:rsidRDefault="00D87E44" w14:paraId="15458850" w14:textId="77777777">
      <w:pPr>
        <w:spacing w:line="240" w:lineRule="auto"/>
        <w:jc w:val="both"/>
        <w:rPr>
          <w:b/>
          <w:bCs/>
          <w:noProof/>
          <w:lang w:val="en-IE"/>
        </w:rPr>
      </w:pPr>
      <w:r w:rsidRPr="003637C3">
        <w:rPr>
          <w:b/>
          <w:bCs/>
          <w:noProof/>
          <w:lang w:val="en-IE"/>
        </w:rPr>
        <w:t>Reform 1: Improvement of education of healthcare professionals</w:t>
      </w:r>
    </w:p>
    <w:p w:rsidRPr="003637C3" w:rsidR="00D87E44" w:rsidP="00D226F4" w:rsidRDefault="00D87E44" w14:paraId="15458851" w14:textId="77777777">
      <w:pPr>
        <w:spacing w:line="240" w:lineRule="auto"/>
        <w:jc w:val="both"/>
        <w:rPr>
          <w:noProof/>
          <w:lang w:val="en-IE"/>
        </w:rPr>
      </w:pPr>
      <w:r w:rsidRPr="003637C3">
        <w:rPr>
          <w:noProof/>
          <w:lang w:val="en-IE"/>
        </w:rPr>
        <w:t>The training and education of healthcare workers shall be adapted with the aim to improve the availability of highly specialized healthcare professionals. Planning of healthcare staff at the national and regional level shall be improved thanks to creation of an electronic system (connecting existing databases of healthcare professionals) for management, administration and evaluation of training needs of healthcare professionals. The improvement of the organisation of post-graduate training of health profess</w:t>
      </w:r>
      <w:r w:rsidRPr="003637C3">
        <w:rPr>
          <w:noProof/>
          <w:lang w:val="en-IE"/>
        </w:rPr>
        <w:t xml:space="preserve">ionals shall help reduce the duration of specialist training and allow younger doctors to start providing care earlier, thereby improving access to care. </w:t>
      </w:r>
    </w:p>
    <w:p w:rsidRPr="00FE48E2" w:rsidR="00D87E44" w:rsidP="00D226F4" w:rsidRDefault="00D87E44" w14:paraId="15458852" w14:textId="77777777">
      <w:pPr>
        <w:spacing w:line="240" w:lineRule="auto"/>
        <w:jc w:val="both"/>
        <w:rPr>
          <w:noProof/>
          <w:szCs w:val="24"/>
          <w:lang w:val="en-IE"/>
        </w:rPr>
      </w:pPr>
      <w:r w:rsidRPr="003637C3">
        <w:rPr>
          <w:noProof/>
          <w:szCs w:val="24"/>
          <w:lang w:val="en-IE"/>
        </w:rPr>
        <w:t>The investment shall be completed by 30 June 2024.</w:t>
      </w:r>
      <w:r w:rsidRPr="00FE48E2">
        <w:rPr>
          <w:noProof/>
          <w:szCs w:val="24"/>
          <w:lang w:val="en-IE"/>
        </w:rPr>
        <w:t xml:space="preserve"> </w:t>
      </w:r>
    </w:p>
    <w:p w:rsidRPr="00FE48E2" w:rsidR="00D87E44" w:rsidP="00D226F4" w:rsidRDefault="00D87E44" w14:paraId="15458853" w14:textId="77777777">
      <w:pPr>
        <w:spacing w:line="240" w:lineRule="auto"/>
        <w:jc w:val="both"/>
        <w:rPr>
          <w:b/>
          <w:noProof/>
          <w:lang w:val="en-IE"/>
        </w:rPr>
      </w:pPr>
      <w:r w:rsidRPr="3FCBF15C">
        <w:rPr>
          <w:b/>
          <w:noProof/>
          <w:lang w:val="en-IE"/>
        </w:rPr>
        <w:t xml:space="preserve">Investment 1: Creation of the Intensive Medicine Simulation Centre </w:t>
      </w:r>
    </w:p>
    <w:p w:rsidRPr="00FE48E2" w:rsidR="00D87E44" w:rsidP="00D226F4" w:rsidRDefault="00D87E44" w14:paraId="15458854" w14:textId="77777777">
      <w:pPr>
        <w:spacing w:line="240" w:lineRule="auto"/>
        <w:jc w:val="both"/>
        <w:rPr>
          <w:rFonts w:eastAsia="Times New Roman"/>
          <w:noProof/>
          <w:lang w:val="en-IE"/>
        </w:rPr>
      </w:pPr>
      <w:r w:rsidRPr="3FCBF15C">
        <w:rPr>
          <w:noProof/>
          <w:lang w:val="en-IE"/>
        </w:rPr>
        <w:t xml:space="preserve">The objective of this </w:t>
      </w:r>
      <w:r>
        <w:rPr>
          <w:noProof/>
          <w:lang w:val="en-IE"/>
        </w:rPr>
        <w:t>measure</w:t>
      </w:r>
      <w:r w:rsidRPr="3FCBF15C">
        <w:rPr>
          <w:noProof/>
          <w:lang w:val="en-IE"/>
        </w:rPr>
        <w:t xml:space="preserve"> is to expand the infrastructure for post-graduate training and life-long learning of healthcare professionals</w:t>
      </w:r>
      <w:r>
        <w:rPr>
          <w:noProof/>
          <w:lang w:val="en-IE"/>
        </w:rPr>
        <w:t>. The investment consists of</w:t>
      </w:r>
      <w:r w:rsidRPr="3FCBF15C">
        <w:rPr>
          <w:noProof/>
          <w:lang w:val="en-IE"/>
        </w:rPr>
        <w:t xml:space="preserve"> the construction of an Intensive Medicine Simulation Centre</w:t>
      </w:r>
      <w:r>
        <w:rPr>
          <w:noProof/>
          <w:lang w:val="en-IE"/>
        </w:rPr>
        <w:t xml:space="preserve">. </w:t>
      </w:r>
    </w:p>
    <w:p w:rsidRPr="003637C3" w:rsidR="00D87E44" w:rsidP="00D226F4" w:rsidRDefault="00D87E44" w14:paraId="15458855" w14:textId="77777777">
      <w:pPr>
        <w:keepNext/>
        <w:spacing w:line="240" w:lineRule="auto"/>
        <w:jc w:val="both"/>
        <w:rPr>
          <w:noProof/>
          <w:szCs w:val="24"/>
          <w:lang w:val="en-IE"/>
        </w:rPr>
      </w:pPr>
      <w:r w:rsidRPr="003637C3">
        <w:rPr>
          <w:b/>
          <w:noProof/>
          <w:szCs w:val="24"/>
          <w:lang w:val="en-IE"/>
        </w:rPr>
        <w:t>Investment 2: Rehabilitation care for patients recovering from critical condition</w:t>
      </w:r>
    </w:p>
    <w:p w:rsidRPr="003637C3" w:rsidR="00D87E44" w:rsidP="00D226F4" w:rsidRDefault="00D87E44" w14:paraId="15458856" w14:textId="77777777">
      <w:pPr>
        <w:spacing w:line="240" w:lineRule="auto"/>
        <w:jc w:val="both"/>
        <w:rPr>
          <w:noProof/>
          <w:lang w:val="en-IE"/>
        </w:rPr>
      </w:pPr>
      <w:r w:rsidRPr="003637C3">
        <w:rPr>
          <w:noProof/>
          <w:lang w:val="en-IE"/>
        </w:rPr>
        <w:t>The aim of the investment is to address the need to strengthen rehabilitation care of patients recovering from critical conditions, which multiplied due to the covid pandemic. This shall be achieved by refurbishments,</w:t>
      </w:r>
      <w:r>
        <w:rPr>
          <w:noProof/>
          <w:lang w:val="en-IE"/>
        </w:rPr>
        <w:t xml:space="preserve"> </w:t>
      </w:r>
      <w:r w:rsidRPr="003637C3">
        <w:rPr>
          <w:noProof/>
          <w:lang w:val="en-IE"/>
        </w:rPr>
        <w:t xml:space="preserve">modernising the equipment in the rehabilitation departments or by improving the organisation of rehabilitation care. Acquiring state-of-the-art equipment for comprehensive rehabilitation care aims to reduce the need for staffing, thereby increasing the availability of rehabilitation care for patients. Support shall be channelled through a grant scheme </w:t>
      </w:r>
      <w:r w:rsidRPr="003637C3">
        <w:rPr>
          <w:noProof/>
          <w:lang w:val="en-IE"/>
        </w:rPr>
        <w:lastRenderedPageBreak/>
        <w:t>with a total allocation of 61</w:t>
      </w:r>
      <w:r w:rsidRPr="003637C3">
        <w:rPr>
          <w:rFonts w:eastAsia="Times New Roman"/>
          <w:noProof/>
          <w:color w:val="006100"/>
          <w:sz w:val="20"/>
          <w:szCs w:val="20"/>
          <w:lang w:val="en-IE" w:eastAsia="en-GB"/>
        </w:rPr>
        <w:t> </w:t>
      </w:r>
      <w:r w:rsidRPr="003637C3">
        <w:rPr>
          <w:noProof/>
          <w:lang w:val="en-IE"/>
        </w:rPr>
        <w:t>660</w:t>
      </w:r>
      <w:r w:rsidRPr="003637C3">
        <w:rPr>
          <w:rFonts w:eastAsia="Times New Roman"/>
          <w:noProof/>
          <w:color w:val="006100"/>
          <w:sz w:val="20"/>
          <w:szCs w:val="20"/>
          <w:lang w:val="en-IE" w:eastAsia="en-GB"/>
        </w:rPr>
        <w:t> </w:t>
      </w:r>
      <w:r w:rsidRPr="003637C3">
        <w:rPr>
          <w:noProof/>
          <w:lang w:val="en-IE"/>
        </w:rPr>
        <w:t xml:space="preserve">000 EUR. Support shall be provided to at least 19 projects focusing on provision of acute inpatient care in intensive care </w:t>
      </w:r>
      <w:r w:rsidRPr="003637C3">
        <w:rPr>
          <w:noProof/>
          <w:lang w:val="en-IE"/>
        </w:rPr>
        <w:t xml:space="preserve">units or follow-up rehabilitation care in healthcare institutions. The aim is for the number of treatments of patients after critical conditions in the rehabilitation care units to increase by 10%. </w:t>
      </w:r>
    </w:p>
    <w:p w:rsidRPr="00FE48E2" w:rsidR="00D87E44" w:rsidP="00D226F4" w:rsidRDefault="00D87E44" w14:paraId="15458857" w14:textId="77777777">
      <w:pPr>
        <w:spacing w:line="240" w:lineRule="auto"/>
        <w:jc w:val="both"/>
        <w:rPr>
          <w:noProof/>
          <w:szCs w:val="24"/>
          <w:lang w:val="en-IE"/>
        </w:rPr>
      </w:pPr>
      <w:r w:rsidRPr="003637C3">
        <w:rPr>
          <w:noProof/>
          <w:szCs w:val="24"/>
          <w:lang w:val="en-IE"/>
        </w:rPr>
        <w:t>The investment shall be completed by 31 December 2025.</w:t>
      </w:r>
    </w:p>
    <w:p w:rsidR="00D87E44" w:rsidRDefault="00D87E44" w14:paraId="15458858" w14:textId="77777777">
      <w:pPr>
        <w:spacing w:before="0" w:after="160" w:line="259" w:lineRule="auto"/>
        <w:rPr>
          <w:b/>
          <w:noProof/>
          <w:szCs w:val="24"/>
          <w:lang w:val="en-IE"/>
        </w:rPr>
      </w:pPr>
      <w:r>
        <w:rPr>
          <w:b/>
          <w:noProof/>
          <w:szCs w:val="24"/>
          <w:lang w:val="en-IE"/>
        </w:rPr>
        <w:br w:type="page"/>
      </w:r>
    </w:p>
    <w:p w:rsidRPr="00FE48E2" w:rsidR="00D87E44" w:rsidP="00D226F4" w:rsidRDefault="00D87E44" w14:paraId="15458859" w14:textId="77777777">
      <w:pPr>
        <w:spacing w:line="240" w:lineRule="auto"/>
        <w:jc w:val="both"/>
        <w:rPr>
          <w:b/>
          <w:noProof/>
          <w:szCs w:val="24"/>
          <w:lang w:val="en-IE"/>
        </w:rPr>
      </w:pPr>
      <w:r w:rsidRPr="00FE48E2">
        <w:rPr>
          <w:b/>
          <w:noProof/>
          <w:szCs w:val="24"/>
          <w:lang w:val="en-IE"/>
        </w:rPr>
        <w:lastRenderedPageBreak/>
        <w:t>Investment 3: Building a centre for cardiovascular and transplant medicine</w:t>
      </w:r>
    </w:p>
    <w:p w:rsidR="00D87E44" w:rsidP="00D226F4" w:rsidRDefault="00D87E44" w14:paraId="1545885A" w14:textId="77777777">
      <w:pPr>
        <w:spacing w:line="240" w:lineRule="auto"/>
        <w:jc w:val="both"/>
        <w:rPr>
          <w:noProof/>
          <w:lang w:val="en-IE"/>
        </w:rPr>
      </w:pPr>
      <w:r w:rsidRPr="3FCBF15C">
        <w:rPr>
          <w:noProof/>
          <w:lang w:val="en-IE"/>
        </w:rPr>
        <w:t xml:space="preserve">The objective of this </w:t>
      </w:r>
      <w:r>
        <w:rPr>
          <w:noProof/>
          <w:lang w:val="en-IE"/>
        </w:rPr>
        <w:t>measure</w:t>
      </w:r>
      <w:r w:rsidRPr="3FCBF15C">
        <w:rPr>
          <w:noProof/>
          <w:lang w:val="en-IE"/>
        </w:rPr>
        <w:t xml:space="preserve"> is to increase the </w:t>
      </w:r>
      <w:r>
        <w:rPr>
          <w:noProof/>
          <w:lang w:val="en-IE"/>
        </w:rPr>
        <w:t xml:space="preserve">availability </w:t>
      </w:r>
      <w:r w:rsidRPr="3FCBF15C">
        <w:rPr>
          <w:noProof/>
          <w:lang w:val="en-IE"/>
        </w:rPr>
        <w:t>of highly specialised care in cardiovascular and transplant medicine in the South Moravian region.</w:t>
      </w:r>
    </w:p>
    <w:p w:rsidRPr="00FE48E2" w:rsidR="00D87E44" w:rsidP="00D226F4" w:rsidRDefault="00D87E44" w14:paraId="1545885B" w14:textId="77777777">
      <w:pPr>
        <w:spacing w:line="240" w:lineRule="auto"/>
        <w:jc w:val="both"/>
        <w:rPr>
          <w:noProof/>
          <w:lang w:val="en-IE"/>
        </w:rPr>
      </w:pPr>
      <w:r w:rsidRPr="3FCBF15C">
        <w:rPr>
          <w:noProof/>
          <w:lang w:val="en-IE"/>
        </w:rPr>
        <w:t xml:space="preserve">This investment consists of the construction of new facilities at the Centre for Cardiovascular and Transplant Surgery in Brno. </w:t>
      </w:r>
    </w:p>
    <w:p w:rsidRPr="00FE48E2" w:rsidR="00D87E44" w:rsidP="00D226F4" w:rsidRDefault="00D87E44" w14:paraId="1545885C" w14:textId="77777777">
      <w:pPr>
        <w:spacing w:line="240" w:lineRule="auto"/>
        <w:rPr>
          <w:rFonts w:ascii="Calibri" w:hAnsi="Calibri"/>
          <w:noProof/>
          <w:sz w:val="22"/>
          <w:lang w:val="en-IE"/>
        </w:rPr>
      </w:pPr>
      <w:r w:rsidRPr="00FE48E2">
        <w:rPr>
          <w:rFonts w:ascii="Calibri" w:hAnsi="Calibri"/>
          <w:noProof/>
          <w:sz w:val="22"/>
          <w:lang w:val="en-IE"/>
        </w:rPr>
        <w:t xml:space="preserve"> </w:t>
      </w:r>
    </w:p>
    <w:p w:rsidRPr="00FE48E2" w:rsidR="00D87E44" w:rsidP="00D226F4" w:rsidRDefault="00D87E44" w14:paraId="1545885D" w14:textId="77777777">
      <w:pPr>
        <w:spacing w:line="240" w:lineRule="auto"/>
        <w:rPr>
          <w:rFonts w:ascii="Calibri" w:hAnsi="Calibri"/>
          <w:noProof/>
          <w:sz w:val="22"/>
          <w:lang w:val="en-IE"/>
        </w:rPr>
        <w:sectPr w:rsidRPr="00FE48E2" w:rsidR="00C16C1F" w:rsidSect="00D226F4">
          <w:headerReference w:type="even" r:id="R6c99d29eb9f04f4a"/>
          <w:headerReference w:type="default" r:id="R66d64afd7ecb44c2"/>
          <w:footerReference w:type="even" r:id="R30bd7366927445a9"/>
          <w:footerReference w:type="default" r:id="Ra73f2f5683c8443b"/>
          <w:headerReference w:type="first" r:id="R812f396ad77d4545"/>
          <w:footerReference w:type="first" r:id="R4568d1c529eb452a"/>
          <w:pgSz w:w="11907" w:h="16839"/>
          <w:pgMar w:top="1134" w:right="1134" w:bottom="1134" w:left="1134" w:header="567" w:footer="567" w:gutter="0"/>
          <w:cols w:space="708"/>
          <w:docGrid w:linePitch="326"/>
        </w:sectPr>
      </w:pPr>
    </w:p>
    <w:p w:rsidRPr="00FE48E2" w:rsidR="00D87E44" w:rsidP="00D226F4" w:rsidRDefault="00D87E44" w14:paraId="1545885E" w14:textId="77777777">
      <w:pPr>
        <w:pBdr>
          <w:top w:val="nil"/>
          <w:left w:val="nil"/>
          <w:bottom w:val="nil"/>
          <w:right w:val="nil"/>
          <w:between w:val="nil"/>
        </w:pBdr>
        <w:tabs>
          <w:tab w:val="left" w:pos="993"/>
        </w:tabs>
        <w:spacing w:line="240" w:lineRule="auto"/>
        <w:rPr>
          <w:b/>
          <w:bCs/>
          <w:noProof/>
          <w:color w:val="000000"/>
          <w:u w:val="single"/>
          <w:lang w:val="en-IE"/>
        </w:rPr>
      </w:pPr>
      <w:r w:rsidRPr="1B282876">
        <w:rPr>
          <w:b/>
          <w:bCs/>
          <w:noProof/>
          <w:color w:val="000000" w:themeColor="text1"/>
          <w:u w:val="single"/>
          <w:lang w:val="en-IE"/>
        </w:rPr>
        <w:lastRenderedPageBreak/>
        <w:t xml:space="preserve">CC.2. Milestones, targets, indicators, and timetable for monitoring and implementation for non-repayable financial support </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675"/>
        <w:gridCol w:w="1418"/>
        <w:gridCol w:w="1077"/>
        <w:gridCol w:w="1307"/>
        <w:gridCol w:w="1701"/>
        <w:gridCol w:w="1077"/>
        <w:gridCol w:w="1077"/>
        <w:gridCol w:w="1077"/>
        <w:gridCol w:w="850"/>
        <w:gridCol w:w="608"/>
        <w:gridCol w:w="4745"/>
      </w:tblGrid>
      <w:tr w:rsidRPr="00FE48E2" w:rsidR="00E3458A" w:rsidTr="00F825FF" w14:paraId="15458867" w14:textId="77777777">
        <w:trPr>
          <w:trHeight w:val="107"/>
          <w:tblHeader/>
          <w:jc w:val="center"/>
        </w:trPr>
        <w:tc>
          <w:tcPr>
            <w:tcW w:w="675" w:type="dxa"/>
            <w:vMerge w:val="restart"/>
            <w:shd w:val="clear" w:color="auto" w:fill="BDD7EE"/>
            <w:vAlign w:val="center"/>
          </w:tcPr>
          <w:p w:rsidRPr="00FE48E2" w:rsidR="00D87E44" w:rsidRDefault="00D87E44" w14:paraId="1545885F" w14:textId="77777777">
            <w:pPr>
              <w:spacing w:line="240" w:lineRule="auto"/>
              <w:jc w:val="center"/>
              <w:rPr>
                <w:noProof/>
                <w:sz w:val="18"/>
                <w:szCs w:val="18"/>
                <w:lang w:val="en-IE"/>
              </w:rPr>
            </w:pPr>
            <w:r w:rsidRPr="00FE48E2">
              <w:rPr>
                <w:b/>
                <w:noProof/>
                <w:sz w:val="18"/>
                <w:szCs w:val="18"/>
                <w:lang w:val="en-IE"/>
              </w:rPr>
              <w:t>Seq. Num.</w:t>
            </w:r>
          </w:p>
        </w:tc>
        <w:tc>
          <w:tcPr>
            <w:tcW w:w="1418" w:type="dxa"/>
            <w:vMerge w:val="restart"/>
            <w:shd w:val="clear" w:color="auto" w:fill="BDD7EE"/>
            <w:vAlign w:val="center"/>
          </w:tcPr>
          <w:p w:rsidRPr="00FE48E2" w:rsidR="00D87E44" w:rsidRDefault="00D87E44" w14:paraId="15458860"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077" w:type="dxa"/>
            <w:vMerge w:val="restart"/>
            <w:shd w:val="clear" w:color="auto" w:fill="BDD7EE"/>
            <w:vAlign w:val="center"/>
          </w:tcPr>
          <w:p w:rsidRPr="00FE48E2" w:rsidR="00D87E44" w:rsidRDefault="00D87E44" w14:paraId="15458861"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307" w:type="dxa"/>
            <w:vMerge w:val="restart"/>
            <w:shd w:val="clear" w:color="auto" w:fill="BDD7EE"/>
            <w:vAlign w:val="center"/>
          </w:tcPr>
          <w:p w:rsidRPr="00FE48E2" w:rsidR="00D87E44" w:rsidRDefault="00D87E44" w14:paraId="15458862"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701" w:type="dxa"/>
            <w:vMerge w:val="restart"/>
            <w:shd w:val="clear" w:color="auto" w:fill="BDD7EE"/>
            <w:vAlign w:val="center"/>
          </w:tcPr>
          <w:p w:rsidRPr="00FE48E2" w:rsidR="00D87E44" w:rsidRDefault="00D87E44" w14:paraId="15458863"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1077" w:type="dxa"/>
            <w:gridSpan w:val="3"/>
            <w:shd w:val="clear" w:color="auto" w:fill="BDD7EE"/>
            <w:vAlign w:val="center"/>
          </w:tcPr>
          <w:p w:rsidRPr="00FE48E2" w:rsidR="00D87E44" w:rsidRDefault="00D87E44" w14:paraId="15458864"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458" w:type="dxa"/>
            <w:gridSpan w:val="2"/>
            <w:shd w:val="clear" w:color="auto" w:fill="BDD7EE"/>
            <w:vAlign w:val="center"/>
          </w:tcPr>
          <w:p w:rsidRPr="00FE48E2" w:rsidR="00D87E44" w:rsidRDefault="00D87E44" w14:paraId="15458865"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745" w:type="dxa"/>
            <w:vMerge w:val="restart"/>
            <w:shd w:val="clear" w:color="auto" w:fill="BDD7EE"/>
            <w:vAlign w:val="center"/>
          </w:tcPr>
          <w:p w:rsidRPr="00FE48E2" w:rsidR="00D87E44" w:rsidRDefault="00D87E44" w14:paraId="15458866"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00F825FF" w14:paraId="15458873" w14:textId="77777777">
        <w:trPr>
          <w:trHeight w:val="173"/>
          <w:tblHeader/>
          <w:jc w:val="center"/>
        </w:trPr>
        <w:tc>
          <w:tcPr>
            <w:tcW w:w="675" w:type="dxa"/>
            <w:vMerge/>
            <w:vAlign w:val="center"/>
          </w:tcPr>
          <w:p w:rsidRPr="00FE48E2" w:rsidR="00D87E44" w:rsidRDefault="00D87E44" w14:paraId="15458868" w14:textId="77777777">
            <w:pPr>
              <w:spacing w:line="240" w:lineRule="auto"/>
              <w:jc w:val="center"/>
              <w:rPr>
                <w:noProof/>
                <w:sz w:val="16"/>
                <w:szCs w:val="16"/>
                <w:lang w:val="en-IE"/>
              </w:rPr>
            </w:pPr>
          </w:p>
        </w:tc>
        <w:tc>
          <w:tcPr>
            <w:tcW w:w="1418" w:type="dxa"/>
            <w:vMerge/>
            <w:vAlign w:val="center"/>
          </w:tcPr>
          <w:p w:rsidRPr="00FE48E2" w:rsidR="00D87E44" w:rsidRDefault="00D87E44" w14:paraId="15458869" w14:textId="77777777">
            <w:pPr>
              <w:spacing w:line="240" w:lineRule="auto"/>
              <w:jc w:val="center"/>
              <w:rPr>
                <w:noProof/>
                <w:sz w:val="16"/>
                <w:szCs w:val="16"/>
                <w:lang w:val="en-IE"/>
              </w:rPr>
            </w:pPr>
          </w:p>
        </w:tc>
        <w:tc>
          <w:tcPr>
            <w:tcW w:w="1077" w:type="dxa"/>
            <w:vMerge/>
            <w:vAlign w:val="center"/>
          </w:tcPr>
          <w:p w:rsidRPr="00FE48E2" w:rsidR="00D87E44" w:rsidRDefault="00D87E44" w14:paraId="1545886A" w14:textId="77777777">
            <w:pPr>
              <w:spacing w:line="240" w:lineRule="auto"/>
              <w:jc w:val="center"/>
              <w:rPr>
                <w:noProof/>
                <w:sz w:val="16"/>
                <w:szCs w:val="16"/>
                <w:lang w:val="en-IE"/>
              </w:rPr>
            </w:pPr>
          </w:p>
        </w:tc>
        <w:tc>
          <w:tcPr>
            <w:tcW w:w="1307" w:type="dxa"/>
            <w:vMerge/>
            <w:vAlign w:val="center"/>
          </w:tcPr>
          <w:p w:rsidRPr="00FE48E2" w:rsidR="00D87E44" w:rsidRDefault="00D87E44" w14:paraId="1545886B" w14:textId="77777777">
            <w:pPr>
              <w:spacing w:line="240" w:lineRule="auto"/>
              <w:jc w:val="center"/>
              <w:rPr>
                <w:noProof/>
                <w:sz w:val="16"/>
                <w:szCs w:val="16"/>
                <w:lang w:val="en-IE"/>
              </w:rPr>
            </w:pPr>
          </w:p>
        </w:tc>
        <w:tc>
          <w:tcPr>
            <w:tcW w:w="1701" w:type="dxa"/>
            <w:vMerge/>
            <w:vAlign w:val="center"/>
          </w:tcPr>
          <w:p w:rsidRPr="00FE48E2" w:rsidR="00D87E44" w:rsidRDefault="00D87E44" w14:paraId="1545886C" w14:textId="77777777">
            <w:pPr>
              <w:spacing w:line="240" w:lineRule="auto"/>
              <w:jc w:val="center"/>
              <w:rPr>
                <w:noProof/>
                <w:sz w:val="16"/>
                <w:szCs w:val="16"/>
                <w:lang w:val="en-IE"/>
              </w:rPr>
            </w:pPr>
          </w:p>
        </w:tc>
        <w:tc>
          <w:tcPr>
            <w:tcW w:w="1077" w:type="dxa"/>
            <w:shd w:val="clear" w:color="auto" w:fill="BDD7EE"/>
            <w:vAlign w:val="center"/>
          </w:tcPr>
          <w:p w:rsidRPr="00290CF7" w:rsidR="00D87E44" w:rsidRDefault="00D87E44" w14:paraId="1545886D" w14:textId="77777777">
            <w:pPr>
              <w:spacing w:line="240" w:lineRule="auto"/>
              <w:jc w:val="center"/>
              <w:rPr>
                <w:noProof/>
                <w:sz w:val="18"/>
                <w:szCs w:val="18"/>
                <w:lang w:val="en-IE"/>
              </w:rPr>
            </w:pPr>
            <w:r w:rsidRPr="00290CF7">
              <w:rPr>
                <w:rFonts w:eastAsia="Times New Roman"/>
                <w:b/>
                <w:noProof/>
                <w:sz w:val="18"/>
                <w:szCs w:val="18"/>
                <w:lang w:val="en-IE"/>
              </w:rPr>
              <w:t>Unit of measure</w:t>
            </w:r>
          </w:p>
        </w:tc>
        <w:tc>
          <w:tcPr>
            <w:tcW w:w="1077" w:type="dxa"/>
            <w:shd w:val="clear" w:color="auto" w:fill="BDD7EE"/>
            <w:vAlign w:val="center"/>
          </w:tcPr>
          <w:p w:rsidRPr="00290CF7" w:rsidR="00D87E44" w:rsidRDefault="00D87E44" w14:paraId="1545886E" w14:textId="77777777">
            <w:pPr>
              <w:spacing w:line="240" w:lineRule="auto"/>
              <w:jc w:val="center"/>
              <w:rPr>
                <w:noProof/>
                <w:sz w:val="18"/>
                <w:szCs w:val="18"/>
                <w:lang w:val="en-IE"/>
              </w:rPr>
            </w:pPr>
            <w:r w:rsidRPr="00290CF7">
              <w:rPr>
                <w:rFonts w:eastAsia="Times New Roman"/>
                <w:b/>
                <w:noProof/>
                <w:sz w:val="18"/>
                <w:szCs w:val="18"/>
                <w:lang w:val="en-IE"/>
              </w:rPr>
              <w:t>Baseline</w:t>
            </w:r>
          </w:p>
        </w:tc>
        <w:tc>
          <w:tcPr>
            <w:tcW w:w="1077" w:type="dxa"/>
            <w:shd w:val="clear" w:color="auto" w:fill="BDD7EE"/>
            <w:vAlign w:val="center"/>
          </w:tcPr>
          <w:p w:rsidRPr="00290CF7" w:rsidR="00D87E44" w:rsidRDefault="00D87E44" w14:paraId="1545886F" w14:textId="77777777">
            <w:pPr>
              <w:spacing w:line="240" w:lineRule="auto"/>
              <w:jc w:val="center"/>
              <w:rPr>
                <w:noProof/>
                <w:sz w:val="18"/>
                <w:szCs w:val="18"/>
                <w:lang w:val="en-IE"/>
              </w:rPr>
            </w:pPr>
            <w:r w:rsidRPr="00290CF7">
              <w:rPr>
                <w:rFonts w:eastAsia="Times New Roman"/>
                <w:b/>
                <w:noProof/>
                <w:sz w:val="18"/>
                <w:szCs w:val="18"/>
                <w:lang w:val="en-IE"/>
              </w:rPr>
              <w:t>Goal</w:t>
            </w:r>
          </w:p>
        </w:tc>
        <w:tc>
          <w:tcPr>
            <w:tcW w:w="850" w:type="dxa"/>
            <w:shd w:val="clear" w:color="auto" w:fill="BDD7EE"/>
            <w:vAlign w:val="center"/>
          </w:tcPr>
          <w:p w:rsidRPr="00290CF7" w:rsidR="00D87E44" w:rsidRDefault="00D87E44" w14:paraId="15458870" w14:textId="77777777">
            <w:pPr>
              <w:spacing w:line="240" w:lineRule="auto"/>
              <w:jc w:val="center"/>
              <w:rPr>
                <w:noProof/>
                <w:sz w:val="18"/>
                <w:szCs w:val="18"/>
                <w:lang w:val="en-IE"/>
              </w:rPr>
            </w:pPr>
            <w:r w:rsidRPr="00290CF7">
              <w:rPr>
                <w:rFonts w:eastAsia="Times New Roman"/>
                <w:b/>
                <w:noProof/>
                <w:sz w:val="18"/>
                <w:szCs w:val="18"/>
                <w:lang w:val="en-IE"/>
              </w:rPr>
              <w:t>Quarter</w:t>
            </w:r>
          </w:p>
        </w:tc>
        <w:tc>
          <w:tcPr>
            <w:tcW w:w="608" w:type="dxa"/>
            <w:shd w:val="clear" w:color="auto" w:fill="BDD7EE"/>
            <w:vAlign w:val="center"/>
          </w:tcPr>
          <w:p w:rsidRPr="00290CF7" w:rsidR="00D87E44" w:rsidRDefault="00D87E44" w14:paraId="15458871" w14:textId="77777777">
            <w:pPr>
              <w:spacing w:line="240" w:lineRule="auto"/>
              <w:jc w:val="center"/>
              <w:rPr>
                <w:noProof/>
                <w:sz w:val="18"/>
                <w:szCs w:val="18"/>
                <w:lang w:val="en-IE"/>
              </w:rPr>
            </w:pPr>
            <w:r w:rsidRPr="00290CF7">
              <w:rPr>
                <w:rFonts w:eastAsia="Times New Roman"/>
                <w:b/>
                <w:noProof/>
                <w:sz w:val="18"/>
                <w:szCs w:val="18"/>
                <w:lang w:val="en-IE"/>
              </w:rPr>
              <w:t>Year</w:t>
            </w:r>
          </w:p>
        </w:tc>
        <w:tc>
          <w:tcPr>
            <w:tcW w:w="4745" w:type="dxa"/>
            <w:vMerge/>
            <w:vAlign w:val="center"/>
          </w:tcPr>
          <w:p w:rsidRPr="00FE48E2" w:rsidR="00D87E44" w:rsidRDefault="00D87E44" w14:paraId="15458872" w14:textId="77777777">
            <w:pPr>
              <w:spacing w:line="240" w:lineRule="auto"/>
              <w:jc w:val="center"/>
              <w:rPr>
                <w:noProof/>
                <w:sz w:val="16"/>
                <w:szCs w:val="16"/>
                <w:lang w:val="en-IE"/>
              </w:rPr>
            </w:pPr>
          </w:p>
        </w:tc>
      </w:tr>
      <w:tr w:rsidRPr="00FE48E2" w:rsidR="00E3458A" w:rsidTr="00F825FF" w14:paraId="1545887F" w14:textId="77777777">
        <w:trPr>
          <w:trHeight w:val="1845"/>
          <w:jc w:val="center"/>
        </w:trPr>
        <w:tc>
          <w:tcPr>
            <w:tcW w:w="675" w:type="dxa"/>
            <w:shd w:val="clear" w:color="auto" w:fill="C6EFCE"/>
          </w:tcPr>
          <w:p w:rsidRPr="00BD790C" w:rsidR="00D87E44" w:rsidRDefault="00D87E44" w14:paraId="1545887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231</w:t>
            </w:r>
          </w:p>
        </w:tc>
        <w:tc>
          <w:tcPr>
            <w:tcW w:w="1418" w:type="dxa"/>
            <w:shd w:val="clear" w:color="auto" w:fill="C6EFCE"/>
          </w:tcPr>
          <w:p w:rsidRPr="007C39C1" w:rsidR="00D87E44" w:rsidRDefault="00D87E44" w14:paraId="15458875"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 xml:space="preserve">Reform 1: Improvement of education of healthcare professionals </w:t>
            </w:r>
          </w:p>
        </w:tc>
        <w:tc>
          <w:tcPr>
            <w:tcW w:w="1077" w:type="dxa"/>
            <w:shd w:val="clear" w:color="auto" w:fill="C6EFCE"/>
          </w:tcPr>
          <w:p w:rsidRPr="007C39C1" w:rsidR="00D87E44" w:rsidRDefault="00D87E44" w14:paraId="15458876"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Milestone</w:t>
            </w:r>
          </w:p>
        </w:tc>
        <w:tc>
          <w:tcPr>
            <w:tcW w:w="1307" w:type="dxa"/>
            <w:shd w:val="clear" w:color="auto" w:fill="C6EFCE"/>
          </w:tcPr>
          <w:p w:rsidRPr="007C39C1" w:rsidR="00D87E44" w:rsidRDefault="00D87E44" w14:paraId="15458877"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Electronic system for management, administration and evaluation of training of healthcare professionals</w:t>
            </w:r>
          </w:p>
        </w:tc>
        <w:tc>
          <w:tcPr>
            <w:tcW w:w="1701" w:type="dxa"/>
            <w:shd w:val="clear" w:color="auto" w:fill="C6EFCE"/>
          </w:tcPr>
          <w:p w:rsidRPr="007C39C1" w:rsidR="00D87E44" w:rsidRDefault="00D87E44" w14:paraId="15458878"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 xml:space="preserve">A basic platform for the electronic system of management, administration and evaluation of healthcare workers’ education put in operation </w:t>
            </w:r>
          </w:p>
        </w:tc>
        <w:tc>
          <w:tcPr>
            <w:tcW w:w="1077" w:type="dxa"/>
            <w:shd w:val="clear" w:color="auto" w:fill="C6EFCE"/>
          </w:tcPr>
          <w:p w:rsidRPr="007C39C1" w:rsidR="00D87E44" w:rsidRDefault="00D87E44" w14:paraId="15458879"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7C39C1" w:rsidR="00D87E44" w:rsidRDefault="00D87E44" w14:paraId="1545887A"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7C39C1" w:rsidR="00D87E44" w:rsidRDefault="00D87E44" w14:paraId="1545887B"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7C39C1" w:rsidR="00D87E44" w:rsidRDefault="00D87E44" w14:paraId="1545887C"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Q2</w:t>
            </w:r>
          </w:p>
        </w:tc>
        <w:tc>
          <w:tcPr>
            <w:tcW w:w="608" w:type="dxa"/>
            <w:shd w:val="clear" w:color="auto" w:fill="C6EFCE"/>
          </w:tcPr>
          <w:p w:rsidRPr="007C39C1" w:rsidR="00D87E44" w:rsidRDefault="00D87E44" w14:paraId="1545887D"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2024</w:t>
            </w:r>
          </w:p>
        </w:tc>
        <w:tc>
          <w:tcPr>
            <w:tcW w:w="4745" w:type="dxa"/>
            <w:shd w:val="clear" w:color="auto" w:fill="C6EFCE"/>
          </w:tcPr>
          <w:p w:rsidRPr="007C39C1" w:rsidR="00D87E44" w:rsidRDefault="00D87E44" w14:paraId="1545887E" w14:textId="77777777">
            <w:pPr>
              <w:spacing w:after="0" w:line="259" w:lineRule="auto"/>
              <w:contextualSpacing/>
              <w:rPr>
                <w:noProof/>
                <w:color w:val="006100"/>
                <w:sz w:val="18"/>
                <w:szCs w:val="18"/>
                <w:lang w:val="en-IE"/>
              </w:rPr>
            </w:pPr>
            <w:r w:rsidRPr="007C39C1">
              <w:rPr>
                <w:noProof/>
                <w:color w:val="006100"/>
                <w:sz w:val="18"/>
                <w:szCs w:val="18"/>
                <w:lang w:val="en-IE"/>
              </w:rPr>
              <w:t xml:space="preserve">Creation of a basic platform by the Ministry of Health for the new electronic system of management, administration and evaluation of healthcare workers’ education. The electronic system shall be further developed and completed with modules according to education needs. </w:t>
            </w:r>
          </w:p>
        </w:tc>
      </w:tr>
      <w:tr w:rsidRPr="00FE48E2" w:rsidR="00E3458A" w:rsidTr="00F825FF" w14:paraId="15458894" w14:textId="77777777">
        <w:trPr>
          <w:trHeight w:val="945"/>
          <w:jc w:val="center"/>
        </w:trPr>
        <w:tc>
          <w:tcPr>
            <w:tcW w:w="675" w:type="dxa"/>
            <w:shd w:val="clear" w:color="auto" w:fill="C6EFCE"/>
          </w:tcPr>
          <w:p w:rsidRPr="00BD790C" w:rsidR="00D87E44" w:rsidRDefault="00D87E44" w14:paraId="1545888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232</w:t>
            </w:r>
          </w:p>
        </w:tc>
        <w:tc>
          <w:tcPr>
            <w:tcW w:w="1418" w:type="dxa"/>
            <w:shd w:val="clear" w:color="auto" w:fill="C6EFCE"/>
          </w:tcPr>
          <w:p w:rsidRPr="007C39C1" w:rsidR="00D87E44" w:rsidRDefault="00D87E44" w14:paraId="15458881"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Investment 1: Creation of the Intensive Medicine Simulation Centre and optimisation of the education system</w:t>
            </w:r>
          </w:p>
        </w:tc>
        <w:tc>
          <w:tcPr>
            <w:tcW w:w="1077" w:type="dxa"/>
            <w:shd w:val="clear" w:color="auto" w:fill="C6EFCE"/>
          </w:tcPr>
          <w:p w:rsidRPr="007C39C1" w:rsidR="00D87E44" w:rsidRDefault="00D87E44" w14:paraId="15458882"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Milestone</w:t>
            </w:r>
          </w:p>
        </w:tc>
        <w:tc>
          <w:tcPr>
            <w:tcW w:w="1307" w:type="dxa"/>
            <w:shd w:val="clear" w:color="auto" w:fill="C6EFCE"/>
          </w:tcPr>
          <w:p w:rsidRPr="007C39C1" w:rsidR="00D87E44" w:rsidRDefault="00D87E44" w14:paraId="15458883"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 xml:space="preserve">Call for tender for the construction of the Intensive Medicine Simulation Centre </w:t>
            </w:r>
          </w:p>
        </w:tc>
        <w:tc>
          <w:tcPr>
            <w:tcW w:w="1701" w:type="dxa"/>
            <w:shd w:val="clear" w:color="auto" w:fill="C6EFCE"/>
          </w:tcPr>
          <w:p w:rsidRPr="007C39C1" w:rsidR="00D87E44" w:rsidRDefault="00D87E44" w14:paraId="15458884"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Notification of award of the open and public tender to the contractor</w:t>
            </w:r>
          </w:p>
        </w:tc>
        <w:tc>
          <w:tcPr>
            <w:tcW w:w="1077" w:type="dxa"/>
            <w:shd w:val="clear" w:color="auto" w:fill="C6EFCE"/>
          </w:tcPr>
          <w:p w:rsidRPr="007C39C1" w:rsidR="00D87E44" w:rsidRDefault="00D87E44" w14:paraId="15458885"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7C39C1" w:rsidR="00D87E44" w:rsidRDefault="00D87E44" w14:paraId="15458886"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7C39C1" w:rsidR="00D87E44" w:rsidRDefault="00D87E44" w14:paraId="15458887"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7C39C1" w:rsidR="00D87E44" w:rsidRDefault="00D87E44" w14:paraId="15458888"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Q4</w:t>
            </w:r>
          </w:p>
        </w:tc>
        <w:tc>
          <w:tcPr>
            <w:tcW w:w="608" w:type="dxa"/>
            <w:shd w:val="clear" w:color="auto" w:fill="C6EFCE"/>
          </w:tcPr>
          <w:p w:rsidRPr="007C39C1" w:rsidR="00D87E44" w:rsidRDefault="00D87E44" w14:paraId="15458889"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2022</w:t>
            </w:r>
          </w:p>
        </w:tc>
        <w:tc>
          <w:tcPr>
            <w:tcW w:w="4745" w:type="dxa"/>
            <w:shd w:val="clear" w:color="auto" w:fill="C6EFCE"/>
          </w:tcPr>
          <w:p w:rsidRPr="007C39C1" w:rsidR="00D87E44" w:rsidRDefault="00D87E44" w14:paraId="1545888A" w14:textId="77777777">
            <w:pPr>
              <w:spacing w:before="0" w:after="0" w:line="240" w:lineRule="auto"/>
              <w:rPr>
                <w:noProof/>
                <w:color w:val="006100"/>
                <w:sz w:val="18"/>
                <w:szCs w:val="18"/>
                <w:lang w:val="en-IE"/>
              </w:rPr>
            </w:pPr>
            <w:r w:rsidRPr="007C39C1">
              <w:rPr>
                <w:noProof/>
                <w:color w:val="006100"/>
                <w:sz w:val="18"/>
                <w:szCs w:val="18"/>
                <w:lang w:val="en-IE"/>
              </w:rPr>
              <w:t xml:space="preserve">Notification of the award of the public contract to build the Intensive Medicine Simulation Centre which will provide training to healthcare professionals in a wide range of medical fields: </w:t>
            </w:r>
          </w:p>
          <w:p w:rsidRPr="007C39C1" w:rsidR="00D87E44" w:rsidP="00D226F4" w:rsidRDefault="00D87E44" w14:paraId="1545888B"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 xml:space="preserve">Anaesthesiology and resuscitation </w:t>
            </w:r>
          </w:p>
          <w:p w:rsidRPr="007C39C1" w:rsidR="00D87E44" w:rsidP="00D226F4" w:rsidRDefault="00D87E44" w14:paraId="1545888C"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Other medical and non-medical skills training related to emergencies</w:t>
            </w:r>
          </w:p>
          <w:p w:rsidRPr="007C39C1" w:rsidR="00D87E44" w:rsidP="00D226F4" w:rsidRDefault="00D87E44" w14:paraId="1545888D"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 xml:space="preserve">Pre-hospital care and ambulance </w:t>
            </w:r>
          </w:p>
          <w:p w:rsidRPr="007C39C1" w:rsidR="00D87E44" w:rsidP="00D226F4" w:rsidRDefault="00D87E44" w14:paraId="1545888E"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 xml:space="preserve">Urgent admission </w:t>
            </w:r>
          </w:p>
          <w:p w:rsidRPr="007C39C1" w:rsidR="00D87E44" w:rsidP="00D226F4" w:rsidRDefault="00D87E44" w14:paraId="1545888F"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Intensive Care Units and multipurpose operational room</w:t>
            </w:r>
          </w:p>
          <w:p w:rsidRPr="007C39C1" w:rsidR="00D87E44" w:rsidP="00D226F4" w:rsidRDefault="00D87E44" w14:paraId="15458890"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 xml:space="preserve">Integrated Rescue System </w:t>
            </w:r>
          </w:p>
          <w:p w:rsidRPr="007C39C1" w:rsidR="00D87E44" w:rsidP="00D226F4" w:rsidRDefault="00D87E44" w14:paraId="15458891" w14:textId="77777777">
            <w:pPr>
              <w:numPr>
                <w:ilvl w:val="0"/>
                <w:numId w:val="82"/>
              </w:numPr>
              <w:spacing w:before="0" w:after="0" w:line="240" w:lineRule="auto"/>
              <w:contextualSpacing/>
              <w:rPr>
                <w:noProof/>
                <w:color w:val="006100"/>
                <w:sz w:val="18"/>
                <w:szCs w:val="18"/>
                <w:lang w:val="en-IE"/>
              </w:rPr>
            </w:pPr>
            <w:r w:rsidRPr="007C39C1">
              <w:rPr>
                <w:noProof/>
                <w:color w:val="006100"/>
                <w:sz w:val="18"/>
                <w:szCs w:val="18"/>
                <w:lang w:val="en-IE"/>
              </w:rPr>
              <w:t>Soft Skills – team communication, crisis communication, leadership.</w:t>
            </w:r>
          </w:p>
          <w:p w:rsidRPr="007C39C1" w:rsidR="00D87E44" w:rsidRDefault="00D87E44" w14:paraId="15458892" w14:textId="77777777">
            <w:pPr>
              <w:spacing w:before="0" w:after="0" w:line="259" w:lineRule="auto"/>
              <w:rPr>
                <w:noProof/>
                <w:color w:val="006100"/>
                <w:sz w:val="18"/>
                <w:szCs w:val="18"/>
                <w:lang w:val="en-IE"/>
              </w:rPr>
            </w:pPr>
          </w:p>
          <w:p w:rsidRPr="007C39C1" w:rsidR="00D87E44" w:rsidRDefault="00D87E44" w14:paraId="15458893" w14:textId="77777777">
            <w:pPr>
              <w:spacing w:before="0" w:after="0" w:line="259" w:lineRule="auto"/>
              <w:rPr>
                <w:noProof/>
                <w:color w:val="006100"/>
                <w:sz w:val="18"/>
                <w:szCs w:val="18"/>
                <w:lang w:val="en-IE"/>
              </w:rPr>
            </w:pPr>
            <w:r w:rsidRPr="007C39C1">
              <w:rPr>
                <w:noProof/>
                <w:color w:val="006100"/>
                <w:sz w:val="18"/>
                <w:szCs w:val="18"/>
                <w:lang w:val="en-IE"/>
              </w:rPr>
              <w:t xml:space="preserve">The contractor shall be selected through open and public tender procedures. A needs assessment shall be carried out prior to the launch of the tender. </w:t>
            </w:r>
          </w:p>
        </w:tc>
      </w:tr>
      <w:tr w:rsidRPr="00FE48E2" w:rsidR="00E3458A" w:rsidTr="00F825FF" w14:paraId="154588A0" w14:textId="77777777">
        <w:trPr>
          <w:trHeight w:val="461"/>
          <w:jc w:val="center"/>
        </w:trPr>
        <w:tc>
          <w:tcPr>
            <w:tcW w:w="675" w:type="dxa"/>
            <w:shd w:val="clear" w:color="auto" w:fill="C6EFCE"/>
          </w:tcPr>
          <w:p w:rsidRPr="00BD790C" w:rsidR="00D87E44" w:rsidRDefault="00D87E44" w14:paraId="1545889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233</w:t>
            </w:r>
          </w:p>
        </w:tc>
        <w:tc>
          <w:tcPr>
            <w:tcW w:w="1418" w:type="dxa"/>
            <w:shd w:val="clear" w:color="auto" w:fill="C6EFCE"/>
          </w:tcPr>
          <w:p w:rsidRPr="00BD790C" w:rsidR="00D87E44" w:rsidRDefault="00D87E44" w14:paraId="1545889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1: Creation of the Intensive Medicine Simulation Centre and optimisation of the education system</w:t>
            </w:r>
          </w:p>
        </w:tc>
        <w:tc>
          <w:tcPr>
            <w:tcW w:w="1077" w:type="dxa"/>
            <w:shd w:val="clear" w:color="auto" w:fill="C6EFCE"/>
          </w:tcPr>
          <w:p w:rsidRPr="00BD790C" w:rsidR="00D87E44" w:rsidRDefault="00D87E44" w14:paraId="1545889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Milestone</w:t>
            </w:r>
          </w:p>
        </w:tc>
        <w:tc>
          <w:tcPr>
            <w:tcW w:w="1307" w:type="dxa"/>
            <w:shd w:val="clear" w:color="auto" w:fill="C6EFCE"/>
          </w:tcPr>
          <w:p w:rsidRPr="00BD790C" w:rsidR="00D87E44" w:rsidRDefault="00D87E44" w14:paraId="1545889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Intensive Medicine Simulation Centre </w:t>
            </w:r>
          </w:p>
        </w:tc>
        <w:tc>
          <w:tcPr>
            <w:tcW w:w="1701" w:type="dxa"/>
            <w:shd w:val="clear" w:color="auto" w:fill="C6EFCE"/>
          </w:tcPr>
          <w:p w:rsidRPr="00BD790C" w:rsidR="00D87E44" w:rsidRDefault="00D87E44" w14:paraId="15458899"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Intensive Medicine Simulation Centre constructed</w:t>
            </w:r>
            <w:r w:rsidRPr="3FCBF15C">
              <w:rPr>
                <w:rFonts w:eastAsia="Times New Roman"/>
                <w:noProof/>
                <w:color w:val="006100"/>
                <w:sz w:val="18"/>
                <w:szCs w:val="18"/>
                <w:lang w:val="en-IE"/>
              </w:rPr>
              <w:t xml:space="preserve"> </w:t>
            </w:r>
            <w:r w:rsidRPr="50AE2040">
              <w:rPr>
                <w:rFonts w:eastAsia="Times New Roman"/>
                <w:noProof/>
                <w:color w:val="006100"/>
                <w:sz w:val="18"/>
                <w:szCs w:val="18"/>
                <w:lang w:val="en-IE"/>
              </w:rPr>
              <w:t xml:space="preserve">and </w:t>
            </w:r>
            <w:r w:rsidRPr="00BD790C">
              <w:rPr>
                <w:rFonts w:eastAsia="Times New Roman"/>
                <w:noProof/>
                <w:color w:val="006100"/>
                <w:sz w:val="18"/>
                <w:szCs w:val="18"/>
                <w:lang w:val="en-IE"/>
              </w:rPr>
              <w:t>equipped</w:t>
            </w:r>
          </w:p>
        </w:tc>
        <w:tc>
          <w:tcPr>
            <w:tcW w:w="1077" w:type="dxa"/>
            <w:shd w:val="clear" w:color="auto" w:fill="C6EFCE"/>
          </w:tcPr>
          <w:p w:rsidRPr="00BD790C" w:rsidR="00D87E44" w:rsidRDefault="00D87E44" w14:paraId="1545889A"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89B"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89C"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BD790C" w:rsidR="00D87E44" w:rsidRDefault="00D87E44" w14:paraId="1545889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Q4</w:t>
            </w:r>
          </w:p>
        </w:tc>
        <w:tc>
          <w:tcPr>
            <w:tcW w:w="608" w:type="dxa"/>
            <w:shd w:val="clear" w:color="auto" w:fill="C6EFCE"/>
          </w:tcPr>
          <w:p w:rsidRPr="00BD790C" w:rsidR="00D87E44" w:rsidRDefault="00D87E44" w14:paraId="1545889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2025</w:t>
            </w:r>
          </w:p>
        </w:tc>
        <w:tc>
          <w:tcPr>
            <w:tcW w:w="4745" w:type="dxa"/>
            <w:shd w:val="clear" w:color="auto" w:fill="C6EFCE"/>
          </w:tcPr>
          <w:p w:rsidRPr="00FF1320" w:rsidR="00D87E44" w:rsidRDefault="00D87E44" w14:paraId="1545889F" w14:textId="77777777">
            <w:pPr>
              <w:spacing w:before="0" w:after="0" w:line="240" w:lineRule="auto"/>
              <w:rPr>
                <w:color w:val="006100"/>
                <w:sz w:val="18"/>
              </w:rPr>
            </w:pPr>
            <w:r w:rsidRPr="00BD790C">
              <w:rPr>
                <w:rFonts w:eastAsia="Times New Roman"/>
                <w:noProof/>
                <w:color w:val="006100"/>
                <w:sz w:val="18"/>
                <w:szCs w:val="18"/>
                <w:lang w:val="en-IE"/>
              </w:rPr>
              <w:t>The</w:t>
            </w:r>
            <w:r w:rsidRPr="00FE48E2">
              <w:rPr>
                <w:noProof/>
                <w:color w:val="006100"/>
                <w:sz w:val="18"/>
                <w:szCs w:val="18"/>
                <w:lang w:val="en-IE"/>
              </w:rPr>
              <w:t xml:space="preserve"> Intensive Medicine Simulation Centre shall be constructed</w:t>
            </w:r>
            <w:r w:rsidRPr="3FCBF15C">
              <w:rPr>
                <w:noProof/>
                <w:color w:val="006100"/>
                <w:sz w:val="18"/>
                <w:szCs w:val="18"/>
                <w:lang w:val="en-IE"/>
              </w:rPr>
              <w:t xml:space="preserve"> and</w:t>
            </w:r>
            <w:r>
              <w:rPr>
                <w:noProof/>
                <w:color w:val="006100"/>
                <w:sz w:val="18"/>
                <w:szCs w:val="18"/>
                <w:lang w:val="en-IE"/>
              </w:rPr>
              <w:t xml:space="preserve"> </w:t>
            </w:r>
            <w:r w:rsidRPr="00FE48E2">
              <w:rPr>
                <w:noProof/>
                <w:color w:val="006100"/>
                <w:sz w:val="18"/>
                <w:szCs w:val="18"/>
                <w:lang w:val="en-IE"/>
              </w:rPr>
              <w:t>equipped</w:t>
            </w:r>
            <w:r w:rsidRPr="0006322F">
              <w:rPr>
                <w:noProof/>
                <w:color w:val="006100"/>
                <w:sz w:val="18"/>
                <w:szCs w:val="18"/>
                <w:lang w:val="en-IE"/>
              </w:rPr>
              <w:t>.</w:t>
            </w:r>
          </w:p>
        </w:tc>
      </w:tr>
      <w:tr w:rsidRPr="00FE48E2" w:rsidR="00E3458A" w:rsidTr="00F825FF" w14:paraId="154588AC" w14:textId="77777777">
        <w:trPr>
          <w:trHeight w:val="945"/>
          <w:jc w:val="center"/>
        </w:trPr>
        <w:tc>
          <w:tcPr>
            <w:tcW w:w="675" w:type="dxa"/>
            <w:shd w:val="clear" w:color="auto" w:fill="C6EFCE"/>
          </w:tcPr>
          <w:p w:rsidRPr="00BD790C" w:rsidR="00D87E44" w:rsidRDefault="00D87E44" w14:paraId="154588A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lastRenderedPageBreak/>
              <w:t>234</w:t>
            </w:r>
          </w:p>
        </w:tc>
        <w:tc>
          <w:tcPr>
            <w:tcW w:w="1418" w:type="dxa"/>
            <w:shd w:val="clear" w:color="auto" w:fill="C6EFCE"/>
          </w:tcPr>
          <w:p w:rsidRPr="007C39C1" w:rsidR="00D87E44" w:rsidRDefault="00D87E44" w14:paraId="154588A2"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Investment 2: Rehabilitation care for patients recovering from critical conditions</w:t>
            </w:r>
          </w:p>
        </w:tc>
        <w:tc>
          <w:tcPr>
            <w:tcW w:w="1077" w:type="dxa"/>
            <w:shd w:val="clear" w:color="auto" w:fill="C6EFCE"/>
          </w:tcPr>
          <w:p w:rsidRPr="007C39C1" w:rsidR="00D87E44" w:rsidRDefault="00D87E44" w14:paraId="154588A3"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Target</w:t>
            </w:r>
          </w:p>
        </w:tc>
        <w:tc>
          <w:tcPr>
            <w:tcW w:w="1307" w:type="dxa"/>
            <w:shd w:val="clear" w:color="auto" w:fill="C6EFCE"/>
          </w:tcPr>
          <w:p w:rsidRPr="007C39C1" w:rsidR="00D87E44" w:rsidRDefault="00D87E44" w14:paraId="154588A4"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 xml:space="preserve">Support of rehabilitation care </w:t>
            </w:r>
          </w:p>
        </w:tc>
        <w:tc>
          <w:tcPr>
            <w:tcW w:w="1701" w:type="dxa"/>
            <w:shd w:val="clear" w:color="auto" w:fill="C6EFCE"/>
          </w:tcPr>
          <w:p w:rsidRPr="007C39C1" w:rsidR="00D87E44" w:rsidRDefault="00D87E44" w14:paraId="154588A5"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7C39C1" w:rsidR="00D87E44" w:rsidRDefault="00D87E44" w14:paraId="154588A6"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Number</w:t>
            </w:r>
          </w:p>
        </w:tc>
        <w:tc>
          <w:tcPr>
            <w:tcW w:w="1077" w:type="dxa"/>
            <w:shd w:val="clear" w:color="auto" w:fill="C6EFCE"/>
          </w:tcPr>
          <w:p w:rsidRPr="007C39C1" w:rsidR="00D87E44" w:rsidRDefault="00D87E44" w14:paraId="154588A7"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0</w:t>
            </w:r>
          </w:p>
        </w:tc>
        <w:tc>
          <w:tcPr>
            <w:tcW w:w="1077" w:type="dxa"/>
            <w:shd w:val="clear" w:color="auto" w:fill="C6EFCE"/>
          </w:tcPr>
          <w:p w:rsidRPr="007C39C1" w:rsidR="00D87E44" w:rsidRDefault="00D87E44" w14:paraId="154588A8"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19</w:t>
            </w:r>
          </w:p>
        </w:tc>
        <w:tc>
          <w:tcPr>
            <w:tcW w:w="850" w:type="dxa"/>
            <w:shd w:val="clear" w:color="auto" w:fill="C6EFCE"/>
          </w:tcPr>
          <w:p w:rsidRPr="007C39C1" w:rsidR="00D87E44" w:rsidRDefault="00D87E44" w14:paraId="154588A9"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Q4</w:t>
            </w:r>
          </w:p>
        </w:tc>
        <w:tc>
          <w:tcPr>
            <w:tcW w:w="608" w:type="dxa"/>
            <w:shd w:val="clear" w:color="auto" w:fill="C6EFCE"/>
          </w:tcPr>
          <w:p w:rsidRPr="007C39C1" w:rsidR="00D87E44" w:rsidRDefault="00D87E44" w14:paraId="154588AA" w14:textId="77777777">
            <w:pPr>
              <w:spacing w:before="0" w:after="0" w:line="240" w:lineRule="auto"/>
              <w:rPr>
                <w:rFonts w:eastAsia="Times New Roman"/>
                <w:noProof/>
                <w:color w:val="006100"/>
                <w:sz w:val="18"/>
                <w:szCs w:val="18"/>
                <w:lang w:val="en-IE"/>
              </w:rPr>
            </w:pPr>
            <w:r w:rsidRPr="007C39C1">
              <w:rPr>
                <w:rFonts w:eastAsia="Times New Roman"/>
                <w:noProof/>
                <w:color w:val="006100"/>
                <w:sz w:val="18"/>
                <w:szCs w:val="18"/>
                <w:lang w:val="en-IE"/>
              </w:rPr>
              <w:t>2024</w:t>
            </w:r>
          </w:p>
        </w:tc>
        <w:tc>
          <w:tcPr>
            <w:tcW w:w="4745" w:type="dxa"/>
            <w:shd w:val="clear" w:color="auto" w:fill="C6EFCE"/>
          </w:tcPr>
          <w:p w:rsidRPr="007C39C1" w:rsidR="00D87E44" w:rsidRDefault="00D87E44" w14:paraId="154588AB" w14:textId="77777777">
            <w:pPr>
              <w:pBdr>
                <w:top w:val="nil"/>
                <w:left w:val="nil"/>
                <w:bottom w:val="nil"/>
                <w:right w:val="nil"/>
                <w:between w:val="nil"/>
              </w:pBdr>
              <w:spacing w:before="0" w:after="0" w:line="259" w:lineRule="auto"/>
              <w:rPr>
                <w:rFonts w:eastAsia="Times New Roman"/>
                <w:noProof/>
                <w:color w:val="006100"/>
                <w:sz w:val="18"/>
                <w:szCs w:val="18"/>
                <w:lang w:val="en-IE"/>
              </w:rPr>
            </w:pPr>
            <w:r w:rsidRPr="007C39C1">
              <w:rPr>
                <w:rFonts w:eastAsia="Times New Roman"/>
                <w:noProof/>
                <w:color w:val="006100"/>
                <w:sz w:val="18"/>
                <w:szCs w:val="18"/>
                <w:lang w:val="en-IE"/>
              </w:rPr>
              <w:t>Support shall be channelled through a grant scheme with a total allocation of 61</w:t>
            </w:r>
            <w:r>
              <w:rPr>
                <w:rFonts w:eastAsia="Times New Roman"/>
                <w:noProof/>
                <w:color w:val="006100"/>
                <w:sz w:val="18"/>
                <w:szCs w:val="18"/>
                <w:lang w:val="en-IE"/>
              </w:rPr>
              <w:t> </w:t>
            </w:r>
            <w:r w:rsidRPr="007C39C1">
              <w:rPr>
                <w:rFonts w:eastAsia="Times New Roman"/>
                <w:noProof/>
                <w:color w:val="006100"/>
                <w:sz w:val="18"/>
                <w:szCs w:val="18"/>
                <w:lang w:val="en-IE"/>
              </w:rPr>
              <w:t>660</w:t>
            </w:r>
            <w:r>
              <w:rPr>
                <w:rFonts w:eastAsia="Times New Roman"/>
                <w:noProof/>
                <w:color w:val="006100"/>
                <w:sz w:val="18"/>
                <w:szCs w:val="18"/>
                <w:lang w:val="en-IE"/>
              </w:rPr>
              <w:t> </w:t>
            </w:r>
            <w:r w:rsidRPr="007C39C1">
              <w:rPr>
                <w:rFonts w:eastAsia="Times New Roman"/>
                <w:noProof/>
                <w:color w:val="006100"/>
                <w:sz w:val="18"/>
                <w:szCs w:val="18"/>
                <w:lang w:val="en-IE"/>
              </w:rPr>
              <w:t>000 EUR. At least 19 projects shall be supported to increase the capacity of rehabilitation care for patients after critical conditions in healthcare institutions.</w:t>
            </w:r>
          </w:p>
        </w:tc>
      </w:tr>
      <w:tr w:rsidRPr="00FE48E2" w:rsidR="00E3458A" w:rsidTr="00F825FF" w14:paraId="154588B8" w14:textId="77777777">
        <w:trPr>
          <w:trHeight w:val="945"/>
          <w:jc w:val="center"/>
        </w:trPr>
        <w:tc>
          <w:tcPr>
            <w:tcW w:w="675" w:type="dxa"/>
            <w:shd w:val="clear" w:color="auto" w:fill="C6EFCE"/>
          </w:tcPr>
          <w:p w:rsidRPr="00BD790C" w:rsidR="00D87E44" w:rsidRDefault="00D87E44" w14:paraId="154588AD"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235</w:t>
            </w:r>
          </w:p>
        </w:tc>
        <w:tc>
          <w:tcPr>
            <w:tcW w:w="1418" w:type="dxa"/>
            <w:shd w:val="clear" w:color="auto" w:fill="C6EFCE"/>
          </w:tcPr>
          <w:p w:rsidRPr="00BD790C" w:rsidR="00D87E44" w:rsidRDefault="00D87E44" w14:paraId="154588A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Investment 3: Building a centre for cardiovascular and transplant medicine</w:t>
            </w:r>
          </w:p>
        </w:tc>
        <w:tc>
          <w:tcPr>
            <w:tcW w:w="1077" w:type="dxa"/>
            <w:shd w:val="clear" w:color="auto" w:fill="C6EFCE"/>
          </w:tcPr>
          <w:p w:rsidRPr="00BD790C" w:rsidR="00D87E44" w:rsidRDefault="00D87E44" w14:paraId="154588A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Milestone</w:t>
            </w:r>
          </w:p>
        </w:tc>
        <w:tc>
          <w:tcPr>
            <w:tcW w:w="1307" w:type="dxa"/>
            <w:shd w:val="clear" w:color="auto" w:fill="C6EFCE"/>
          </w:tcPr>
          <w:p w:rsidRPr="00BD790C" w:rsidR="00D87E44" w:rsidRDefault="00D87E44" w14:paraId="154588B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Centre for Cardiovascular and Transplant Medicine </w:t>
            </w:r>
          </w:p>
        </w:tc>
        <w:tc>
          <w:tcPr>
            <w:tcW w:w="1701" w:type="dxa"/>
            <w:shd w:val="clear" w:color="auto" w:fill="C6EFCE"/>
          </w:tcPr>
          <w:p w:rsidRPr="00BD790C" w:rsidR="00D87E44" w:rsidRDefault="00D87E44" w14:paraId="154588B1"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Construction of the </w:t>
            </w:r>
            <w:r w:rsidRPr="00BD790C">
              <w:rPr>
                <w:rFonts w:eastAsia="Times New Roman"/>
                <w:noProof/>
                <w:color w:val="006100"/>
                <w:sz w:val="18"/>
                <w:szCs w:val="18"/>
                <w:lang w:val="en-IE"/>
              </w:rPr>
              <w:t xml:space="preserve">Centre for Cardiovascular and Transplant Medicine </w:t>
            </w:r>
          </w:p>
        </w:tc>
        <w:tc>
          <w:tcPr>
            <w:tcW w:w="1077" w:type="dxa"/>
            <w:shd w:val="clear" w:color="auto" w:fill="C6EFCE"/>
          </w:tcPr>
          <w:p w:rsidRPr="00BD790C" w:rsidR="00D87E44" w:rsidRDefault="00D87E44" w14:paraId="154588B2"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8B3" w14:textId="77777777">
            <w:pPr>
              <w:spacing w:before="0" w:after="0" w:line="240" w:lineRule="auto"/>
              <w:rPr>
                <w:rFonts w:eastAsia="Times New Roman"/>
                <w:noProof/>
                <w:color w:val="006100"/>
                <w:sz w:val="18"/>
                <w:szCs w:val="18"/>
                <w:lang w:val="en-IE"/>
              </w:rPr>
            </w:pPr>
          </w:p>
        </w:tc>
        <w:tc>
          <w:tcPr>
            <w:tcW w:w="1077" w:type="dxa"/>
            <w:shd w:val="clear" w:color="auto" w:fill="C6EFCE"/>
          </w:tcPr>
          <w:p w:rsidRPr="00BD790C" w:rsidR="00D87E44" w:rsidRDefault="00D87E44" w14:paraId="154588B4" w14:textId="77777777">
            <w:pPr>
              <w:spacing w:before="0" w:after="0" w:line="240" w:lineRule="auto"/>
              <w:rPr>
                <w:rFonts w:eastAsia="Times New Roman"/>
                <w:noProof/>
                <w:color w:val="006100"/>
                <w:sz w:val="18"/>
                <w:szCs w:val="18"/>
                <w:lang w:val="en-IE"/>
              </w:rPr>
            </w:pPr>
          </w:p>
        </w:tc>
        <w:tc>
          <w:tcPr>
            <w:tcW w:w="850" w:type="dxa"/>
            <w:shd w:val="clear" w:color="auto" w:fill="C6EFCE"/>
          </w:tcPr>
          <w:p w:rsidRPr="00BD790C" w:rsidR="00D87E44" w:rsidRDefault="00D87E44" w14:paraId="154588B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Q4</w:t>
            </w:r>
          </w:p>
        </w:tc>
        <w:tc>
          <w:tcPr>
            <w:tcW w:w="608" w:type="dxa"/>
            <w:shd w:val="clear" w:color="auto" w:fill="C6EFCE"/>
          </w:tcPr>
          <w:p w:rsidRPr="00BD790C" w:rsidR="00D87E44" w:rsidRDefault="00D87E44" w14:paraId="154588B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2025</w:t>
            </w:r>
          </w:p>
        </w:tc>
        <w:tc>
          <w:tcPr>
            <w:tcW w:w="4745" w:type="dxa"/>
            <w:shd w:val="clear" w:color="auto" w:fill="C6EFCE"/>
          </w:tcPr>
          <w:p w:rsidRPr="00BD790C" w:rsidR="00D87E44" w:rsidRDefault="00D87E44" w14:paraId="154588B7" w14:textId="77777777">
            <w:pPr>
              <w:spacing w:before="0" w:after="0" w:line="240" w:lineRule="auto"/>
              <w:rPr>
                <w:rFonts w:eastAsia="Times New Roman"/>
                <w:noProof/>
                <w:color w:val="006100"/>
                <w:sz w:val="18"/>
                <w:szCs w:val="18"/>
                <w:lang w:val="en-IE"/>
              </w:rPr>
            </w:pPr>
            <w:r w:rsidRPr="3FCBF15C">
              <w:rPr>
                <w:rFonts w:eastAsia="Times New Roman"/>
                <w:noProof/>
                <w:color w:val="006100"/>
                <w:sz w:val="18"/>
                <w:szCs w:val="18"/>
                <w:lang w:val="en-IE"/>
              </w:rPr>
              <w:t>C</w:t>
            </w:r>
            <w:r>
              <w:rPr>
                <w:rFonts w:eastAsia="Times New Roman"/>
                <w:noProof/>
                <w:color w:val="006100"/>
                <w:sz w:val="18"/>
                <w:szCs w:val="18"/>
                <w:lang w:val="en-IE"/>
              </w:rPr>
              <w:t>onstruction of</w:t>
            </w:r>
            <w:r w:rsidRPr="3FCBF15C">
              <w:rPr>
                <w:rFonts w:eastAsia="Times New Roman"/>
                <w:noProof/>
                <w:color w:val="006100"/>
                <w:sz w:val="18"/>
                <w:szCs w:val="18"/>
                <w:lang w:val="en-IE"/>
              </w:rPr>
              <w:t xml:space="preserve"> the new</w:t>
            </w:r>
            <w:r w:rsidRPr="00BD790C">
              <w:rPr>
                <w:rFonts w:eastAsia="Times New Roman"/>
                <w:noProof/>
                <w:color w:val="006100"/>
                <w:sz w:val="18"/>
                <w:szCs w:val="18"/>
                <w:lang w:val="en-IE"/>
              </w:rPr>
              <w:t xml:space="preserve"> facilities of the Centre for Cardiovascular and Transplant Medicine</w:t>
            </w:r>
            <w:r>
              <w:rPr>
                <w:rFonts w:eastAsia="Times New Roman"/>
                <w:noProof/>
                <w:color w:val="006100"/>
                <w:sz w:val="18"/>
                <w:szCs w:val="18"/>
                <w:lang w:val="en-IE"/>
              </w:rPr>
              <w:t>.</w:t>
            </w:r>
            <w:r w:rsidRPr="00BD790C">
              <w:rPr>
                <w:rFonts w:eastAsia="Times New Roman"/>
                <w:noProof/>
                <w:color w:val="006100"/>
                <w:sz w:val="18"/>
                <w:szCs w:val="18"/>
                <w:lang w:val="en-IE"/>
              </w:rPr>
              <w:t xml:space="preserve">  </w:t>
            </w:r>
          </w:p>
        </w:tc>
      </w:tr>
    </w:tbl>
    <w:p w:rsidRPr="00FE48E2" w:rsidR="00D87E44" w:rsidP="00D226F4" w:rsidRDefault="00D87E44" w14:paraId="154588B9" w14:textId="77777777">
      <w:pPr>
        <w:pBdr>
          <w:top w:val="nil"/>
          <w:left w:val="nil"/>
          <w:bottom w:val="nil"/>
          <w:right w:val="nil"/>
          <w:between w:val="nil"/>
        </w:pBdr>
        <w:spacing w:line="240" w:lineRule="auto"/>
        <w:rPr>
          <w:rFonts w:ascii="Calibri" w:hAnsi="Calibri"/>
          <w:noProof/>
          <w:color w:val="000000"/>
          <w:sz w:val="22"/>
          <w:lang w:val="en-IE"/>
        </w:rPr>
        <w:sectPr w:rsidRPr="00FE48E2" w:rsidR="00C16C1F" w:rsidSect="00D226F4">
          <w:headerReference w:type="even" r:id="Ra5e47523ec0e4dd9"/>
          <w:headerReference w:type="default" r:id="Ra170b7deed414f00"/>
          <w:footerReference w:type="even" r:id="R65fc1d9cc2dd4ca7"/>
          <w:footerReference w:type="default" r:id="R762797e3ec234c53"/>
          <w:headerReference w:type="first" r:id="R6e1babe96c64439f"/>
          <w:footerReference w:type="first" r:id="Ra6a54400d853425f"/>
          <w:pgSz w:w="16839" w:h="11907" w:orient="landscape"/>
          <w:pgMar w:top="1134" w:right="1134" w:bottom="1134" w:left="1134" w:header="567" w:footer="567" w:gutter="0"/>
          <w:cols w:space="708"/>
          <w:docGrid w:linePitch="326"/>
        </w:sectPr>
      </w:pPr>
    </w:p>
    <w:p w:rsidRPr="00FE48E2" w:rsidR="00D87E44" w:rsidP="00D226F4" w:rsidRDefault="00D87E44" w14:paraId="154588BA"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DD. COMPONENT 6.2: The National Plan to Strengthen Oncological Prevention and Care</w:t>
      </w:r>
    </w:p>
    <w:p w:rsidRPr="00FE48E2" w:rsidR="00D87E44" w:rsidP="00D226F4" w:rsidRDefault="00D87E44" w14:paraId="154588BB"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This component </w:t>
      </w:r>
      <w:r w:rsidRPr="00FE48E2">
        <w:rPr>
          <w:rFonts w:eastAsia="Times New Roman"/>
          <w:noProof/>
          <w:szCs w:val="24"/>
          <w:lang w:val="en-IE"/>
        </w:rPr>
        <w:t xml:space="preserve">of the Czech recovery and resilience plan </w:t>
      </w:r>
      <w:r w:rsidRPr="00FE48E2">
        <w:rPr>
          <w:rFonts w:eastAsia="Times New Roman"/>
          <w:noProof/>
          <w:szCs w:val="24"/>
          <w:lang w:val="en-IE" w:eastAsia="cs-CZ"/>
        </w:rPr>
        <w:t xml:space="preserve">addresses the challenge of increasing the resilience of the cancer prevention and care system, which has been affected by the long-term negative effects of the COVID-19 pandemic. </w:t>
      </w:r>
    </w:p>
    <w:p w:rsidRPr="00FE48E2" w:rsidR="00D87E44" w:rsidP="00D226F4" w:rsidRDefault="00D87E44" w14:paraId="154588BC"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With respect to reforms, a new National Oncological Programme for the Czech Republic for 2022-2030 shall be set up and the scope and quality of screening programmes for cancer prevention shall be enhanced.</w:t>
      </w:r>
    </w:p>
    <w:p w:rsidRPr="00FE48E2" w:rsidR="00D87E44" w:rsidP="00D226F4" w:rsidRDefault="00D87E44" w14:paraId="154588BD"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With respect to healthcare infrastructure, the objective is to support the construction of the Czech Oncology Institute in Prague and the Centre for Oncological Prevention. Furthermore, oncological and hematooncological care facilities shall be also supported, as well as new facilities at the </w:t>
      </w:r>
      <w:r w:rsidRPr="00813A2D">
        <w:rPr>
          <w:rFonts w:eastAsia="Times New Roman"/>
          <w:noProof/>
          <w:szCs w:val="24"/>
          <w:lang w:val="en-IE" w:eastAsia="cs-CZ"/>
        </w:rPr>
        <w:t>Masaryk Memorial Cancer Institute</w:t>
      </w:r>
      <w:r w:rsidRPr="00FE48E2">
        <w:rPr>
          <w:rFonts w:eastAsia="Times New Roman"/>
          <w:noProof/>
          <w:szCs w:val="24"/>
          <w:lang w:val="en-IE" w:eastAsia="cs-CZ"/>
        </w:rPr>
        <w:t xml:space="preserve"> in Brno to strengthen cancer prevention. </w:t>
      </w:r>
    </w:p>
    <w:p w:rsidRPr="00FE48E2" w:rsidR="00D87E44" w:rsidP="00D226F4" w:rsidRDefault="00D87E44" w14:paraId="154588BE"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The component contributes to addressing the country-specific recommendation 1, 2020, according to which Czechia shall ensure the resilience of the health system, strengthen the availability of health workers, primary care and the integration of care, and deployment of e-health services.</w:t>
      </w:r>
    </w:p>
    <w:p w:rsidRPr="00FE48E2" w:rsidR="00D87E44" w:rsidP="00D226F4" w:rsidRDefault="00D87E44" w14:paraId="154588BF"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Guidance (2021/C58/01). </w:t>
      </w:r>
    </w:p>
    <w:p w:rsidRPr="00FE48E2" w:rsidR="00D87E44" w:rsidP="00D226F4" w:rsidRDefault="00D87E44" w14:paraId="154588C0" w14:textId="77777777">
      <w:pPr>
        <w:spacing w:line="240" w:lineRule="auto"/>
        <w:jc w:val="both"/>
        <w:rPr>
          <w:rFonts w:eastAsia="Times New Roman"/>
          <w:noProof/>
          <w:szCs w:val="24"/>
          <w:highlight w:val="yellow"/>
          <w:lang w:val="en-IE" w:eastAsia="cs-CZ"/>
        </w:rPr>
      </w:pPr>
    </w:p>
    <w:p w:rsidRPr="00FE48E2" w:rsidR="00D87E44" w:rsidP="00D226F4" w:rsidRDefault="00D87E44" w14:paraId="154588C1" w14:textId="77777777">
      <w:pPr>
        <w:spacing w:line="240" w:lineRule="auto"/>
        <w:jc w:val="both"/>
        <w:rPr>
          <w:rFonts w:eastAsia="Times New Roman"/>
          <w:noProof/>
          <w:lang w:val="en-IE" w:eastAsia="cs-CZ"/>
        </w:rPr>
      </w:pPr>
      <w:r w:rsidRPr="1B282876">
        <w:rPr>
          <w:rFonts w:eastAsia="Times New Roman"/>
          <w:b/>
          <w:bCs/>
          <w:noProof/>
          <w:u w:val="single"/>
          <w:lang w:val="en-IE" w:eastAsia="cs-CZ"/>
        </w:rPr>
        <w:t>DD.1. Description of the reforms and investments for non-repayable financial support</w:t>
      </w:r>
    </w:p>
    <w:p w:rsidRPr="007C39C1" w:rsidR="00D87E44" w:rsidP="00D226F4" w:rsidRDefault="00D87E44" w14:paraId="154588C2" w14:textId="77777777">
      <w:pPr>
        <w:spacing w:line="240" w:lineRule="auto"/>
        <w:rPr>
          <w:rFonts w:eastAsia="Times New Roman"/>
          <w:b/>
          <w:noProof/>
          <w:lang w:val="en-IE" w:eastAsia="cs-CZ"/>
        </w:rPr>
      </w:pPr>
      <w:r w:rsidRPr="007C39C1">
        <w:rPr>
          <w:rFonts w:eastAsia="Times New Roman"/>
          <w:b/>
          <w:noProof/>
          <w:lang w:val="en-IE" w:eastAsia="cs-CZ"/>
        </w:rPr>
        <w:t>Reform 1: National Oncological Programme of the Czech Republic – NOP CZ 2030</w:t>
      </w:r>
    </w:p>
    <w:p w:rsidRPr="007C39C1" w:rsidR="00D87E44" w:rsidP="00D226F4" w:rsidRDefault="00D87E44" w14:paraId="154588C3" w14:textId="77777777">
      <w:pPr>
        <w:spacing w:line="240" w:lineRule="auto"/>
        <w:jc w:val="both"/>
        <w:rPr>
          <w:rFonts w:eastAsia="Times New Roman"/>
          <w:noProof/>
          <w:szCs w:val="24"/>
          <w:lang w:val="en-IE" w:eastAsia="cs-CZ"/>
        </w:rPr>
      </w:pPr>
      <w:r w:rsidRPr="007C39C1">
        <w:rPr>
          <w:rFonts w:eastAsia="Times New Roman"/>
          <w:noProof/>
          <w:lang w:val="en-IE" w:eastAsia="cs-CZ"/>
        </w:rPr>
        <w:t>The reform is aimed at establishing the Czech Republic’s National Oncological Programme for the period 2022-2030 (NOP CR 2030). The NOP 2022-2030 shall reflect the priorities set out in Europe’s Beating Cancer Plan, including the principles of the Patient-Centred Cancer Care Culture</w:t>
      </w:r>
      <w:r w:rsidRPr="007C39C1">
        <w:rPr>
          <w:rFonts w:eastAsia="Times New Roman"/>
          <w:noProof/>
          <w:vertAlign w:val="superscript"/>
          <w:lang w:val="en-IE" w:eastAsia="cs-CZ"/>
        </w:rPr>
        <w:footnoteReference w:id="19"/>
      </w:r>
      <w:r w:rsidRPr="007C39C1">
        <w:rPr>
          <w:rFonts w:eastAsia="Times New Roman"/>
          <w:noProof/>
          <w:lang w:val="en-IE" w:eastAsia="cs-CZ"/>
        </w:rPr>
        <w:t xml:space="preserve">. The preparation of the programme is under the responsibility of the Czech Oncological Society. The </w:t>
      </w:r>
      <w:r w:rsidRPr="007C39C1">
        <w:rPr>
          <w:rFonts w:eastAsia="Times New Roman"/>
          <w:noProof/>
          <w:lang w:val="en-IE" w:eastAsia="cs-CZ"/>
        </w:rPr>
        <w:t>Ministry of Health shall set up a National Council for the Implementation of the NOP, which shall play a coordinating role in the preparation, implementation and evaluation phases.</w:t>
      </w:r>
    </w:p>
    <w:p w:rsidRPr="00FE48E2" w:rsidR="00D87E44" w:rsidP="00D226F4" w:rsidRDefault="00D87E44" w14:paraId="154588C4" w14:textId="77777777">
      <w:pPr>
        <w:spacing w:line="240" w:lineRule="auto"/>
        <w:jc w:val="both"/>
        <w:rPr>
          <w:rFonts w:eastAsia="Times New Roman"/>
          <w:noProof/>
          <w:szCs w:val="24"/>
          <w:lang w:val="en-IE" w:eastAsia="cs-CZ"/>
        </w:rPr>
      </w:pPr>
      <w:r w:rsidRPr="007C39C1">
        <w:rPr>
          <w:rFonts w:eastAsia="Times New Roman"/>
          <w:noProof/>
          <w:szCs w:val="24"/>
          <w:lang w:val="en-IE" w:eastAsia="cs-CZ"/>
        </w:rPr>
        <w:t>The reform shall be completed by 31 Dececmber 2025.</w:t>
      </w:r>
    </w:p>
    <w:p w:rsidRPr="00FE48E2" w:rsidR="00D87E44" w:rsidP="00D226F4" w:rsidRDefault="00D87E44" w14:paraId="154588C5" w14:textId="77777777">
      <w:pPr>
        <w:spacing w:line="240" w:lineRule="auto"/>
        <w:rPr>
          <w:rFonts w:eastAsia="Times New Roman"/>
          <w:noProof/>
          <w:szCs w:val="24"/>
          <w:lang w:val="en-IE" w:eastAsia="cs-CZ"/>
        </w:rPr>
      </w:pPr>
      <w:r w:rsidRPr="00FE48E2">
        <w:rPr>
          <w:rFonts w:eastAsia="Times New Roman"/>
          <w:b/>
          <w:noProof/>
          <w:szCs w:val="24"/>
          <w:lang w:val="en-IE" w:eastAsia="cs-CZ"/>
        </w:rPr>
        <w:t>Reform 2: Supporting and enhancing the quality of preventive screening programmes</w:t>
      </w:r>
    </w:p>
    <w:p w:rsidR="00D87E44" w:rsidP="00D226F4" w:rsidRDefault="00D87E44" w14:paraId="154588C6" w14:textId="77777777">
      <w:pPr>
        <w:spacing w:line="240" w:lineRule="auto"/>
        <w:jc w:val="both"/>
        <w:rPr>
          <w:rFonts w:eastAsia="Times New Roman"/>
          <w:noProof/>
          <w:lang w:val="en-IE" w:eastAsia="cs-CZ"/>
        </w:rPr>
      </w:pPr>
      <w:r w:rsidRPr="4A45BCA2">
        <w:rPr>
          <w:rFonts w:eastAsia="Times New Roman"/>
          <w:noProof/>
          <w:lang w:val="en-IE" w:eastAsia="cs-CZ"/>
        </w:rPr>
        <w:t xml:space="preserve">The objective of this  measure is to enhance the scope and quality of cancer prevention programmes with the aim to reduce morbidity and mortality of cancer cases, limit the costs of treatment at advanced stages of the disease and increase life expectancy and quality of life. </w:t>
      </w:r>
    </w:p>
    <w:p w:rsidRPr="00FE48E2" w:rsidR="00D87E44" w:rsidP="00FF1320" w:rsidRDefault="00D87E44" w14:paraId="154588C7" w14:textId="77777777">
      <w:pPr>
        <w:spacing w:line="240" w:lineRule="auto"/>
        <w:jc w:val="both"/>
        <w:rPr>
          <w:rFonts w:eastAsia="Times New Roman"/>
          <w:noProof/>
          <w:lang w:val="en-IE" w:eastAsia="cs-CZ"/>
        </w:rPr>
      </w:pPr>
      <w:r w:rsidRPr="3FCBF15C">
        <w:rPr>
          <w:rFonts w:eastAsia="Times New Roman"/>
          <w:noProof/>
          <w:lang w:val="en-IE" w:eastAsia="cs-CZ"/>
        </w:rPr>
        <w:t>This reform consists of</w:t>
      </w:r>
      <w:r>
        <w:rPr>
          <w:rFonts w:eastAsia="Times New Roman"/>
          <w:noProof/>
          <w:lang w:val="en-IE" w:eastAsia="cs-CZ"/>
        </w:rPr>
        <w:t xml:space="preserve"> the </w:t>
      </w:r>
      <w:r w:rsidRPr="5D0A24FB">
        <w:rPr>
          <w:rFonts w:eastAsia="Times New Roman"/>
          <w:noProof/>
          <w:lang w:val="en-IE" w:eastAsia="cs-CZ"/>
        </w:rPr>
        <w:t>appointment of the National Screening Centre</w:t>
      </w:r>
      <w:r>
        <w:rPr>
          <w:rFonts w:eastAsia="Times New Roman"/>
          <w:noProof/>
          <w:lang w:val="en-IE" w:eastAsia="cs-CZ"/>
        </w:rPr>
        <w:t xml:space="preserve"> </w:t>
      </w:r>
      <w:r w:rsidRPr="5D0A24FB">
        <w:rPr>
          <w:rFonts w:eastAsia="Times New Roman"/>
          <w:noProof/>
          <w:lang w:val="en-IE" w:eastAsia="cs-CZ"/>
        </w:rPr>
        <w:t xml:space="preserve">as the body responsible for </w:t>
      </w:r>
      <w:r>
        <w:rPr>
          <w:rFonts w:eastAsia="Times New Roman"/>
          <w:noProof/>
          <w:lang w:val="en-IE" w:eastAsia="cs-CZ"/>
        </w:rPr>
        <w:t xml:space="preserve">the </w:t>
      </w:r>
      <w:r w:rsidRPr="5D0A24FB">
        <w:rPr>
          <w:rFonts w:eastAsia="Times New Roman"/>
          <w:noProof/>
          <w:lang w:val="en-IE" w:eastAsia="cs-CZ"/>
        </w:rPr>
        <w:t>coordination of cancer screening programs</w:t>
      </w:r>
      <w:r>
        <w:rPr>
          <w:rFonts w:eastAsia="Times New Roman"/>
          <w:noProof/>
          <w:lang w:val="en-IE" w:eastAsia="cs-CZ"/>
        </w:rPr>
        <w:t xml:space="preserve">, </w:t>
      </w:r>
      <w:r w:rsidRPr="30492BE8">
        <w:rPr>
          <w:rFonts w:eastAsia="Times New Roman"/>
          <w:noProof/>
          <w:lang w:eastAsia="cs-CZ"/>
        </w:rPr>
        <w:t>reaching 40%</w:t>
      </w:r>
      <w:r w:rsidRPr="5B37AF0D">
        <w:rPr>
          <w:rFonts w:eastAsia="Times New Roman"/>
          <w:noProof/>
          <w:lang w:eastAsia="cs-CZ"/>
        </w:rPr>
        <w:t xml:space="preserve"> </w:t>
      </w:r>
      <w:r w:rsidRPr="00336374">
        <w:rPr>
          <w:rFonts w:eastAsia="Times New Roman"/>
          <w:noProof/>
          <w:lang w:eastAsia="cs-CZ"/>
        </w:rPr>
        <w:t>coverage</w:t>
      </w:r>
      <w:r w:rsidRPr="11359A6D">
        <w:rPr>
          <w:rFonts w:eastAsia="Times New Roman"/>
          <w:noProof/>
          <w:lang w:eastAsia="cs-CZ"/>
        </w:rPr>
        <w:t xml:space="preserve"> of</w:t>
      </w:r>
      <w:r w:rsidRPr="00336374">
        <w:rPr>
          <w:rFonts w:eastAsia="Times New Roman"/>
          <w:noProof/>
          <w:lang w:eastAsia="cs-CZ"/>
        </w:rPr>
        <w:t xml:space="preserve"> the target population</w:t>
      </w:r>
      <w:r>
        <w:rPr>
          <w:rFonts w:eastAsia="Times New Roman"/>
          <w:noProof/>
          <w:lang w:eastAsia="cs-CZ"/>
        </w:rPr>
        <w:t xml:space="preserve"> </w:t>
      </w:r>
      <w:r w:rsidRPr="00336374">
        <w:rPr>
          <w:rFonts w:eastAsia="Times New Roman"/>
          <w:noProof/>
          <w:lang w:eastAsia="cs-CZ"/>
        </w:rPr>
        <w:t xml:space="preserve">by </w:t>
      </w:r>
      <w:r w:rsidRPr="00336374">
        <w:rPr>
          <w:rFonts w:eastAsia="Times New Roman"/>
          <w:noProof/>
          <w:lang w:eastAsia="cs-CZ"/>
        </w:rPr>
        <w:lastRenderedPageBreak/>
        <w:t>the colorectal cancer screening programme</w:t>
      </w:r>
      <w:r>
        <w:rPr>
          <w:rFonts w:eastAsia="Times New Roman"/>
          <w:noProof/>
          <w:lang w:eastAsia="cs-CZ"/>
        </w:rPr>
        <w:t xml:space="preserve"> and the launch</w:t>
      </w:r>
      <w:r w:rsidRPr="00FF1320">
        <w:t xml:space="preserve"> of </w:t>
      </w:r>
      <w:r>
        <w:rPr>
          <w:rFonts w:eastAsia="Times New Roman"/>
          <w:noProof/>
          <w:lang w:eastAsia="cs-CZ"/>
        </w:rPr>
        <w:t xml:space="preserve">the </w:t>
      </w:r>
      <w:r w:rsidRPr="00FF1320">
        <w:t xml:space="preserve">new early </w:t>
      </w:r>
      <w:r w:rsidRPr="131CB2DC">
        <w:rPr>
          <w:rFonts w:eastAsia="Times New Roman"/>
          <w:noProof/>
          <w:lang w:val="en-IE" w:eastAsia="cs-CZ"/>
        </w:rPr>
        <w:t>lung</w:t>
      </w:r>
      <w:r w:rsidRPr="3FCBF15C">
        <w:rPr>
          <w:rFonts w:eastAsia="Times New Roman"/>
          <w:noProof/>
          <w:lang w:val="en-IE" w:eastAsia="cs-CZ"/>
        </w:rPr>
        <w:t xml:space="preserve"> cancer detection programme</w:t>
      </w:r>
      <w:r>
        <w:rPr>
          <w:rFonts w:eastAsia="Times New Roman"/>
          <w:noProof/>
          <w:lang w:val="en-IE" w:eastAsia="cs-CZ"/>
        </w:rPr>
        <w:t>.</w:t>
      </w:r>
      <w:r w:rsidRPr="3FCBF15C">
        <w:rPr>
          <w:rFonts w:eastAsia="Times New Roman"/>
          <w:noProof/>
          <w:lang w:val="en-IE" w:eastAsia="cs-CZ"/>
        </w:rPr>
        <w:t xml:space="preserve"> </w:t>
      </w:r>
    </w:p>
    <w:p w:rsidR="00D87E44" w:rsidP="0B218058" w:rsidRDefault="00D87E44" w14:paraId="154588C8" w14:textId="77777777">
      <w:pPr>
        <w:spacing w:line="240" w:lineRule="auto"/>
        <w:jc w:val="both"/>
        <w:rPr>
          <w:rFonts w:eastAsia="Times New Roman"/>
          <w:noProof/>
          <w:lang w:val="en-IE" w:eastAsia="cs-CZ"/>
        </w:rPr>
      </w:pPr>
    </w:p>
    <w:p w:rsidRPr="00FE48E2" w:rsidR="00D87E44" w:rsidP="00FF1320" w:rsidRDefault="00D87E44" w14:paraId="154588C9" w14:textId="77777777">
      <w:pPr>
        <w:spacing w:line="259" w:lineRule="auto"/>
        <w:contextualSpacing/>
        <w:jc w:val="both"/>
        <w:rPr>
          <w:rFonts w:eastAsia="Times New Roman"/>
          <w:b/>
          <w:noProof/>
          <w:szCs w:val="24"/>
          <w:lang w:val="en-IE" w:eastAsia="cs-CZ"/>
        </w:rPr>
      </w:pPr>
      <w:r w:rsidRPr="00FE48E2">
        <w:rPr>
          <w:rFonts w:eastAsia="Times New Roman"/>
          <w:b/>
          <w:noProof/>
          <w:szCs w:val="24"/>
          <w:lang w:val="en-IE" w:eastAsia="cs-CZ"/>
        </w:rPr>
        <w:t>Investment 1: Establishment of the Czech Oncology Institute</w:t>
      </w:r>
    </w:p>
    <w:p w:rsidRPr="00FF1320" w:rsidR="00D87E44" w:rsidP="001E639D" w:rsidRDefault="00D87E44" w14:paraId="154588CA" w14:textId="77777777">
      <w:pPr>
        <w:spacing w:line="240" w:lineRule="auto"/>
        <w:jc w:val="both"/>
        <w:rPr>
          <w:b/>
          <w:lang w:val="en-IE"/>
        </w:rPr>
      </w:pPr>
      <w:r w:rsidRPr="00FE48E2">
        <w:rPr>
          <w:rFonts w:eastAsia="Times New Roman"/>
          <w:noProof/>
          <w:lang w:val="en-IE" w:eastAsia="cs-CZ"/>
        </w:rPr>
        <w:t>The</w:t>
      </w:r>
      <w:r>
        <w:rPr>
          <w:rFonts w:eastAsia="Times New Roman"/>
          <w:noProof/>
          <w:lang w:val="en-IE" w:eastAsia="cs-CZ"/>
        </w:rPr>
        <w:t xml:space="preserve"> objective of the measure is to</w:t>
      </w:r>
      <w:r w:rsidRPr="00FE48E2">
        <w:rPr>
          <w:rFonts w:eastAsia="Times New Roman"/>
          <w:noProof/>
          <w:lang w:val="en-IE" w:eastAsia="cs-CZ"/>
        </w:rPr>
        <w:t xml:space="preserve"> build the Czech Oncology Institute in Prague </w:t>
      </w:r>
      <w:r>
        <w:rPr>
          <w:rFonts w:eastAsia="Times New Roman"/>
          <w:noProof/>
          <w:lang w:val="en-IE" w:eastAsia="cs-CZ"/>
        </w:rPr>
        <w:t xml:space="preserve">for </w:t>
      </w:r>
      <w:r w:rsidRPr="00FE48E2">
        <w:rPr>
          <w:rFonts w:eastAsia="Times New Roman"/>
          <w:noProof/>
          <w:lang w:val="en-IE" w:eastAsia="cs-CZ"/>
        </w:rPr>
        <w:t>cancer prevention, diagnosis and treatment, in one single point-of-care.</w:t>
      </w:r>
      <w:r>
        <w:rPr>
          <w:rFonts w:eastAsia="Times New Roman"/>
          <w:noProof/>
          <w:lang w:val="en-IE" w:eastAsia="cs-CZ"/>
        </w:rPr>
        <w:t xml:space="preserve"> </w:t>
      </w:r>
      <w:r w:rsidRPr="00FE48E2">
        <w:rPr>
          <w:rFonts w:eastAsia="Times New Roman"/>
          <w:noProof/>
          <w:lang w:val="en-IE" w:eastAsia="cs-CZ"/>
        </w:rPr>
        <w:t xml:space="preserve">The investment </w:t>
      </w:r>
      <w:r w:rsidRPr="3FCBF15C">
        <w:rPr>
          <w:rFonts w:eastAsia="Times New Roman"/>
          <w:noProof/>
          <w:lang w:val="en-IE" w:eastAsia="cs-CZ"/>
        </w:rPr>
        <w:t xml:space="preserve">consists </w:t>
      </w:r>
      <w:r>
        <w:rPr>
          <w:rFonts w:eastAsia="Times New Roman"/>
          <w:noProof/>
          <w:lang w:val="en-IE" w:eastAsia="cs-CZ"/>
        </w:rPr>
        <w:t>of</w:t>
      </w:r>
      <w:r w:rsidRPr="00FE48E2">
        <w:rPr>
          <w:rFonts w:eastAsia="Times New Roman"/>
          <w:noProof/>
          <w:lang w:val="en-IE" w:eastAsia="cs-CZ"/>
        </w:rPr>
        <w:t xml:space="preserve"> the construction of a new building and acquisition of </w:t>
      </w:r>
      <w:r w:rsidRPr="284EE3A0">
        <w:rPr>
          <w:rFonts w:eastAsia="Times New Roman"/>
          <w:noProof/>
          <w:lang w:val="en-IE" w:eastAsia="cs-CZ"/>
        </w:rPr>
        <w:t>clinical equipment</w:t>
      </w:r>
      <w:r w:rsidRPr="00FE48E2">
        <w:rPr>
          <w:rFonts w:eastAsia="Times New Roman"/>
          <w:noProof/>
          <w:lang w:val="en-IE" w:eastAsia="cs-CZ"/>
        </w:rPr>
        <w:t xml:space="preserve">. </w:t>
      </w:r>
    </w:p>
    <w:p w:rsidRPr="00FE48E2" w:rsidR="00D87E44" w:rsidP="00D226F4" w:rsidRDefault="00D87E44" w14:paraId="154588CB" w14:textId="77777777">
      <w:pPr>
        <w:spacing w:line="240" w:lineRule="auto"/>
        <w:jc w:val="both"/>
        <w:rPr>
          <w:rFonts w:eastAsia="Times New Roman"/>
          <w:b/>
          <w:noProof/>
          <w:szCs w:val="24"/>
          <w:lang w:val="en-IE" w:eastAsia="cs-CZ"/>
        </w:rPr>
      </w:pPr>
      <w:r w:rsidRPr="00FE48E2">
        <w:rPr>
          <w:rFonts w:eastAsia="Times New Roman"/>
          <w:b/>
          <w:noProof/>
          <w:szCs w:val="24"/>
          <w:lang w:val="en-IE" w:eastAsia="cs-CZ"/>
        </w:rPr>
        <w:t>Investment 2: Developing highly specialised oncological and hematooncological care</w:t>
      </w:r>
    </w:p>
    <w:p w:rsidRPr="00FF1320" w:rsidR="00D87E44" w:rsidP="00D226F4" w:rsidRDefault="00D87E44" w14:paraId="154588CC" w14:textId="77777777">
      <w:pPr>
        <w:spacing w:line="240" w:lineRule="auto"/>
        <w:jc w:val="both"/>
        <w:rPr>
          <w:lang w:val="en-IE"/>
        </w:rPr>
      </w:pPr>
      <w:r w:rsidRPr="0E87DC08">
        <w:rPr>
          <w:rFonts w:eastAsia="Times New Roman"/>
          <w:noProof/>
          <w:lang w:val="en-IE" w:eastAsia="cs-CZ"/>
        </w:rPr>
        <w:t xml:space="preserve">The objective of this measure is to </w:t>
      </w:r>
      <w:r>
        <w:rPr>
          <w:rFonts w:eastAsia="Times New Roman"/>
          <w:noProof/>
          <w:lang w:val="en-IE" w:eastAsia="cs-CZ"/>
        </w:rPr>
        <w:t>support</w:t>
      </w:r>
      <w:r w:rsidRPr="0E87DC08">
        <w:rPr>
          <w:rFonts w:eastAsia="Times New Roman"/>
          <w:noProof/>
          <w:lang w:val="en-IE" w:eastAsia="cs-CZ"/>
        </w:rPr>
        <w:t xml:space="preserve"> cancer care </w:t>
      </w:r>
      <w:r>
        <w:rPr>
          <w:rFonts w:eastAsia="Times New Roman"/>
          <w:noProof/>
          <w:lang w:val="en-IE" w:eastAsia="cs-CZ"/>
        </w:rPr>
        <w:t>and</w:t>
      </w:r>
      <w:r w:rsidRPr="0E87DC08">
        <w:rPr>
          <w:rFonts w:eastAsia="Times New Roman"/>
          <w:noProof/>
          <w:lang w:val="en-IE" w:eastAsia="cs-CZ"/>
        </w:rPr>
        <w:t xml:space="preserve"> hematooncology by the acquisition of technologies and equipment. The investment consists of financial support for Complex Oncology Centres and Centres of highly specialised oncology and hematooncology care.</w:t>
      </w:r>
    </w:p>
    <w:p w:rsidRPr="00FE48E2" w:rsidR="00D87E44" w:rsidP="00D226F4" w:rsidRDefault="00D87E44" w14:paraId="154588CD" w14:textId="77777777">
      <w:pPr>
        <w:keepNext/>
        <w:spacing w:line="240" w:lineRule="auto"/>
        <w:jc w:val="both"/>
        <w:rPr>
          <w:rFonts w:eastAsia="Times New Roman"/>
          <w:b/>
          <w:noProof/>
          <w:szCs w:val="24"/>
          <w:lang w:val="en-IE" w:eastAsia="cs-CZ"/>
        </w:rPr>
      </w:pPr>
      <w:r w:rsidRPr="00FE48E2">
        <w:rPr>
          <w:rFonts w:eastAsia="Times New Roman"/>
          <w:b/>
          <w:noProof/>
          <w:szCs w:val="24"/>
          <w:lang w:val="en-IE" w:eastAsia="cs-CZ"/>
        </w:rPr>
        <w:t xml:space="preserve">Investment 3: Establishment and development of the Centre for Cancer Prevention and Infrastructure for Innovative and Supportive Care at the </w:t>
      </w:r>
      <w:r w:rsidRPr="00E6515D">
        <w:rPr>
          <w:rFonts w:eastAsia="Times New Roman"/>
          <w:b/>
          <w:noProof/>
          <w:szCs w:val="24"/>
          <w:lang w:val="en-IE" w:eastAsia="cs-CZ"/>
        </w:rPr>
        <w:t>Masaryk Memorial Cancer Institute</w:t>
      </w:r>
      <w:r w:rsidRPr="6AE056C4">
        <w:rPr>
          <w:rFonts w:eastAsia="Times New Roman"/>
          <w:b/>
          <w:bCs/>
          <w:noProof/>
          <w:lang w:val="en-IE" w:eastAsia="cs-CZ"/>
        </w:rPr>
        <w:t>.</w:t>
      </w:r>
    </w:p>
    <w:p w:rsidRPr="00FE48E2" w:rsidR="00D87E44" w:rsidP="00A25F33" w:rsidRDefault="00D87E44" w14:paraId="154588CE" w14:textId="77777777">
      <w:pPr>
        <w:autoSpaceDE w:val="0"/>
        <w:autoSpaceDN w:val="0"/>
        <w:adjustRightInd w:val="0"/>
        <w:spacing w:line="240" w:lineRule="auto"/>
        <w:rPr>
          <w:rFonts w:eastAsia="Times New Roman"/>
          <w:b/>
          <w:noProof/>
          <w:color w:val="000000"/>
          <w:szCs w:val="24"/>
          <w:u w:val="single"/>
          <w:lang w:val="en-IE" w:eastAsia="cs-CZ"/>
        </w:rPr>
        <w:sectPr w:rsidRPr="00FE48E2" w:rsidR="00C16C1F" w:rsidSect="00D226F4">
          <w:headerReference w:type="even" r:id="R70d5f20852f04133"/>
          <w:headerReference w:type="default" r:id="R675f1ff79b9149e1"/>
          <w:footerReference w:type="even" r:id="Rf9ccb57e3b444ad3"/>
          <w:footerReference w:type="default" r:id="R069a0074af794be6"/>
          <w:headerReference w:type="first" r:id="R57eb439b7cb64d60"/>
          <w:footerReference w:type="first" r:id="R46631a74d95e4e15"/>
          <w:pgSz w:w="11907" w:h="16839"/>
          <w:pgMar w:top="1134" w:right="1134" w:bottom="1134" w:left="1134" w:header="567" w:footer="567" w:gutter="0"/>
          <w:cols w:space="720"/>
          <w:docGrid w:linePitch="360"/>
        </w:sectPr>
      </w:pPr>
      <w:r w:rsidRPr="00FE48E2">
        <w:rPr>
          <w:noProof/>
          <w:color w:val="000000" w:themeColor="text1"/>
          <w:lang w:val="en-IE"/>
        </w:rPr>
        <w:t xml:space="preserve">The </w:t>
      </w:r>
      <w:r>
        <w:rPr>
          <w:noProof/>
          <w:color w:val="000000" w:themeColor="text1"/>
          <w:lang w:val="en-IE"/>
        </w:rPr>
        <w:t xml:space="preserve">objective of this </w:t>
      </w:r>
      <w:r>
        <w:rPr>
          <w:noProof/>
          <w:color w:val="000000" w:themeColor="text1"/>
          <w:lang w:val="en-IE"/>
        </w:rPr>
        <w:t>measure</w:t>
      </w:r>
      <w:r w:rsidRPr="00FE48E2">
        <w:rPr>
          <w:noProof/>
          <w:color w:val="000000" w:themeColor="text1"/>
          <w:lang w:val="en-IE"/>
        </w:rPr>
        <w:t xml:space="preserve"> </w:t>
      </w:r>
      <w:r>
        <w:rPr>
          <w:noProof/>
          <w:color w:val="000000" w:themeColor="text1"/>
          <w:lang w:val="en-IE"/>
        </w:rPr>
        <w:t>is to</w:t>
      </w:r>
      <w:r w:rsidRPr="00FE48E2">
        <w:rPr>
          <w:noProof/>
          <w:color w:val="000000" w:themeColor="text1"/>
          <w:lang w:val="en-IE"/>
        </w:rPr>
        <w:t xml:space="preserve"> </w:t>
      </w:r>
      <w:r>
        <w:rPr>
          <w:noProof/>
          <w:color w:val="000000" w:themeColor="text1"/>
          <w:lang w:val="en-IE"/>
        </w:rPr>
        <w:t>support</w:t>
      </w:r>
      <w:r w:rsidRPr="00FE48E2">
        <w:rPr>
          <w:noProof/>
          <w:color w:val="000000" w:themeColor="text1"/>
          <w:lang w:val="en-IE"/>
        </w:rPr>
        <w:t xml:space="preserve"> cancer prevention and care in the </w:t>
      </w:r>
      <w:r w:rsidRPr="00024F05">
        <w:rPr>
          <w:noProof/>
          <w:color w:val="000000" w:themeColor="text1"/>
          <w:lang w:val="en-IE"/>
        </w:rPr>
        <w:t>Masaryk Memorial Cancer Institute in</w:t>
      </w:r>
      <w:r w:rsidRPr="00FE48E2">
        <w:rPr>
          <w:noProof/>
          <w:color w:val="000000" w:themeColor="text1"/>
          <w:lang w:val="en-IE"/>
        </w:rPr>
        <w:t xml:space="preserve"> Brno. </w:t>
      </w:r>
      <w:r>
        <w:rPr>
          <w:noProof/>
          <w:color w:val="000000" w:themeColor="text1"/>
          <w:lang w:val="en-IE"/>
        </w:rPr>
        <w:t xml:space="preserve">The investment consists of </w:t>
      </w:r>
      <w:r w:rsidRPr="00FE48E2">
        <w:rPr>
          <w:noProof/>
          <w:color w:val="000000" w:themeColor="text1"/>
          <w:lang w:val="en-IE"/>
        </w:rPr>
        <w:t xml:space="preserve">the construction of </w:t>
      </w:r>
      <w:r>
        <w:rPr>
          <w:noProof/>
          <w:color w:val="000000" w:themeColor="text1"/>
          <w:lang w:val="en-IE"/>
        </w:rPr>
        <w:t xml:space="preserve">new </w:t>
      </w:r>
      <w:r w:rsidRPr="00FE48E2">
        <w:rPr>
          <w:noProof/>
          <w:color w:val="000000" w:themeColor="text1"/>
          <w:lang w:val="en-IE"/>
        </w:rPr>
        <w:t>facilit</w:t>
      </w:r>
      <w:r>
        <w:rPr>
          <w:noProof/>
          <w:color w:val="000000" w:themeColor="text1"/>
          <w:lang w:val="en-IE"/>
        </w:rPr>
        <w:t>ies for</w:t>
      </w:r>
      <w:r w:rsidRPr="00FE48E2">
        <w:rPr>
          <w:noProof/>
          <w:color w:val="000000" w:themeColor="text1"/>
          <w:lang w:val="en-IE"/>
        </w:rPr>
        <w:t xml:space="preserve"> </w:t>
      </w:r>
      <w:r>
        <w:rPr>
          <w:noProof/>
          <w:color w:val="000000" w:themeColor="text1"/>
          <w:lang w:val="en-IE"/>
        </w:rPr>
        <w:t>c</w:t>
      </w:r>
      <w:r w:rsidRPr="00433CF9">
        <w:rPr>
          <w:noProof/>
          <w:color w:val="000000" w:themeColor="text1"/>
        </w:rPr>
        <w:t>ancer prevention and innovative and supportive care</w:t>
      </w:r>
      <w:r w:rsidRPr="0CF35BD5">
        <w:rPr>
          <w:noProof/>
          <w:color w:val="000000" w:themeColor="text1"/>
          <w:lang w:val="en-IE"/>
        </w:rPr>
        <w:t xml:space="preserve">. </w:t>
      </w:r>
    </w:p>
    <w:p w:rsidRPr="00FE48E2" w:rsidR="00D87E44" w:rsidP="00D226F4" w:rsidRDefault="00D87E44" w14:paraId="154588CF" w14:textId="77777777">
      <w:pPr>
        <w:spacing w:line="240" w:lineRule="auto"/>
        <w:rPr>
          <w:rFonts w:eastAsia="Times New Roman"/>
          <w:b/>
          <w:bCs/>
          <w:noProof/>
          <w:color w:val="000000"/>
          <w:u w:val="single"/>
          <w:lang w:val="en-IE" w:eastAsia="cs-CZ"/>
        </w:rPr>
      </w:pPr>
      <w:r w:rsidRPr="1B282876">
        <w:rPr>
          <w:rFonts w:eastAsia="Times New Roman"/>
          <w:b/>
          <w:bCs/>
          <w:noProof/>
          <w:color w:val="000000" w:themeColor="text1"/>
          <w:u w:val="single"/>
          <w:lang w:val="en-IE" w:eastAsia="cs-CZ"/>
        </w:rPr>
        <w:lastRenderedPageBreak/>
        <w:t xml:space="preserve">DD.2. Milestones, targets, indicators, and timetable for monitoring and implementation for non-repayable financial support </w:t>
      </w:r>
    </w:p>
    <w:tbl>
      <w:tblPr>
        <w:tblW w:w="15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09"/>
        <w:gridCol w:w="1413"/>
        <w:gridCol w:w="1275"/>
        <w:gridCol w:w="1427"/>
        <w:gridCol w:w="1302"/>
        <w:gridCol w:w="994"/>
        <w:gridCol w:w="994"/>
        <w:gridCol w:w="791"/>
        <w:gridCol w:w="948"/>
        <w:gridCol w:w="945"/>
        <w:gridCol w:w="4338"/>
      </w:tblGrid>
      <w:tr w:rsidRPr="00FE48E2" w:rsidR="00E3458A" w:rsidTr="65194507" w14:paraId="154588D8" w14:textId="77777777">
        <w:trPr>
          <w:trHeight w:val="107"/>
          <w:tblHeader/>
          <w:jc w:val="center"/>
        </w:trPr>
        <w:tc>
          <w:tcPr>
            <w:tcW w:w="709" w:type="dxa"/>
            <w:vMerge w:val="restart"/>
            <w:shd w:val="clear" w:color="auto" w:fill="BDD7EE"/>
            <w:vAlign w:val="center"/>
          </w:tcPr>
          <w:p w:rsidRPr="00FE48E2" w:rsidR="00D87E44" w:rsidRDefault="00D87E44" w14:paraId="154588D0" w14:textId="77777777">
            <w:pPr>
              <w:spacing w:line="240" w:lineRule="auto"/>
              <w:jc w:val="center"/>
              <w:rPr>
                <w:noProof/>
                <w:sz w:val="18"/>
                <w:szCs w:val="18"/>
                <w:lang w:val="en-IE"/>
              </w:rPr>
            </w:pPr>
            <w:r w:rsidRPr="00FE48E2">
              <w:rPr>
                <w:b/>
                <w:noProof/>
                <w:sz w:val="18"/>
                <w:szCs w:val="18"/>
                <w:lang w:val="en-IE"/>
              </w:rPr>
              <w:t>Seq. Num.</w:t>
            </w:r>
          </w:p>
        </w:tc>
        <w:tc>
          <w:tcPr>
            <w:tcW w:w="1413" w:type="dxa"/>
            <w:vMerge w:val="restart"/>
            <w:shd w:val="clear" w:color="auto" w:fill="BDD7EE"/>
            <w:vAlign w:val="center"/>
          </w:tcPr>
          <w:p w:rsidRPr="00FE48E2" w:rsidR="00D87E44" w:rsidRDefault="00D87E44" w14:paraId="154588D1" w14:textId="77777777">
            <w:pPr>
              <w:spacing w:line="240" w:lineRule="auto"/>
              <w:jc w:val="center"/>
              <w:rPr>
                <w:noProof/>
                <w:sz w:val="18"/>
                <w:szCs w:val="18"/>
                <w:lang w:val="en-IE"/>
              </w:rPr>
            </w:pPr>
            <w:r w:rsidRPr="00FE48E2">
              <w:rPr>
                <w:rFonts w:eastAsia="Times New Roman"/>
                <w:b/>
                <w:noProof/>
                <w:sz w:val="18"/>
                <w:szCs w:val="18"/>
                <w:lang w:val="en-IE"/>
              </w:rPr>
              <w:t xml:space="preserve">Related measure (Reform or Investment) </w:t>
            </w:r>
          </w:p>
        </w:tc>
        <w:tc>
          <w:tcPr>
            <w:tcW w:w="1275" w:type="dxa"/>
            <w:vMerge w:val="restart"/>
            <w:shd w:val="clear" w:color="auto" w:fill="BDD7EE"/>
            <w:vAlign w:val="center"/>
          </w:tcPr>
          <w:p w:rsidRPr="00FE48E2" w:rsidR="00D87E44" w:rsidRDefault="00D87E44" w14:paraId="154588D2" w14:textId="77777777">
            <w:pPr>
              <w:spacing w:line="240" w:lineRule="auto"/>
              <w:jc w:val="center"/>
              <w:rPr>
                <w:noProof/>
                <w:sz w:val="18"/>
                <w:szCs w:val="18"/>
                <w:lang w:val="en-IE"/>
              </w:rPr>
            </w:pPr>
            <w:r w:rsidRPr="00FE48E2">
              <w:rPr>
                <w:rFonts w:eastAsia="Times New Roman"/>
                <w:b/>
                <w:noProof/>
                <w:sz w:val="18"/>
                <w:szCs w:val="18"/>
                <w:lang w:val="en-IE"/>
              </w:rPr>
              <w:t xml:space="preserve">Milestone / Target </w:t>
            </w:r>
          </w:p>
        </w:tc>
        <w:tc>
          <w:tcPr>
            <w:tcW w:w="1427" w:type="dxa"/>
            <w:vMerge w:val="restart"/>
            <w:shd w:val="clear" w:color="auto" w:fill="BDD7EE"/>
            <w:vAlign w:val="center"/>
          </w:tcPr>
          <w:p w:rsidRPr="00FE48E2" w:rsidR="00D87E44" w:rsidRDefault="00D87E44" w14:paraId="154588D3" w14:textId="77777777">
            <w:pPr>
              <w:spacing w:line="240" w:lineRule="auto"/>
              <w:jc w:val="center"/>
              <w:rPr>
                <w:noProof/>
                <w:sz w:val="18"/>
                <w:szCs w:val="18"/>
                <w:lang w:val="en-IE"/>
              </w:rPr>
            </w:pPr>
            <w:r w:rsidRPr="00FE48E2">
              <w:rPr>
                <w:rFonts w:eastAsia="Times New Roman"/>
                <w:b/>
                <w:noProof/>
                <w:sz w:val="18"/>
                <w:szCs w:val="18"/>
                <w:lang w:val="en-IE"/>
              </w:rPr>
              <w:t xml:space="preserve">Name </w:t>
            </w:r>
          </w:p>
        </w:tc>
        <w:tc>
          <w:tcPr>
            <w:tcW w:w="1302" w:type="dxa"/>
            <w:vMerge w:val="restart"/>
            <w:shd w:val="clear" w:color="auto" w:fill="BDD7EE"/>
            <w:vAlign w:val="center"/>
          </w:tcPr>
          <w:p w:rsidRPr="00FE48E2" w:rsidR="00D87E44" w:rsidRDefault="00D87E44" w14:paraId="154588D4" w14:textId="77777777">
            <w:pPr>
              <w:spacing w:line="240" w:lineRule="auto"/>
              <w:jc w:val="center"/>
              <w:rPr>
                <w:noProof/>
                <w:sz w:val="18"/>
                <w:szCs w:val="18"/>
                <w:lang w:val="en-IE"/>
              </w:rPr>
            </w:pPr>
            <w:r w:rsidRPr="00FE48E2">
              <w:rPr>
                <w:rFonts w:eastAsia="Times New Roman"/>
                <w:b/>
                <w:noProof/>
                <w:sz w:val="18"/>
                <w:szCs w:val="18"/>
                <w:lang w:val="en-IE"/>
              </w:rPr>
              <w:t>Qualitative indicators</w:t>
            </w:r>
            <w:r w:rsidRPr="00FE48E2">
              <w:rPr>
                <w:noProof/>
                <w:sz w:val="18"/>
                <w:szCs w:val="18"/>
                <w:lang w:val="en-IE"/>
              </w:rPr>
              <w:br/>
            </w:r>
            <w:r w:rsidRPr="00FE48E2">
              <w:rPr>
                <w:rFonts w:eastAsia="Times New Roman"/>
                <w:b/>
                <w:noProof/>
                <w:sz w:val="18"/>
                <w:szCs w:val="18"/>
                <w:lang w:val="en-IE"/>
              </w:rPr>
              <w:t xml:space="preserve"> (for milestones) </w:t>
            </w:r>
          </w:p>
        </w:tc>
        <w:tc>
          <w:tcPr>
            <w:tcW w:w="2779" w:type="dxa"/>
            <w:gridSpan w:val="3"/>
            <w:shd w:val="clear" w:color="auto" w:fill="BDD7EE"/>
            <w:vAlign w:val="center"/>
          </w:tcPr>
          <w:p w:rsidRPr="00FE48E2" w:rsidR="00D87E44" w:rsidRDefault="00D87E44" w14:paraId="154588D5" w14:textId="77777777">
            <w:pPr>
              <w:spacing w:line="240" w:lineRule="auto"/>
              <w:jc w:val="center"/>
              <w:rPr>
                <w:noProof/>
                <w:sz w:val="18"/>
                <w:szCs w:val="18"/>
                <w:lang w:val="en-IE"/>
              </w:rPr>
            </w:pPr>
            <w:r w:rsidRPr="00FE48E2">
              <w:rPr>
                <w:rFonts w:eastAsia="Times New Roman"/>
                <w:b/>
                <w:noProof/>
                <w:sz w:val="18"/>
                <w:szCs w:val="18"/>
                <w:lang w:val="en-IE"/>
              </w:rPr>
              <w:t>Quantitative indicators</w:t>
            </w:r>
            <w:r w:rsidRPr="00FE48E2">
              <w:rPr>
                <w:noProof/>
                <w:sz w:val="18"/>
                <w:szCs w:val="18"/>
                <w:lang w:val="en-IE"/>
              </w:rPr>
              <w:br/>
            </w:r>
            <w:r w:rsidRPr="00FE48E2">
              <w:rPr>
                <w:rFonts w:eastAsia="Times New Roman"/>
                <w:b/>
                <w:noProof/>
                <w:sz w:val="18"/>
                <w:szCs w:val="18"/>
                <w:lang w:val="en-IE"/>
              </w:rPr>
              <w:t xml:space="preserve"> (for targets)</w:t>
            </w:r>
          </w:p>
        </w:tc>
        <w:tc>
          <w:tcPr>
            <w:tcW w:w="1893" w:type="dxa"/>
            <w:gridSpan w:val="2"/>
            <w:shd w:val="clear" w:color="auto" w:fill="BDD7EE"/>
            <w:vAlign w:val="center"/>
          </w:tcPr>
          <w:p w:rsidRPr="00FE48E2" w:rsidR="00D87E44" w:rsidRDefault="00D87E44" w14:paraId="154588D6" w14:textId="77777777">
            <w:pPr>
              <w:spacing w:line="240" w:lineRule="auto"/>
              <w:jc w:val="center"/>
              <w:rPr>
                <w:noProof/>
                <w:sz w:val="18"/>
                <w:szCs w:val="18"/>
                <w:lang w:val="en-IE"/>
              </w:rPr>
            </w:pPr>
            <w:r w:rsidRPr="00FE48E2">
              <w:rPr>
                <w:rFonts w:eastAsia="Times New Roman"/>
                <w:b/>
                <w:noProof/>
                <w:sz w:val="18"/>
                <w:szCs w:val="18"/>
                <w:lang w:val="en-IE"/>
              </w:rPr>
              <w:t xml:space="preserve">Indicative timeline for completion </w:t>
            </w:r>
          </w:p>
        </w:tc>
        <w:tc>
          <w:tcPr>
            <w:tcW w:w="4338" w:type="dxa"/>
            <w:vMerge w:val="restart"/>
            <w:shd w:val="clear" w:color="auto" w:fill="BDD7EE"/>
            <w:vAlign w:val="center"/>
          </w:tcPr>
          <w:p w:rsidRPr="00FE48E2" w:rsidR="00D87E44" w:rsidRDefault="00D87E44" w14:paraId="154588D7" w14:textId="77777777">
            <w:pPr>
              <w:spacing w:line="240" w:lineRule="auto"/>
              <w:jc w:val="center"/>
              <w:rPr>
                <w:noProof/>
                <w:sz w:val="18"/>
                <w:szCs w:val="18"/>
                <w:lang w:val="en-IE"/>
              </w:rPr>
            </w:pPr>
            <w:r w:rsidRPr="00FE48E2">
              <w:rPr>
                <w:rFonts w:eastAsia="Times New Roman"/>
                <w:b/>
                <w:noProof/>
                <w:sz w:val="18"/>
                <w:szCs w:val="18"/>
                <w:lang w:val="en-IE"/>
              </w:rPr>
              <w:t>Description and clear definition of each milestone and target</w:t>
            </w:r>
          </w:p>
        </w:tc>
      </w:tr>
      <w:tr w:rsidRPr="00FE48E2" w:rsidR="00E3458A" w:rsidTr="65194507" w14:paraId="154588E4" w14:textId="77777777">
        <w:trPr>
          <w:trHeight w:val="173"/>
          <w:tblHeader/>
          <w:jc w:val="center"/>
        </w:trPr>
        <w:tc>
          <w:tcPr>
            <w:tcW w:w="709" w:type="dxa"/>
            <w:vMerge/>
            <w:vAlign w:val="center"/>
          </w:tcPr>
          <w:p w:rsidRPr="00FE48E2" w:rsidR="00D87E44" w:rsidRDefault="00D87E44" w14:paraId="154588D9" w14:textId="77777777">
            <w:pPr>
              <w:spacing w:line="240" w:lineRule="auto"/>
              <w:jc w:val="center"/>
              <w:rPr>
                <w:noProof/>
                <w:sz w:val="16"/>
                <w:szCs w:val="16"/>
                <w:lang w:val="en-IE"/>
              </w:rPr>
            </w:pPr>
          </w:p>
        </w:tc>
        <w:tc>
          <w:tcPr>
            <w:tcW w:w="1413" w:type="dxa"/>
            <w:vMerge/>
            <w:vAlign w:val="center"/>
          </w:tcPr>
          <w:p w:rsidRPr="00FE48E2" w:rsidR="00D87E44" w:rsidRDefault="00D87E44" w14:paraId="154588DA" w14:textId="77777777">
            <w:pPr>
              <w:spacing w:line="240" w:lineRule="auto"/>
              <w:jc w:val="center"/>
              <w:rPr>
                <w:noProof/>
                <w:sz w:val="16"/>
                <w:szCs w:val="16"/>
                <w:lang w:val="en-IE"/>
              </w:rPr>
            </w:pPr>
          </w:p>
        </w:tc>
        <w:tc>
          <w:tcPr>
            <w:tcW w:w="1275" w:type="dxa"/>
            <w:vMerge/>
            <w:vAlign w:val="center"/>
          </w:tcPr>
          <w:p w:rsidRPr="00FE48E2" w:rsidR="00D87E44" w:rsidRDefault="00D87E44" w14:paraId="154588DB" w14:textId="77777777">
            <w:pPr>
              <w:spacing w:line="240" w:lineRule="auto"/>
              <w:jc w:val="center"/>
              <w:rPr>
                <w:noProof/>
                <w:sz w:val="16"/>
                <w:szCs w:val="16"/>
                <w:lang w:val="en-IE"/>
              </w:rPr>
            </w:pPr>
          </w:p>
        </w:tc>
        <w:tc>
          <w:tcPr>
            <w:tcW w:w="1427" w:type="dxa"/>
            <w:vMerge/>
            <w:vAlign w:val="center"/>
          </w:tcPr>
          <w:p w:rsidRPr="00FE48E2" w:rsidR="00D87E44" w:rsidRDefault="00D87E44" w14:paraId="154588DC" w14:textId="77777777">
            <w:pPr>
              <w:spacing w:line="240" w:lineRule="auto"/>
              <w:jc w:val="center"/>
              <w:rPr>
                <w:noProof/>
                <w:sz w:val="16"/>
                <w:szCs w:val="16"/>
                <w:lang w:val="en-IE"/>
              </w:rPr>
            </w:pPr>
          </w:p>
        </w:tc>
        <w:tc>
          <w:tcPr>
            <w:tcW w:w="1302" w:type="dxa"/>
            <w:vMerge/>
            <w:vAlign w:val="center"/>
          </w:tcPr>
          <w:p w:rsidRPr="00FE48E2" w:rsidR="00D87E44" w:rsidRDefault="00D87E44" w14:paraId="154588DD" w14:textId="77777777">
            <w:pPr>
              <w:spacing w:line="240" w:lineRule="auto"/>
              <w:jc w:val="center"/>
              <w:rPr>
                <w:noProof/>
                <w:sz w:val="16"/>
                <w:szCs w:val="16"/>
                <w:lang w:val="en-IE"/>
              </w:rPr>
            </w:pPr>
          </w:p>
        </w:tc>
        <w:tc>
          <w:tcPr>
            <w:tcW w:w="994" w:type="dxa"/>
            <w:shd w:val="clear" w:color="auto" w:fill="BDD7EE"/>
            <w:vAlign w:val="center"/>
          </w:tcPr>
          <w:p w:rsidRPr="00290CF7" w:rsidR="00D87E44" w:rsidRDefault="00D87E44" w14:paraId="154588DE" w14:textId="77777777">
            <w:pPr>
              <w:spacing w:line="240" w:lineRule="auto"/>
              <w:jc w:val="center"/>
              <w:rPr>
                <w:noProof/>
                <w:sz w:val="18"/>
                <w:szCs w:val="18"/>
                <w:lang w:val="en-IE"/>
              </w:rPr>
            </w:pPr>
            <w:r w:rsidRPr="00290CF7">
              <w:rPr>
                <w:rFonts w:eastAsia="Times New Roman"/>
                <w:b/>
                <w:noProof/>
                <w:sz w:val="18"/>
                <w:szCs w:val="18"/>
                <w:lang w:val="en-IE"/>
              </w:rPr>
              <w:t>Unit of measure</w:t>
            </w:r>
          </w:p>
        </w:tc>
        <w:tc>
          <w:tcPr>
            <w:tcW w:w="994" w:type="dxa"/>
            <w:shd w:val="clear" w:color="auto" w:fill="BDD7EE"/>
            <w:vAlign w:val="center"/>
          </w:tcPr>
          <w:p w:rsidRPr="00290CF7" w:rsidR="00D87E44" w:rsidRDefault="00D87E44" w14:paraId="154588DF" w14:textId="77777777">
            <w:pPr>
              <w:spacing w:line="240" w:lineRule="auto"/>
              <w:jc w:val="center"/>
              <w:rPr>
                <w:noProof/>
                <w:sz w:val="18"/>
                <w:szCs w:val="18"/>
                <w:lang w:val="en-IE"/>
              </w:rPr>
            </w:pPr>
            <w:r w:rsidRPr="00290CF7">
              <w:rPr>
                <w:rFonts w:eastAsia="Times New Roman"/>
                <w:b/>
                <w:noProof/>
                <w:sz w:val="18"/>
                <w:szCs w:val="18"/>
                <w:lang w:val="en-IE"/>
              </w:rPr>
              <w:t>Baseline</w:t>
            </w:r>
          </w:p>
        </w:tc>
        <w:tc>
          <w:tcPr>
            <w:tcW w:w="791" w:type="dxa"/>
            <w:shd w:val="clear" w:color="auto" w:fill="BDD7EE"/>
            <w:vAlign w:val="center"/>
          </w:tcPr>
          <w:p w:rsidRPr="00290CF7" w:rsidR="00D87E44" w:rsidRDefault="00D87E44" w14:paraId="154588E0" w14:textId="77777777">
            <w:pPr>
              <w:spacing w:line="240" w:lineRule="auto"/>
              <w:jc w:val="center"/>
              <w:rPr>
                <w:noProof/>
                <w:sz w:val="18"/>
                <w:szCs w:val="18"/>
                <w:lang w:val="en-IE"/>
              </w:rPr>
            </w:pPr>
            <w:r w:rsidRPr="00290CF7">
              <w:rPr>
                <w:rFonts w:eastAsia="Times New Roman"/>
                <w:b/>
                <w:noProof/>
                <w:sz w:val="18"/>
                <w:szCs w:val="18"/>
                <w:lang w:val="en-IE"/>
              </w:rPr>
              <w:t>Goal</w:t>
            </w:r>
          </w:p>
        </w:tc>
        <w:tc>
          <w:tcPr>
            <w:tcW w:w="948" w:type="dxa"/>
            <w:shd w:val="clear" w:color="auto" w:fill="BDD7EE"/>
            <w:vAlign w:val="center"/>
          </w:tcPr>
          <w:p w:rsidRPr="00290CF7" w:rsidR="00D87E44" w:rsidRDefault="00D87E44" w14:paraId="154588E1" w14:textId="77777777">
            <w:pPr>
              <w:spacing w:line="240" w:lineRule="auto"/>
              <w:jc w:val="center"/>
              <w:rPr>
                <w:noProof/>
                <w:sz w:val="18"/>
                <w:szCs w:val="18"/>
                <w:lang w:val="en-IE"/>
              </w:rPr>
            </w:pPr>
            <w:r w:rsidRPr="00290CF7">
              <w:rPr>
                <w:rFonts w:eastAsia="Times New Roman"/>
                <w:b/>
                <w:noProof/>
                <w:sz w:val="18"/>
                <w:szCs w:val="18"/>
                <w:lang w:val="en-IE"/>
              </w:rPr>
              <w:t>Quarter</w:t>
            </w:r>
          </w:p>
        </w:tc>
        <w:tc>
          <w:tcPr>
            <w:tcW w:w="945" w:type="dxa"/>
            <w:shd w:val="clear" w:color="auto" w:fill="BDD7EE"/>
            <w:vAlign w:val="center"/>
          </w:tcPr>
          <w:p w:rsidRPr="00290CF7" w:rsidR="00D87E44" w:rsidRDefault="00D87E44" w14:paraId="154588E2" w14:textId="77777777">
            <w:pPr>
              <w:spacing w:line="240" w:lineRule="auto"/>
              <w:jc w:val="center"/>
              <w:rPr>
                <w:noProof/>
                <w:sz w:val="18"/>
                <w:szCs w:val="18"/>
                <w:lang w:val="en-IE"/>
              </w:rPr>
            </w:pPr>
            <w:r w:rsidRPr="00290CF7">
              <w:rPr>
                <w:rFonts w:eastAsia="Times New Roman"/>
                <w:b/>
                <w:noProof/>
                <w:sz w:val="18"/>
                <w:szCs w:val="18"/>
                <w:lang w:val="en-IE"/>
              </w:rPr>
              <w:t>Year</w:t>
            </w:r>
          </w:p>
        </w:tc>
        <w:tc>
          <w:tcPr>
            <w:tcW w:w="4338" w:type="dxa"/>
            <w:vMerge/>
            <w:vAlign w:val="center"/>
          </w:tcPr>
          <w:p w:rsidRPr="00FE48E2" w:rsidR="00D87E44" w:rsidRDefault="00D87E44" w14:paraId="154588E3" w14:textId="77777777">
            <w:pPr>
              <w:spacing w:line="240" w:lineRule="auto"/>
              <w:jc w:val="center"/>
              <w:rPr>
                <w:noProof/>
                <w:sz w:val="16"/>
                <w:szCs w:val="16"/>
                <w:lang w:val="en-IE"/>
              </w:rPr>
            </w:pPr>
          </w:p>
        </w:tc>
      </w:tr>
      <w:tr w:rsidRPr="00FE48E2" w:rsidR="00E3458A" w:rsidTr="65194507" w14:paraId="154588F0" w14:textId="77777777">
        <w:trPr>
          <w:trHeight w:val="94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8E5"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236</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6"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Reform 1: National Oncological Programme </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7"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Milestone</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8"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 National Oncological Programme of the Czech Republic 2022-2030</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9"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Approval of the National Oncological Programme 2022-2030 by the government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A"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B"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C" w14:textId="77777777">
            <w:pPr>
              <w:spacing w:after="0" w:line="259" w:lineRule="auto"/>
              <w:contextualSpacing/>
              <w:rPr>
                <w:noProof/>
                <w:color w:val="004300"/>
                <w:sz w:val="18"/>
                <w:szCs w:val="18"/>
                <w:lang w:val="en-IE" w:eastAsia="cs-CZ"/>
              </w:rPr>
            </w:pP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D"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E"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2021</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EF" w14:textId="77777777">
            <w:pPr>
              <w:spacing w:after="0" w:line="259" w:lineRule="auto"/>
              <w:contextualSpacing/>
              <w:rPr>
                <w:noProof/>
                <w:color w:val="004300"/>
                <w:sz w:val="18"/>
                <w:szCs w:val="18"/>
                <w:lang w:val="en-IE"/>
              </w:rPr>
            </w:pPr>
            <w:r w:rsidRPr="00B16CF0">
              <w:rPr>
                <w:noProof/>
                <w:color w:val="004300"/>
                <w:sz w:val="18"/>
                <w:szCs w:val="18"/>
                <w:lang w:val="en-IE" w:eastAsia="cs-CZ"/>
              </w:rPr>
              <w:t xml:space="preserve">The National Oncological Programme shall be prepared under the responsibility of the Czech Oncology Society in consultation with key actors and stakeholders, in particular the Ministry of Health, National Oncology Centres, Centres of highly specialised cancer and haematology care, Institute of Health Information and Statistics, representatives of healthcare providers, health insurance companies and patients associations. </w:t>
            </w:r>
          </w:p>
        </w:tc>
      </w:tr>
      <w:tr w:rsidRPr="00FE48E2" w:rsidR="00E3458A" w:rsidTr="65194507" w14:paraId="15458900" w14:textId="77777777">
        <w:trPr>
          <w:trHeight w:val="2508"/>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8F1"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237</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2"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Reform 2: Supporting and enhancing quality of preventive screening programmes</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3"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Milestone</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4"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Appointment of an institution responsible for coordination of oncological screening programs </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5"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National Screening Centre appointed by the government as the body responsible for coordination of cancer screening programmes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6"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7"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8" w14:textId="77777777">
            <w:pPr>
              <w:spacing w:after="0" w:line="259" w:lineRule="auto"/>
              <w:contextualSpacing/>
              <w:rPr>
                <w:noProof/>
                <w:color w:val="004300"/>
                <w:sz w:val="18"/>
                <w:szCs w:val="18"/>
                <w:lang w:val="en-IE" w:eastAsia="cs-CZ"/>
              </w:rPr>
            </w:pP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9"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A"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2024</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8FB"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 xml:space="preserve">The National Screening Centre shall be responsible for: </w:t>
            </w:r>
          </w:p>
          <w:p w:rsidRPr="00B16CF0" w:rsidR="00D87E44" w:rsidP="00D226F4" w:rsidRDefault="00D87E44" w14:paraId="154588FC" w14:textId="77777777">
            <w:pPr>
              <w:numPr>
                <w:ilvl w:val="0"/>
                <w:numId w:val="83"/>
              </w:numPr>
              <w:spacing w:after="0" w:line="259" w:lineRule="auto"/>
              <w:contextualSpacing/>
              <w:rPr>
                <w:rFonts w:eastAsia="Times New Roman"/>
                <w:noProof/>
                <w:color w:val="004300"/>
                <w:sz w:val="18"/>
                <w:szCs w:val="18"/>
                <w:lang w:val="en-IE" w:eastAsia="cs-CZ"/>
              </w:rPr>
            </w:pPr>
            <w:r w:rsidRPr="00B16CF0">
              <w:rPr>
                <w:noProof/>
                <w:color w:val="004300"/>
                <w:sz w:val="18"/>
                <w:szCs w:val="18"/>
                <w:lang w:val="en-IE" w:eastAsia="cs-CZ"/>
              </w:rPr>
              <w:t xml:space="preserve">coordination, planning, monitoring and evaluation of the screening programmes </w:t>
            </w:r>
          </w:p>
          <w:p w:rsidRPr="00B16CF0" w:rsidR="00D87E44" w:rsidP="00D226F4" w:rsidRDefault="00D87E44" w14:paraId="154588FD" w14:textId="77777777">
            <w:pPr>
              <w:numPr>
                <w:ilvl w:val="0"/>
                <w:numId w:val="83"/>
              </w:numPr>
              <w:spacing w:after="0" w:line="259" w:lineRule="auto"/>
              <w:contextualSpacing/>
              <w:rPr>
                <w:rFonts w:eastAsia="Times New Roman"/>
                <w:noProof/>
                <w:color w:val="004300"/>
                <w:sz w:val="18"/>
                <w:szCs w:val="18"/>
                <w:lang w:val="en-IE" w:eastAsia="cs-CZ"/>
              </w:rPr>
            </w:pPr>
            <w:r w:rsidRPr="00B16CF0">
              <w:rPr>
                <w:noProof/>
                <w:color w:val="004300"/>
                <w:sz w:val="18"/>
                <w:szCs w:val="18"/>
                <w:lang w:val="en-IE" w:eastAsia="cs-CZ"/>
              </w:rPr>
              <w:t xml:space="preserve">setting-up a predictive system to plan new prevention programmes and estimate their cost-effectiveness and impact in the public health insurance system; </w:t>
            </w:r>
          </w:p>
          <w:p w:rsidRPr="00B16CF0" w:rsidR="00D87E44" w:rsidP="00D226F4" w:rsidRDefault="00D87E44" w14:paraId="154588FE" w14:textId="77777777">
            <w:pPr>
              <w:numPr>
                <w:ilvl w:val="0"/>
                <w:numId w:val="83"/>
              </w:numPr>
              <w:spacing w:after="0" w:line="259" w:lineRule="auto"/>
              <w:contextualSpacing/>
              <w:rPr>
                <w:rFonts w:eastAsia="Times New Roman"/>
                <w:noProof/>
                <w:color w:val="004300"/>
                <w:sz w:val="18"/>
                <w:szCs w:val="18"/>
                <w:lang w:val="en-IE" w:eastAsia="cs-CZ"/>
              </w:rPr>
            </w:pPr>
            <w:r w:rsidRPr="00B16CF0">
              <w:rPr>
                <w:noProof/>
                <w:color w:val="004300"/>
                <w:sz w:val="18"/>
                <w:szCs w:val="18"/>
                <w:lang w:val="en-IE" w:eastAsia="cs-CZ"/>
              </w:rPr>
              <w:t>building a database for monitoring and evaluation of screening programmes, including setting up a scoreboard of quality indicators</w:t>
            </w:r>
          </w:p>
          <w:p w:rsidRPr="00B16CF0" w:rsidR="00D87E44" w:rsidP="00D226F4" w:rsidRDefault="00D87E44" w14:paraId="154588FF" w14:textId="77777777">
            <w:pPr>
              <w:numPr>
                <w:ilvl w:val="0"/>
                <w:numId w:val="83"/>
              </w:numPr>
              <w:spacing w:after="0" w:line="259" w:lineRule="auto"/>
              <w:contextualSpacing/>
              <w:rPr>
                <w:noProof/>
                <w:color w:val="004300"/>
                <w:sz w:val="18"/>
                <w:szCs w:val="18"/>
                <w:lang w:val="en-IE"/>
              </w:rPr>
            </w:pPr>
            <w:r w:rsidRPr="00B16CF0">
              <w:rPr>
                <w:noProof/>
                <w:color w:val="004300"/>
                <w:sz w:val="18"/>
                <w:szCs w:val="18"/>
                <w:lang w:val="en-IE" w:eastAsia="cs-CZ"/>
              </w:rPr>
              <w:t xml:space="preserve">piloting new screening programmes </w:t>
            </w:r>
          </w:p>
        </w:tc>
      </w:tr>
      <w:tr w:rsidRPr="00FE48E2" w:rsidR="00E3458A" w:rsidTr="65194507" w14:paraId="1545890C" w14:textId="77777777">
        <w:trPr>
          <w:trHeight w:val="389"/>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1"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238</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2"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Reform 2: Supporting and enhancing quality of preventive screening programmes</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3"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Target</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4" w14:textId="77777777">
            <w:pPr>
              <w:spacing w:after="0" w:line="259" w:lineRule="auto"/>
              <w:contextualSpacing/>
              <w:rPr>
                <w:noProof/>
                <w:color w:val="004300"/>
                <w:sz w:val="18"/>
                <w:szCs w:val="18"/>
                <w:lang w:val="en-IE" w:eastAsia="cs-CZ"/>
              </w:rPr>
            </w:pPr>
            <w:r>
              <w:rPr>
                <w:noProof/>
                <w:color w:val="004300"/>
                <w:sz w:val="18"/>
                <w:szCs w:val="18"/>
                <w:lang w:val="en-IE" w:eastAsia="cs-CZ"/>
              </w:rPr>
              <w:t>C</w:t>
            </w:r>
            <w:r w:rsidRPr="00BD790C">
              <w:rPr>
                <w:noProof/>
                <w:color w:val="004300"/>
                <w:sz w:val="18"/>
                <w:szCs w:val="18"/>
                <w:lang w:val="en-IE" w:eastAsia="cs-CZ"/>
              </w:rPr>
              <w:t>olorectal cancer screening programme</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5"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6"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7"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8"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40</w:t>
            </w: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09" w14:textId="77777777">
            <w:pPr>
              <w:spacing w:after="0" w:line="259" w:lineRule="auto"/>
              <w:contextualSpacing/>
              <w:rPr>
                <w:noProof/>
                <w:color w:val="004300"/>
                <w:sz w:val="18"/>
                <w:szCs w:val="18"/>
                <w:lang w:val="en-IE" w:eastAsia="cs-CZ"/>
              </w:rPr>
            </w:pPr>
            <w:r w:rsidRPr="7C937054">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P="00FF1320" w:rsidRDefault="00D87E44" w14:paraId="1545890A" w14:textId="77777777">
            <w:pPr>
              <w:spacing w:before="20" w:after="0" w:line="240" w:lineRule="auto"/>
              <w:contextualSpacing/>
              <w:rPr>
                <w:noProof/>
                <w:color w:val="004300"/>
                <w:sz w:val="18"/>
                <w:szCs w:val="18"/>
                <w:lang w:val="en-IE" w:eastAsia="cs-CZ"/>
              </w:rPr>
            </w:pPr>
            <w:r w:rsidRPr="7C937054">
              <w:rPr>
                <w:noProof/>
                <w:color w:val="004300"/>
                <w:sz w:val="18"/>
                <w:szCs w:val="18"/>
                <w:lang w:val="en-IE" w:eastAsia="cs-CZ"/>
              </w:rPr>
              <w:t>2025</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FF1320" w:rsidR="00D87E44" w:rsidP="00FF1320" w:rsidRDefault="00D87E44" w14:paraId="1545890B" w14:textId="77777777">
            <w:pPr>
              <w:spacing w:before="20" w:line="240" w:lineRule="auto"/>
              <w:rPr>
                <w:color w:val="004300"/>
                <w:sz w:val="18"/>
                <w:lang w:val="en-IE"/>
              </w:rPr>
            </w:pPr>
            <w:r w:rsidRPr="00FE48E2">
              <w:rPr>
                <w:noProof/>
                <w:color w:val="004300"/>
                <w:sz w:val="18"/>
                <w:szCs w:val="18"/>
                <w:lang w:val="en-IE" w:eastAsia="cs-CZ"/>
              </w:rPr>
              <w:t xml:space="preserve">The participation of the target population </w:t>
            </w:r>
            <w:r w:rsidRPr="19D60CFF">
              <w:rPr>
                <w:noProof/>
                <w:color w:val="004300"/>
                <w:sz w:val="18"/>
                <w:szCs w:val="18"/>
                <w:lang w:val="en-IE" w:eastAsia="cs-CZ"/>
              </w:rPr>
              <w:t xml:space="preserve">(i.e. </w:t>
            </w:r>
            <w:r w:rsidRPr="00654070">
              <w:rPr>
                <w:noProof/>
                <w:color w:val="004300"/>
                <w:sz w:val="18"/>
                <w:szCs w:val="18"/>
                <w:lang w:val="en-IE" w:eastAsia="cs-CZ"/>
              </w:rPr>
              <w:t>asymptomatic men and women aged 50 years and older</w:t>
            </w:r>
            <w:r w:rsidRPr="00B16CF0">
              <w:rPr>
                <w:noProof/>
                <w:color w:val="004300"/>
                <w:sz w:val="18"/>
                <w:szCs w:val="18"/>
                <w:lang w:val="en-IE" w:eastAsia="cs-CZ"/>
              </w:rPr>
              <w:t>)</w:t>
            </w:r>
            <w:r w:rsidRPr="19D60CFF">
              <w:rPr>
                <w:noProof/>
                <w:color w:val="004300"/>
                <w:sz w:val="18"/>
                <w:szCs w:val="18"/>
                <w:lang w:val="en-IE" w:eastAsia="cs-CZ"/>
              </w:rPr>
              <w:t xml:space="preserve"> </w:t>
            </w:r>
            <w:r w:rsidRPr="00FE48E2">
              <w:rPr>
                <w:noProof/>
                <w:color w:val="004300"/>
                <w:sz w:val="18"/>
                <w:szCs w:val="18"/>
                <w:lang w:val="en-IE" w:eastAsia="cs-CZ"/>
              </w:rPr>
              <w:t xml:space="preserve">in </w:t>
            </w:r>
            <w:r>
              <w:rPr>
                <w:noProof/>
                <w:color w:val="004300"/>
                <w:sz w:val="18"/>
                <w:szCs w:val="18"/>
                <w:lang w:val="en-IE" w:eastAsia="cs-CZ"/>
              </w:rPr>
              <w:t>colorectal</w:t>
            </w:r>
            <w:r w:rsidRPr="00FE48E2">
              <w:rPr>
                <w:noProof/>
                <w:color w:val="004300"/>
                <w:sz w:val="18"/>
                <w:szCs w:val="18"/>
                <w:lang w:val="en-IE" w:eastAsia="cs-CZ"/>
              </w:rPr>
              <w:t xml:space="preserve"> </w:t>
            </w:r>
            <w:r>
              <w:rPr>
                <w:noProof/>
                <w:color w:val="004300"/>
                <w:sz w:val="18"/>
                <w:szCs w:val="18"/>
                <w:lang w:val="en-IE" w:eastAsia="cs-CZ"/>
              </w:rPr>
              <w:t xml:space="preserve">cancer </w:t>
            </w:r>
            <w:r w:rsidRPr="00FE48E2">
              <w:rPr>
                <w:noProof/>
                <w:color w:val="004300"/>
                <w:sz w:val="18"/>
                <w:szCs w:val="18"/>
                <w:lang w:val="en-IE" w:eastAsia="cs-CZ"/>
              </w:rPr>
              <w:t xml:space="preserve">screening test shall </w:t>
            </w:r>
            <w:r w:rsidRPr="19D60CFF">
              <w:rPr>
                <w:noProof/>
                <w:color w:val="004300"/>
                <w:sz w:val="18"/>
                <w:szCs w:val="18"/>
                <w:lang w:val="en-IE" w:eastAsia="cs-CZ"/>
              </w:rPr>
              <w:t>reach</w:t>
            </w:r>
            <w:r>
              <w:rPr>
                <w:noProof/>
                <w:color w:val="004300"/>
                <w:sz w:val="18"/>
                <w:szCs w:val="18"/>
                <w:lang w:val="en-IE" w:eastAsia="cs-CZ"/>
              </w:rPr>
              <w:t xml:space="preserve"> </w:t>
            </w:r>
            <w:r w:rsidRPr="00FE48E2">
              <w:rPr>
                <w:noProof/>
                <w:color w:val="004300"/>
                <w:sz w:val="18"/>
                <w:szCs w:val="18"/>
                <w:lang w:val="en-IE" w:eastAsia="cs-CZ"/>
              </w:rPr>
              <w:t xml:space="preserve">at least </w:t>
            </w:r>
            <w:r w:rsidRPr="7CB89665">
              <w:rPr>
                <w:noProof/>
                <w:color w:val="004300"/>
                <w:sz w:val="18"/>
                <w:szCs w:val="18"/>
                <w:lang w:val="en-IE" w:eastAsia="cs-CZ"/>
              </w:rPr>
              <w:t>4</w:t>
            </w:r>
            <w:r w:rsidRPr="19D60CFF">
              <w:rPr>
                <w:noProof/>
                <w:color w:val="004300"/>
                <w:sz w:val="18"/>
                <w:szCs w:val="18"/>
                <w:lang w:val="en-IE" w:eastAsia="cs-CZ"/>
              </w:rPr>
              <w:t>0% in 2024</w:t>
            </w:r>
            <w:r>
              <w:rPr>
                <w:noProof/>
                <w:color w:val="004300"/>
                <w:sz w:val="18"/>
                <w:szCs w:val="18"/>
                <w:lang w:val="en-IE" w:eastAsia="cs-CZ"/>
              </w:rPr>
              <w:t xml:space="preserve"> based on national statistical information</w:t>
            </w:r>
            <w:r w:rsidRPr="00FE48E2">
              <w:rPr>
                <w:noProof/>
                <w:color w:val="004300"/>
                <w:sz w:val="18"/>
                <w:szCs w:val="18"/>
                <w:lang w:val="en-IE" w:eastAsia="cs-CZ"/>
              </w:rPr>
              <w:t>.</w:t>
            </w:r>
          </w:p>
        </w:tc>
      </w:tr>
      <w:tr w:rsidRPr="00FE48E2" w:rsidR="00E3458A" w:rsidTr="65194507" w14:paraId="15458918" w14:textId="77777777">
        <w:trPr>
          <w:trHeight w:val="603"/>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0D"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239</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0E"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Reform 2: Supporting and enhancing quality of preventive screening programmes</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0F"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Target</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0"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Launch of the new early lung cancer detection programme</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1"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2"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3"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0</w:t>
            </w: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4"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1</w:t>
            </w: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5"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6" w14:textId="77777777">
            <w:pPr>
              <w:spacing w:after="0" w:line="259" w:lineRule="auto"/>
              <w:contextualSpacing/>
              <w:rPr>
                <w:noProof/>
                <w:color w:val="004300"/>
                <w:sz w:val="18"/>
                <w:szCs w:val="18"/>
                <w:lang w:val="en-IE" w:eastAsia="cs-CZ"/>
              </w:rPr>
            </w:pPr>
            <w:r w:rsidRPr="00B16CF0">
              <w:rPr>
                <w:noProof/>
                <w:color w:val="004300"/>
                <w:sz w:val="18"/>
                <w:szCs w:val="18"/>
                <w:lang w:val="en-IE" w:eastAsia="cs-CZ"/>
              </w:rPr>
              <w:t>2024</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B16CF0" w:rsidR="00D87E44" w:rsidRDefault="00D87E44" w14:paraId="15458917" w14:textId="77777777">
            <w:pPr>
              <w:pBdr>
                <w:top w:val="nil"/>
                <w:left w:val="nil"/>
                <w:bottom w:val="nil"/>
                <w:right w:val="nil"/>
                <w:between w:val="nil"/>
              </w:pBdr>
              <w:spacing w:after="0" w:line="259" w:lineRule="auto"/>
              <w:contextualSpacing/>
              <w:rPr>
                <w:noProof/>
                <w:color w:val="004300"/>
                <w:sz w:val="18"/>
                <w:szCs w:val="18"/>
                <w:lang w:val="en-IE"/>
              </w:rPr>
            </w:pPr>
            <w:r w:rsidRPr="00B16CF0">
              <w:rPr>
                <w:noProof/>
                <w:color w:val="004300"/>
                <w:sz w:val="18"/>
                <w:szCs w:val="18"/>
                <w:lang w:val="en-IE" w:eastAsia="cs-CZ"/>
              </w:rPr>
              <w:t xml:space="preserve">An early lung cancer detection programme shall be launched </w:t>
            </w:r>
          </w:p>
        </w:tc>
      </w:tr>
      <w:tr w:rsidRPr="00FE48E2" w:rsidR="00E3458A" w:rsidTr="65194507" w14:paraId="15458927" w14:textId="77777777">
        <w:trPr>
          <w:trHeight w:val="94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9"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lastRenderedPageBreak/>
              <w:t>240</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A"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Investment 1: Building and establishment of the Czech Oncological Institute</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B"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Milestone</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C"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 xml:space="preserve">Feasibility study validated by an independent authority </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D"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 xml:space="preserve">Validation of a feasibility study by an independent authority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E"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1F"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20" w14:textId="77777777">
            <w:pPr>
              <w:spacing w:after="0" w:line="259" w:lineRule="auto"/>
              <w:contextualSpacing/>
              <w:rPr>
                <w:noProof/>
                <w:color w:val="004300"/>
                <w:sz w:val="18"/>
                <w:szCs w:val="18"/>
                <w:lang w:val="en-IE" w:eastAsia="cs-CZ"/>
              </w:rPr>
            </w:pP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21"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22" w14:textId="77777777">
            <w:pPr>
              <w:spacing w:after="0" w:line="259" w:lineRule="auto"/>
              <w:contextualSpacing/>
              <w:rPr>
                <w:noProof/>
                <w:color w:val="004300"/>
                <w:sz w:val="18"/>
                <w:szCs w:val="18"/>
                <w:lang w:val="en-IE" w:eastAsia="cs-CZ"/>
              </w:rPr>
            </w:pPr>
            <w:r w:rsidRPr="00037F34">
              <w:rPr>
                <w:noProof/>
                <w:color w:val="004300"/>
                <w:sz w:val="18"/>
                <w:szCs w:val="18"/>
                <w:lang w:val="en-IE" w:eastAsia="cs-CZ"/>
              </w:rPr>
              <w:t>2022</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037F34" w:rsidR="00D87E44" w:rsidRDefault="00D87E44" w14:paraId="15458923" w14:textId="77777777">
            <w:pPr>
              <w:spacing w:after="0" w:line="259" w:lineRule="auto"/>
              <w:contextualSpacing/>
              <w:rPr>
                <w:noProof/>
                <w:color w:val="004300"/>
                <w:sz w:val="18"/>
                <w:szCs w:val="18"/>
                <w:lang w:val="en-IE"/>
              </w:rPr>
            </w:pPr>
            <w:r w:rsidRPr="00037F34">
              <w:rPr>
                <w:noProof/>
                <w:color w:val="004300"/>
                <w:sz w:val="18"/>
                <w:szCs w:val="18"/>
                <w:lang w:val="en-IE"/>
              </w:rPr>
              <w:t>Validation by an independent authority of:</w:t>
            </w:r>
          </w:p>
          <w:p w:rsidRPr="00037F34" w:rsidR="00D87E44" w:rsidP="00D226F4" w:rsidRDefault="00D87E44" w14:paraId="15458924" w14:textId="77777777">
            <w:pPr>
              <w:numPr>
                <w:ilvl w:val="0"/>
                <w:numId w:val="84"/>
              </w:numPr>
              <w:spacing w:line="240" w:lineRule="auto"/>
              <w:rPr>
                <w:noProof/>
                <w:color w:val="004300"/>
                <w:sz w:val="18"/>
                <w:szCs w:val="18"/>
                <w:lang w:val="en-IE"/>
              </w:rPr>
            </w:pPr>
            <w:r w:rsidRPr="00037F34">
              <w:rPr>
                <w:noProof/>
                <w:color w:val="004300"/>
                <w:sz w:val="18"/>
                <w:szCs w:val="18"/>
                <w:lang w:val="en-IE"/>
              </w:rPr>
              <w:t xml:space="preserve">Medical program/functional plan and a draft design suitable for Design and Build procurement purposes, </w:t>
            </w:r>
          </w:p>
          <w:p w:rsidRPr="00037F34" w:rsidR="00D87E44" w:rsidP="00D226F4" w:rsidRDefault="00D87E44" w14:paraId="15458925" w14:textId="77777777">
            <w:pPr>
              <w:numPr>
                <w:ilvl w:val="0"/>
                <w:numId w:val="84"/>
              </w:numPr>
              <w:spacing w:line="240" w:lineRule="auto"/>
              <w:rPr>
                <w:noProof/>
                <w:color w:val="004300"/>
                <w:sz w:val="18"/>
                <w:szCs w:val="18"/>
                <w:lang w:val="en-IE"/>
              </w:rPr>
            </w:pPr>
            <w:r w:rsidRPr="00037F34">
              <w:rPr>
                <w:noProof/>
                <w:color w:val="004300"/>
                <w:sz w:val="18"/>
                <w:szCs w:val="18"/>
                <w:lang w:val="en-IE"/>
              </w:rPr>
              <w:t xml:space="preserve">Feasibility study, including needs assessment in context of the wider health strategy, technical, operational and economic feasibility, sustainability in both of financial and staffing terms, and impact on provision of oncology care at regional and country level, including on the travelling time and professional proficiency. </w:t>
            </w:r>
          </w:p>
          <w:p w:rsidRPr="00037F34" w:rsidR="00D87E44" w:rsidRDefault="00D87E44" w14:paraId="15458926" w14:textId="77777777">
            <w:pPr>
              <w:spacing w:line="240" w:lineRule="auto"/>
              <w:rPr>
                <w:noProof/>
                <w:color w:val="004300"/>
                <w:sz w:val="18"/>
                <w:szCs w:val="18"/>
                <w:lang w:val="en-IE"/>
              </w:rPr>
            </w:pPr>
            <w:r w:rsidRPr="00037F34">
              <w:rPr>
                <w:noProof/>
                <w:color w:val="004300"/>
                <w:sz w:val="18"/>
                <w:szCs w:val="18"/>
                <w:lang w:val="en-IE"/>
              </w:rPr>
              <w:t>The feasibility study recommended guidelines have been presented by the EC in the “Guide to CBA of Investment Projects, December 2014.</w:t>
            </w:r>
          </w:p>
        </w:tc>
      </w:tr>
      <w:tr w:rsidRPr="00FE48E2" w:rsidR="00E3458A" w:rsidTr="65194507" w14:paraId="15458934" w14:textId="77777777">
        <w:trPr>
          <w:trHeight w:val="94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8"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241</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9"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Investment 1: Building and establishment of the Czech Oncological Institute</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A"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Milestone</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P="00FF1320" w:rsidRDefault="00D87E44" w14:paraId="1545892B" w14:textId="77777777">
            <w:pPr>
              <w:spacing w:after="0" w:line="259" w:lineRule="auto"/>
              <w:rPr>
                <w:noProof/>
                <w:color w:val="004300"/>
                <w:sz w:val="18"/>
                <w:szCs w:val="18"/>
                <w:lang w:val="en-IE" w:eastAsia="cs-CZ"/>
              </w:rPr>
            </w:pPr>
            <w:r w:rsidRPr="00BD790C">
              <w:rPr>
                <w:noProof/>
                <w:color w:val="004300"/>
                <w:sz w:val="18"/>
                <w:szCs w:val="18"/>
                <w:lang w:val="en-IE" w:eastAsia="cs-CZ"/>
              </w:rPr>
              <w:t xml:space="preserve">The Czech Oncology Institute </w:t>
            </w:r>
            <w:r w:rsidRPr="00BD790C" w:rsidDel="00AB247B">
              <w:rPr>
                <w:noProof/>
                <w:color w:val="004300"/>
                <w:sz w:val="18"/>
                <w:szCs w:val="18"/>
                <w:lang w:val="en-IE" w:eastAsia="cs-CZ"/>
              </w:rPr>
              <w:t xml:space="preserve"> </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C" w14:textId="77777777">
            <w:pPr>
              <w:spacing w:after="0" w:line="259" w:lineRule="auto"/>
              <w:contextualSpacing/>
              <w:rPr>
                <w:noProof/>
                <w:color w:val="004300"/>
                <w:sz w:val="18"/>
                <w:szCs w:val="18"/>
                <w:lang w:val="en-IE" w:eastAsia="cs-CZ"/>
              </w:rPr>
            </w:pPr>
            <w:r w:rsidRPr="37088769">
              <w:rPr>
                <w:noProof/>
                <w:color w:val="004300"/>
                <w:sz w:val="18"/>
                <w:szCs w:val="18"/>
                <w:lang w:val="en-IE" w:eastAsia="cs-CZ"/>
              </w:rPr>
              <w:t xml:space="preserve">Construction </w:t>
            </w:r>
            <w:r w:rsidRPr="4F32CA6F">
              <w:rPr>
                <w:noProof/>
                <w:color w:val="004300"/>
                <w:sz w:val="18"/>
                <w:szCs w:val="18"/>
                <w:lang w:val="en-IE" w:eastAsia="cs-CZ"/>
              </w:rPr>
              <w:t xml:space="preserve">and equipment </w:t>
            </w:r>
            <w:r w:rsidRPr="37088769">
              <w:rPr>
                <w:noProof/>
                <w:color w:val="004300"/>
                <w:sz w:val="18"/>
                <w:szCs w:val="18"/>
                <w:lang w:val="en-IE" w:eastAsia="cs-CZ"/>
              </w:rPr>
              <w:t xml:space="preserve">of the Czech </w:t>
            </w:r>
            <w:r w:rsidRPr="59A5C26C">
              <w:rPr>
                <w:noProof/>
                <w:color w:val="004300"/>
                <w:sz w:val="18"/>
                <w:szCs w:val="18"/>
                <w:lang w:val="en-IE" w:eastAsia="cs-CZ"/>
              </w:rPr>
              <w:t xml:space="preserve">Oncology </w:t>
            </w:r>
            <w:r w:rsidRPr="4CA8695B">
              <w:rPr>
                <w:noProof/>
                <w:color w:val="004300"/>
                <w:sz w:val="18"/>
                <w:szCs w:val="18"/>
                <w:lang w:val="en-IE" w:eastAsia="cs-CZ"/>
              </w:rPr>
              <w:t>Institute</w:t>
            </w:r>
            <w:r w:rsidRPr="00BD790C">
              <w:rPr>
                <w:noProof/>
                <w:color w:val="004300"/>
                <w:sz w:val="18"/>
                <w:szCs w:val="18"/>
                <w:lang w:val="en-IE" w:eastAsia="cs-CZ"/>
              </w:rPr>
              <w:t xml:space="preserve">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D"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E"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2F" w14:textId="77777777">
            <w:pPr>
              <w:spacing w:after="0" w:line="259" w:lineRule="auto"/>
              <w:contextualSpacing/>
              <w:rPr>
                <w:noProof/>
                <w:color w:val="004300"/>
                <w:sz w:val="18"/>
                <w:szCs w:val="18"/>
                <w:lang w:val="en-IE" w:eastAsia="cs-CZ"/>
              </w:rPr>
            </w:pP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30"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Q2</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1"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2026</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2" w14:textId="77777777">
            <w:pPr>
              <w:spacing w:after="0" w:line="259" w:lineRule="auto"/>
              <w:contextualSpacing/>
              <w:rPr>
                <w:noProof/>
                <w:color w:val="004300"/>
                <w:sz w:val="18"/>
                <w:szCs w:val="18"/>
                <w:highlight w:val="yellow"/>
                <w:lang w:val="en-IE" w:eastAsia="cs-CZ"/>
              </w:rPr>
            </w:pPr>
            <w:r>
              <w:rPr>
                <w:noProof/>
                <w:color w:val="004300"/>
                <w:sz w:val="18"/>
                <w:szCs w:val="18"/>
                <w:lang w:val="en-IE" w:eastAsia="cs-CZ"/>
              </w:rPr>
              <w:t xml:space="preserve">Czech Oncology Institute is constructed and equipped. </w:t>
            </w:r>
          </w:p>
          <w:p w:rsidRPr="00FE48E2" w:rsidR="00D87E44" w:rsidRDefault="00D87E44" w14:paraId="15458933" w14:textId="77777777">
            <w:pPr>
              <w:spacing w:after="0" w:line="259" w:lineRule="auto"/>
              <w:contextualSpacing/>
              <w:rPr>
                <w:noProof/>
                <w:color w:val="004300"/>
                <w:sz w:val="18"/>
                <w:szCs w:val="18"/>
                <w:lang w:val="en-IE" w:eastAsia="cs-CZ"/>
              </w:rPr>
            </w:pPr>
          </w:p>
        </w:tc>
      </w:tr>
      <w:tr w:rsidRPr="00FE48E2" w:rsidR="00E3458A" w:rsidTr="65194507" w14:paraId="15458940" w14:textId="77777777">
        <w:trPr>
          <w:trHeight w:val="603"/>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5"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242</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6"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Investment 2: Developing highly specialised oncological and hematooncological care</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7"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Target</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38" w14:textId="77777777">
            <w:pPr>
              <w:spacing w:after="0" w:line="259" w:lineRule="auto"/>
              <w:contextualSpacing/>
              <w:rPr>
                <w:noProof/>
                <w:color w:val="004300"/>
                <w:sz w:val="18"/>
                <w:szCs w:val="18"/>
                <w:lang w:val="en-IE" w:eastAsia="cs-CZ"/>
              </w:rPr>
            </w:pPr>
            <w:r w:rsidRPr="65194507">
              <w:rPr>
                <w:noProof/>
                <w:color w:val="004300"/>
                <w:sz w:val="18"/>
                <w:szCs w:val="18"/>
                <w:lang w:val="en-IE" w:eastAsia="cs-CZ"/>
              </w:rPr>
              <w:t xml:space="preserve">Supported centers </w:t>
            </w:r>
            <w:r w:rsidRPr="65194507">
              <w:rPr>
                <w:noProof/>
                <w:color w:val="004300"/>
                <w:sz w:val="18"/>
                <w:szCs w:val="18"/>
                <w:lang w:val="en-IE" w:eastAsia="cs-CZ"/>
              </w:rPr>
              <w:t xml:space="preserve">providing oncological and hematooncological care </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39"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A" w14:textId="77777777">
            <w:pPr>
              <w:spacing w:after="0" w:line="259" w:lineRule="auto"/>
              <w:contextualSpacing/>
              <w:rPr>
                <w:noProof/>
                <w:color w:val="004300"/>
                <w:sz w:val="18"/>
                <w:szCs w:val="18"/>
                <w:lang w:val="en-IE" w:eastAsia="cs-CZ"/>
              </w:rPr>
            </w:pPr>
            <w:r w:rsidRPr="65194507">
              <w:rPr>
                <w:noProof/>
                <w:color w:val="004300"/>
                <w:sz w:val="18"/>
                <w:szCs w:val="18"/>
                <w:lang w:val="en-IE" w:eastAsia="cs-CZ"/>
              </w:rPr>
              <w:t xml:space="preserve">Number of supported centers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B"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0</w:t>
            </w: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C"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10</w:t>
            </w: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D"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Q2</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E"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2026</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3F" w14:textId="77777777">
            <w:pPr>
              <w:spacing w:after="0" w:line="259" w:lineRule="auto"/>
              <w:contextualSpacing/>
              <w:rPr>
                <w:noProof/>
                <w:color w:val="004300"/>
                <w:sz w:val="18"/>
                <w:szCs w:val="18"/>
                <w:lang w:val="en-IE"/>
              </w:rPr>
            </w:pPr>
            <w:r w:rsidRPr="65194507">
              <w:rPr>
                <w:noProof/>
                <w:color w:val="004300"/>
                <w:sz w:val="18"/>
                <w:szCs w:val="18"/>
                <w:lang w:val="en-IE" w:eastAsia="cs-CZ"/>
              </w:rPr>
              <w:t xml:space="preserve">At least ten centres shall receive grant support in acquisition of technologies and equipment. The selection of projects to be supported shall ensure balanced geographical coverage. </w:t>
            </w:r>
          </w:p>
        </w:tc>
      </w:tr>
      <w:tr w:rsidRPr="00FE48E2" w:rsidR="00E3458A" w:rsidTr="65194507" w14:paraId="1545894D" w14:textId="77777777">
        <w:trPr>
          <w:trHeight w:val="715"/>
          <w:jc w:val="center"/>
        </w:trPr>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1"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243</w:t>
            </w:r>
          </w:p>
        </w:tc>
        <w:tc>
          <w:tcPr>
            <w:tcW w:w="141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2"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 xml:space="preserve">Investment 3: Establishment and development of the Centre </w:t>
            </w:r>
            <w:r w:rsidRPr="004F1648">
              <w:rPr>
                <w:noProof/>
                <w:color w:val="004300"/>
                <w:sz w:val="18"/>
                <w:szCs w:val="18"/>
                <w:lang w:val="en-IE" w:eastAsia="cs-CZ"/>
              </w:rPr>
              <w:t>for Cancer Prevention</w:t>
            </w:r>
            <w:r w:rsidRPr="00FE48E2">
              <w:rPr>
                <w:noProof/>
                <w:color w:val="004300"/>
                <w:sz w:val="18"/>
                <w:szCs w:val="18"/>
                <w:lang w:val="en-IE" w:eastAsia="cs-CZ"/>
              </w:rPr>
              <w:t xml:space="preserve"> and Infrastructure for </w:t>
            </w:r>
            <w:r w:rsidRPr="00FE48E2">
              <w:rPr>
                <w:noProof/>
                <w:color w:val="004300"/>
                <w:sz w:val="18"/>
                <w:szCs w:val="18"/>
                <w:lang w:val="en-IE" w:eastAsia="cs-CZ"/>
              </w:rPr>
              <w:lastRenderedPageBreak/>
              <w:t>Innovative and Supportive Care at the Masaryk Memorial Cancer Institute</w:t>
            </w: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3"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lastRenderedPageBreak/>
              <w:t>Milestone</w:t>
            </w:r>
          </w:p>
        </w:tc>
        <w:tc>
          <w:tcPr>
            <w:tcW w:w="1427"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44" w14:textId="77777777">
            <w:pPr>
              <w:spacing w:after="0" w:line="259" w:lineRule="auto"/>
              <w:contextualSpacing/>
              <w:rPr>
                <w:noProof/>
                <w:color w:val="004300"/>
                <w:sz w:val="18"/>
                <w:szCs w:val="18"/>
                <w:lang w:val="en-IE" w:eastAsia="cs-CZ"/>
              </w:rPr>
            </w:pPr>
            <w:r w:rsidRPr="79EEBAAC">
              <w:rPr>
                <w:noProof/>
                <w:color w:val="004300"/>
                <w:sz w:val="18"/>
                <w:szCs w:val="18"/>
                <w:lang w:val="en-IE" w:eastAsia="cs-CZ"/>
              </w:rPr>
              <w:t>New</w:t>
            </w:r>
            <w:r w:rsidRPr="02EB0C02">
              <w:rPr>
                <w:noProof/>
                <w:color w:val="004300"/>
                <w:sz w:val="18"/>
                <w:szCs w:val="18"/>
                <w:lang w:val="en-IE" w:eastAsia="cs-CZ"/>
              </w:rPr>
              <w:t xml:space="preserve"> facilities of </w:t>
            </w:r>
            <w:r w:rsidRPr="00BD790C">
              <w:rPr>
                <w:noProof/>
                <w:color w:val="004300"/>
                <w:sz w:val="18"/>
                <w:szCs w:val="18"/>
                <w:lang w:val="en-IE" w:eastAsia="cs-CZ"/>
              </w:rPr>
              <w:t>the Masaryk Memorial Cancer Institute</w:t>
            </w:r>
          </w:p>
        </w:tc>
        <w:tc>
          <w:tcPr>
            <w:tcW w:w="1302"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45" w14:textId="77777777">
            <w:pPr>
              <w:spacing w:after="0" w:line="259" w:lineRule="auto"/>
              <w:contextualSpacing/>
              <w:rPr>
                <w:noProof/>
                <w:color w:val="004300"/>
                <w:sz w:val="18"/>
                <w:szCs w:val="18"/>
                <w:lang w:val="en-IE" w:eastAsia="cs-CZ"/>
              </w:rPr>
            </w:pPr>
            <w:r>
              <w:rPr>
                <w:noProof/>
                <w:color w:val="004300"/>
                <w:sz w:val="18"/>
                <w:szCs w:val="18"/>
                <w:lang w:val="en-IE" w:eastAsia="cs-CZ"/>
              </w:rPr>
              <w:t xml:space="preserve">Construction </w:t>
            </w:r>
            <w:r w:rsidRPr="6ACB0C36">
              <w:rPr>
                <w:noProof/>
                <w:color w:val="004300"/>
                <w:sz w:val="18"/>
                <w:szCs w:val="18"/>
                <w:lang w:val="en-IE" w:eastAsia="cs-CZ"/>
              </w:rPr>
              <w:t xml:space="preserve">and </w:t>
            </w:r>
            <w:r w:rsidRPr="5CF7F803">
              <w:rPr>
                <w:noProof/>
                <w:color w:val="004300"/>
                <w:sz w:val="18"/>
                <w:szCs w:val="18"/>
                <w:lang w:val="en-IE" w:eastAsia="cs-CZ"/>
              </w:rPr>
              <w:t xml:space="preserve">expansion </w:t>
            </w:r>
            <w:r>
              <w:rPr>
                <w:noProof/>
                <w:color w:val="004300"/>
                <w:sz w:val="18"/>
                <w:szCs w:val="18"/>
                <w:lang w:val="en-IE" w:eastAsia="cs-CZ"/>
              </w:rPr>
              <w:t>of t</w:t>
            </w:r>
            <w:r w:rsidRPr="00BD790C">
              <w:rPr>
                <w:noProof/>
                <w:color w:val="004300"/>
                <w:sz w:val="18"/>
                <w:szCs w:val="18"/>
                <w:lang w:val="en-IE" w:eastAsia="cs-CZ"/>
              </w:rPr>
              <w:t xml:space="preserve">he Masaryk Memorial Cancer Institute </w:t>
            </w: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6" w14:textId="77777777">
            <w:pPr>
              <w:spacing w:after="0" w:line="259" w:lineRule="auto"/>
              <w:contextualSpacing/>
              <w:rPr>
                <w:noProof/>
                <w:color w:val="004300"/>
                <w:sz w:val="18"/>
                <w:szCs w:val="18"/>
                <w:lang w:val="en-IE" w:eastAsia="cs-CZ"/>
              </w:rPr>
            </w:pPr>
          </w:p>
        </w:tc>
        <w:tc>
          <w:tcPr>
            <w:tcW w:w="99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7" w14:textId="77777777">
            <w:pPr>
              <w:spacing w:after="0" w:line="259" w:lineRule="auto"/>
              <w:contextualSpacing/>
              <w:rPr>
                <w:noProof/>
                <w:color w:val="004300"/>
                <w:sz w:val="18"/>
                <w:szCs w:val="18"/>
                <w:lang w:val="en-IE" w:eastAsia="cs-CZ"/>
              </w:rPr>
            </w:pPr>
          </w:p>
        </w:tc>
        <w:tc>
          <w:tcPr>
            <w:tcW w:w="79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8" w14:textId="77777777">
            <w:pPr>
              <w:spacing w:after="0" w:line="259" w:lineRule="auto"/>
              <w:contextualSpacing/>
              <w:rPr>
                <w:noProof/>
                <w:color w:val="004300"/>
                <w:sz w:val="18"/>
                <w:szCs w:val="18"/>
                <w:lang w:val="en-IE" w:eastAsia="cs-CZ"/>
              </w:rPr>
            </w:pPr>
          </w:p>
        </w:tc>
        <w:tc>
          <w:tcPr>
            <w:tcW w:w="94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9"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Q4</w:t>
            </w:r>
          </w:p>
        </w:tc>
        <w:tc>
          <w:tcPr>
            <w:tcW w:w="9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4A" w14:textId="77777777">
            <w:pPr>
              <w:spacing w:after="0" w:line="259" w:lineRule="auto"/>
              <w:contextualSpacing/>
              <w:rPr>
                <w:noProof/>
                <w:color w:val="004300"/>
                <w:sz w:val="18"/>
                <w:szCs w:val="18"/>
                <w:lang w:val="en-IE" w:eastAsia="cs-CZ"/>
              </w:rPr>
            </w:pPr>
            <w:r w:rsidRPr="00FE48E2">
              <w:rPr>
                <w:noProof/>
                <w:color w:val="004300"/>
                <w:sz w:val="18"/>
                <w:szCs w:val="18"/>
                <w:lang w:val="en-IE" w:eastAsia="cs-CZ"/>
              </w:rPr>
              <w:t>2025</w:t>
            </w:r>
          </w:p>
        </w:tc>
        <w:tc>
          <w:tcPr>
            <w:tcW w:w="4338" w:type="dxa"/>
            <w:tcBorders>
              <w:top w:val="single" w:color="auto" w:sz="4" w:space="0"/>
              <w:left w:val="single" w:color="auto" w:sz="4" w:space="0"/>
              <w:bottom w:val="single" w:color="auto" w:sz="4" w:space="0"/>
              <w:right w:val="single" w:color="auto" w:sz="4" w:space="0"/>
            </w:tcBorders>
            <w:shd w:val="clear" w:color="auto" w:fill="C6EFCE"/>
          </w:tcPr>
          <w:p w:rsidRPr="00DC3035" w:rsidR="00D87E44" w:rsidRDefault="00D87E44" w14:paraId="1545894B" w14:textId="77777777">
            <w:pPr>
              <w:spacing w:after="0" w:line="259" w:lineRule="auto"/>
              <w:contextualSpacing/>
              <w:rPr>
                <w:noProof/>
                <w:color w:val="004300"/>
                <w:sz w:val="18"/>
                <w:szCs w:val="18"/>
                <w:lang w:val="en-IE" w:eastAsia="cs-CZ"/>
              </w:rPr>
            </w:pPr>
            <w:r>
              <w:rPr>
                <w:noProof/>
                <w:color w:val="004300"/>
                <w:sz w:val="18"/>
                <w:szCs w:val="18"/>
                <w:lang w:val="en-IE" w:eastAsia="cs-CZ"/>
              </w:rPr>
              <w:t>Construction</w:t>
            </w:r>
            <w:r w:rsidRPr="00FE48E2" w:rsidDel="00602492">
              <w:rPr>
                <w:noProof/>
                <w:color w:val="004300"/>
                <w:sz w:val="18"/>
                <w:szCs w:val="18"/>
                <w:lang w:val="en-IE" w:eastAsia="cs-CZ"/>
              </w:rPr>
              <w:t xml:space="preserve"> </w:t>
            </w:r>
            <w:r w:rsidRPr="00FE48E2">
              <w:rPr>
                <w:noProof/>
                <w:color w:val="004300"/>
                <w:sz w:val="18"/>
                <w:szCs w:val="18"/>
                <w:lang w:val="en-IE" w:eastAsia="cs-CZ"/>
              </w:rPr>
              <w:t xml:space="preserve">of </w:t>
            </w:r>
            <w:r w:rsidRPr="3378389A">
              <w:rPr>
                <w:noProof/>
                <w:color w:val="004300"/>
                <w:sz w:val="18"/>
                <w:szCs w:val="18"/>
                <w:lang w:val="en-IE" w:eastAsia="cs-CZ"/>
              </w:rPr>
              <w:t>one building and expansion of another one</w:t>
            </w:r>
            <w:r w:rsidRPr="00FE48E2">
              <w:rPr>
                <w:noProof/>
                <w:color w:val="004300"/>
                <w:sz w:val="18"/>
                <w:szCs w:val="18"/>
                <w:lang w:val="en-IE" w:eastAsia="cs-CZ"/>
              </w:rPr>
              <w:t xml:space="preserve"> at the Masaryk Memorial Cancer Institute</w:t>
            </w:r>
            <w:r>
              <w:rPr>
                <w:noProof/>
                <w:color w:val="004300"/>
                <w:sz w:val="18"/>
                <w:szCs w:val="18"/>
                <w:lang w:val="en-IE" w:eastAsia="cs-CZ"/>
              </w:rPr>
              <w:t xml:space="preserve"> for c</w:t>
            </w:r>
            <w:r w:rsidRPr="00993778">
              <w:rPr>
                <w:noProof/>
                <w:color w:val="004300"/>
                <w:sz w:val="18"/>
                <w:szCs w:val="18"/>
                <w:lang w:eastAsia="cs-CZ"/>
              </w:rPr>
              <w:t>ancer prevention and innovative and supportive care</w:t>
            </w:r>
            <w:r w:rsidRPr="00FF1320">
              <w:rPr>
                <w:color w:val="004300"/>
                <w:sz w:val="18"/>
              </w:rPr>
              <w:t>.</w:t>
            </w:r>
          </w:p>
          <w:p w:rsidRPr="00DC3035" w:rsidR="00D87E44" w:rsidRDefault="00D87E44" w14:paraId="1545894C" w14:textId="77777777">
            <w:pPr>
              <w:spacing w:after="0" w:line="259" w:lineRule="auto"/>
              <w:contextualSpacing/>
              <w:rPr>
                <w:noProof/>
                <w:color w:val="004300"/>
                <w:sz w:val="18"/>
                <w:szCs w:val="18"/>
                <w:lang w:val="en-IE" w:eastAsia="cs-CZ"/>
              </w:rPr>
            </w:pPr>
          </w:p>
        </w:tc>
      </w:tr>
    </w:tbl>
    <w:p w:rsidRPr="00FE48E2" w:rsidR="00D87E44" w:rsidP="00D226F4" w:rsidRDefault="00D87E44" w14:paraId="1545894E" w14:textId="77777777">
      <w:pPr>
        <w:pBdr>
          <w:top w:val="nil"/>
          <w:left w:val="nil"/>
          <w:bottom w:val="nil"/>
          <w:right w:val="nil"/>
          <w:between w:val="nil"/>
        </w:pBdr>
        <w:tabs>
          <w:tab w:val="left" w:pos="993"/>
        </w:tabs>
        <w:spacing w:line="240" w:lineRule="auto"/>
        <w:jc w:val="both"/>
        <w:rPr>
          <w:rFonts w:eastAsia="Times New Roman"/>
          <w:b/>
          <w:noProof/>
          <w:color w:val="000000"/>
          <w:sz w:val="16"/>
          <w:szCs w:val="16"/>
          <w:u w:val="single"/>
          <w:lang w:val="en-IE" w:eastAsia="cs-CZ"/>
        </w:rPr>
        <w:sectPr w:rsidRPr="00FE48E2" w:rsidR="00C16C1F" w:rsidSect="00D226F4">
          <w:headerReference w:type="even" r:id="R026d2db549804de4"/>
          <w:headerReference w:type="default" r:id="R18e43eb5f27d4dde"/>
          <w:footerReference w:type="even" r:id="R48b1a379d56f4033"/>
          <w:footerReference w:type="default" r:id="R25b24be666984830"/>
          <w:headerReference w:type="first" r:id="Rf35ebd7a5a9f4f84"/>
          <w:footerReference w:type="first" r:id="R18bc449b25244c35"/>
          <w:pgSz w:w="16839" w:h="11907" w:orient="landscape"/>
          <w:pgMar w:top="1134" w:right="1134" w:bottom="1134" w:left="1134" w:header="567" w:footer="567" w:gutter="0"/>
          <w:cols w:space="720"/>
          <w:docGrid w:linePitch="360"/>
        </w:sectPr>
      </w:pPr>
    </w:p>
    <w:p w:rsidR="00D87E44" w:rsidP="00D226F4" w:rsidRDefault="00D87E44" w14:paraId="1545894F" w14:textId="77777777">
      <w:pPr>
        <w:pStyle w:val="K-Text"/>
        <w:rPr>
          <w:noProof/>
          <w:lang w:val="en-IE"/>
        </w:rPr>
      </w:pPr>
      <w:r>
        <w:rPr>
          <w:b/>
          <w:smallCaps/>
          <w:noProof/>
          <w:lang w:val="en-IE"/>
        </w:rPr>
        <w:lastRenderedPageBreak/>
        <w:t>REPowerEU Chapter</w:t>
      </w:r>
    </w:p>
    <w:p w:rsidRPr="00B22D05" w:rsidR="00D87E44" w:rsidP="00D226F4" w:rsidRDefault="00D87E44" w14:paraId="15458950" w14:textId="77777777">
      <w:pPr>
        <w:spacing w:after="0" w:line="259" w:lineRule="auto"/>
        <w:jc w:val="both"/>
        <w:rPr>
          <w:rFonts w:eastAsia="Times New Roman"/>
          <w:noProof/>
          <w:color w:val="000000" w:themeColor="text1"/>
          <w:lang w:val="en-IE"/>
        </w:rPr>
      </w:pPr>
      <w:r w:rsidRPr="00B22D05">
        <w:rPr>
          <w:rFonts w:eastAsia="Times New Roman"/>
          <w:noProof/>
          <w:color w:val="000000" w:themeColor="text1"/>
          <w:lang w:val="en-IE"/>
        </w:rPr>
        <w:t>The objective of the REPowerEU chapter of the Czech recovery and resilience plan is to support the development of renewable energy sources by designating RES acceleration areas, simplifying RES procedures, while also preparing the electric grid to increase its connectivity capacity. These measures jointly contribute to incentivise the take-up of renewables and strengthen energy security. The REPowerEU chapter also aims to improve the energy efficiency of the building stock, decarbonise road transport by low</w:t>
      </w:r>
      <w:r w:rsidRPr="00B22D05">
        <w:rPr>
          <w:rFonts w:eastAsia="Times New Roman"/>
          <w:noProof/>
          <w:color w:val="000000" w:themeColor="text1"/>
          <w:lang w:val="en-IE"/>
        </w:rPr>
        <w:t>ering energy demand and reduce dependence on fossil fuels, and adapt university programmes to meet the demand for green skills.</w:t>
      </w:r>
    </w:p>
    <w:p w:rsidRPr="00B22D05" w:rsidR="00D87E44" w:rsidP="00D226F4" w:rsidRDefault="00D87E44" w14:paraId="15458951" w14:textId="77777777">
      <w:pPr>
        <w:spacing w:after="160" w:line="257" w:lineRule="auto"/>
        <w:jc w:val="both"/>
        <w:rPr>
          <w:rFonts w:eastAsia="Times New Roman"/>
          <w:noProof/>
          <w:lang w:val="en-IE"/>
        </w:rPr>
      </w:pPr>
      <w:r w:rsidRPr="00B22D05">
        <w:rPr>
          <w:rFonts w:eastAsia="Times New Roman"/>
          <w:noProof/>
          <w:lang w:val="en-IE"/>
        </w:rPr>
        <w:t>Of the 2</w:t>
      </w:r>
      <w:r>
        <w:rPr>
          <w:rFonts w:eastAsia="Times New Roman"/>
          <w:noProof/>
          <w:lang w:val="en-IE"/>
        </w:rPr>
        <w:t>4</w:t>
      </w:r>
      <w:r w:rsidRPr="00B22D05">
        <w:rPr>
          <w:rFonts w:eastAsia="Times New Roman"/>
          <w:noProof/>
          <w:lang w:val="en-IE"/>
        </w:rPr>
        <w:t xml:space="preserve"> measures in the Czech REPowerEU chapter, six have a cross-border dimension. The largest investment with a </w:t>
      </w:r>
      <w:r w:rsidRPr="00B22D05">
        <w:rPr>
          <w:rFonts w:eastAsia="Times New Roman"/>
          <w:noProof/>
          <w:lang w:val="en-IE"/>
        </w:rPr>
        <w:t>cross-border dimension concerns construction, strengthening, reconstruction and modernisation of the electricity distribution systems. Other notable measures are the development of photovoltaics and the comprehensive reform of the Renovation Wave advisory system.</w:t>
      </w:r>
    </w:p>
    <w:p w:rsidRPr="00B22D05" w:rsidR="00D87E44" w:rsidP="00D226F4" w:rsidRDefault="00D87E44" w14:paraId="15458952" w14:textId="77777777">
      <w:pPr>
        <w:spacing w:after="0" w:line="259" w:lineRule="auto"/>
        <w:jc w:val="both"/>
        <w:rPr>
          <w:rFonts w:eastAsia="Times New Roman"/>
          <w:noProof/>
          <w:color w:val="000000" w:themeColor="text1"/>
          <w:lang w:val="en-IE"/>
        </w:rPr>
      </w:pPr>
      <w:r w:rsidRPr="00B22D05">
        <w:rPr>
          <w:rFonts w:eastAsia="Times New Roman"/>
          <w:noProof/>
          <w:color w:val="000000" w:themeColor="text1"/>
          <w:lang w:val="en-IE"/>
        </w:rPr>
        <w:t xml:space="preserve">The REPowerEU chapter contributes to addressing the country specific recommendations to reduce overall reliance on, and consumption of fossil fuels by accelerating the deployment of renewables </w:t>
      </w:r>
      <w:r w:rsidRPr="00FE48E2">
        <w:rPr>
          <w:rFonts w:eastAsia="Times New Roman"/>
          <w:noProof/>
          <w:color w:val="000000" w:themeColor="text1"/>
          <w:lang w:val="en-IE"/>
        </w:rPr>
        <w:t>and facilitating their integration into the electricity system</w:t>
      </w:r>
      <w:r w:rsidRPr="00B22D05">
        <w:rPr>
          <w:rFonts w:eastAsia="Times New Roman"/>
          <w:noProof/>
          <w:color w:val="000000" w:themeColor="text1"/>
          <w:lang w:val="en-IE"/>
        </w:rPr>
        <w:t>, including through further streamlining permit procedures and making grid access easier and decreasing the use of fossil fuels in the Czech transport system, and to increase the energy efficiency of district heating systems and of the building stock by incentivising deep renovations and renewable heat sources.</w:t>
      </w:r>
    </w:p>
    <w:p w:rsidR="00D87E44" w:rsidP="00D226F4" w:rsidRDefault="00D87E44" w14:paraId="15458953" w14:textId="77777777">
      <w:pPr>
        <w:spacing w:after="0" w:line="259" w:lineRule="auto"/>
        <w:jc w:val="both"/>
        <w:rPr>
          <w:noProof/>
          <w:lang w:val="en-IE"/>
        </w:rPr>
      </w:pPr>
      <w:r w:rsidRPr="00B22D05">
        <w:rPr>
          <w:rFonts w:eastAsia="Times New Roman"/>
          <w:noProof/>
          <w:color w:val="000000" w:themeColor="text1"/>
          <w:lang w:val="en-IE"/>
        </w:rPr>
        <w:t>It is expected that no measure in the REPowerEU chapter does significant harm to environmental objectives within the meaning of Article 17 of Regulation (EU) 2020/852, taking into account the description of the measures and the mitigation steps set out in the recovery and resilience plan in accordance with the DNSH Technical Guidance (2021/C58/01).</w:t>
      </w:r>
      <w:r>
        <w:rPr>
          <w:noProof/>
          <w:lang w:val="en-IE"/>
        </w:rPr>
        <w:br w:type="page"/>
      </w:r>
    </w:p>
    <w:p w:rsidRPr="00FE48E2" w:rsidR="00D87E44" w:rsidP="00D226F4" w:rsidRDefault="00D87E44" w14:paraId="15458954" w14:textId="77777777">
      <w:pPr>
        <w:keepNext/>
        <w:tabs>
          <w:tab w:val="left" w:pos="850"/>
        </w:tabs>
        <w:spacing w:line="240" w:lineRule="auto"/>
        <w:jc w:val="both"/>
        <w:outlineLvl w:val="0"/>
        <w:rPr>
          <w:b/>
          <w:bCs/>
          <w:smallCaps/>
          <w:noProof/>
          <w:lang w:val="en-IE"/>
        </w:rPr>
      </w:pPr>
      <w:r w:rsidRPr="446C6968">
        <w:rPr>
          <w:b/>
          <w:bCs/>
          <w:smallCaps/>
          <w:noProof/>
          <w:lang w:val="en-IE"/>
        </w:rPr>
        <w:lastRenderedPageBreak/>
        <w:t>EE</w:t>
      </w:r>
      <w:r w:rsidRPr="1B282876">
        <w:rPr>
          <w:b/>
          <w:bCs/>
          <w:smallCaps/>
          <w:noProof/>
          <w:lang w:val="en-IE"/>
        </w:rPr>
        <w:t>. COMPONENT 7.1:  Renewable energy and electricity infrastructure (REPowerEU)</w:t>
      </w:r>
    </w:p>
    <w:p w:rsidRPr="00FE48E2" w:rsidR="00D87E44" w:rsidP="00D226F4" w:rsidRDefault="00D87E44" w14:paraId="15458955" w14:textId="77777777">
      <w:pPr>
        <w:spacing w:after="160" w:line="257" w:lineRule="auto"/>
        <w:jc w:val="both"/>
        <w:rPr>
          <w:rFonts w:eastAsia="Times New Roman"/>
          <w:noProof/>
          <w:lang w:val="en-IE"/>
        </w:rPr>
      </w:pPr>
      <w:r w:rsidRPr="00FE48E2">
        <w:rPr>
          <w:rFonts w:eastAsia="Times New Roman"/>
          <w:noProof/>
          <w:lang w:val="en-IE"/>
        </w:rPr>
        <w:t>The purpose the component is to contribute to the achievement of the 2030 energy and climate targets for Czechia by facilitating the increase of renewable energy sources into the Czech energy mix and deploying the adapted electricity infrastructure.</w:t>
      </w:r>
    </w:p>
    <w:p w:rsidRPr="00FE48E2" w:rsidR="00D87E44" w:rsidP="00D226F4" w:rsidRDefault="00D87E44" w14:paraId="15458956" w14:textId="77777777">
      <w:pPr>
        <w:spacing w:after="160" w:line="257" w:lineRule="auto"/>
        <w:jc w:val="both"/>
        <w:rPr>
          <w:rFonts w:eastAsia="Times New Roman"/>
          <w:noProof/>
          <w:lang w:val="en-IE"/>
        </w:rPr>
      </w:pPr>
      <w:r w:rsidRPr="00FE48E2">
        <w:rPr>
          <w:rFonts w:eastAsia="Times New Roman"/>
          <w:noProof/>
          <w:lang w:val="en-IE"/>
        </w:rPr>
        <w:t>The objective of the reforms is to support the deployment of renewable energy projects by streamlining permit granting and administrative procedures for renewable energy sources while simplifying and increasing the transparency of the grid connection procedures.</w:t>
      </w:r>
    </w:p>
    <w:p w:rsidRPr="00FE48E2" w:rsidR="00D87E44" w:rsidP="00D226F4" w:rsidRDefault="00D87E44" w14:paraId="15458957" w14:textId="77777777">
      <w:pPr>
        <w:spacing w:after="160" w:line="257" w:lineRule="auto"/>
        <w:jc w:val="both"/>
        <w:rPr>
          <w:rFonts w:eastAsia="Times New Roman"/>
          <w:noProof/>
          <w:lang w:val="en-IE"/>
        </w:rPr>
      </w:pPr>
      <w:r w:rsidRPr="00FE48E2">
        <w:rPr>
          <w:rFonts w:eastAsia="Times New Roman"/>
          <w:noProof/>
          <w:lang w:val="en-IE"/>
        </w:rPr>
        <w:t xml:space="preserve">The objective of the investments is to upgrade and develop the electricity distribution grids to enable the electricity system to integrate small- and large-scale renewable energy sources into the grid. </w:t>
      </w:r>
    </w:p>
    <w:p w:rsidRPr="00FE48E2" w:rsidR="00D87E44" w:rsidP="00D226F4" w:rsidRDefault="00D87E44" w14:paraId="15458958" w14:textId="77777777">
      <w:pPr>
        <w:spacing w:after="160" w:line="257" w:lineRule="auto"/>
        <w:jc w:val="both"/>
        <w:rPr>
          <w:rFonts w:eastAsia="Times New Roman"/>
          <w:noProof/>
          <w:lang w:val="en-IE"/>
        </w:rPr>
      </w:pPr>
      <w:r w:rsidRPr="00FE48E2">
        <w:rPr>
          <w:rFonts w:eastAsia="Times New Roman"/>
          <w:noProof/>
          <w:lang w:val="en-IE"/>
        </w:rPr>
        <w:t>The component supports addressing the country specific recommendation to reduce overall reliance on, and consumption of fossil fuels by accelerating the deployment of renewables, including through further streamlining permit procedures and making grid access easier (CSR 4, 2022).</w:t>
      </w:r>
    </w:p>
    <w:p w:rsidRPr="00FE48E2" w:rsidR="00D87E44" w:rsidP="00D226F4" w:rsidRDefault="00D87E44" w14:paraId="15458959" w14:textId="77777777">
      <w:pPr>
        <w:pBdr>
          <w:top w:val="nil"/>
          <w:left w:val="nil"/>
          <w:bottom w:val="nil"/>
          <w:right w:val="nil"/>
          <w:between w:val="nil"/>
        </w:pBdr>
        <w:spacing w:line="240" w:lineRule="auto"/>
        <w:jc w:val="both"/>
        <w:rPr>
          <w:b/>
          <w:bCs/>
          <w:i/>
          <w:iCs/>
          <w:noProof/>
          <w:lang w:val="en-IE"/>
        </w:rPr>
      </w:pPr>
      <w:r w:rsidRPr="1B282876">
        <w:rPr>
          <w:b/>
          <w:bCs/>
          <w:noProof/>
          <w:color w:val="000000" w:themeColor="text1"/>
          <w:u w:val="single"/>
          <w:lang w:val="en-IE"/>
        </w:rPr>
        <w:t xml:space="preserve">EE.1. Description of the reforms and </w:t>
      </w:r>
      <w:r w:rsidRPr="1B282876">
        <w:rPr>
          <w:b/>
          <w:bCs/>
          <w:noProof/>
          <w:color w:val="000000" w:themeColor="text1"/>
          <w:u w:val="single"/>
          <w:lang w:val="en-IE"/>
        </w:rPr>
        <w:t>investments for non-repayable financial support</w:t>
      </w:r>
    </w:p>
    <w:p w:rsidRPr="00FE48E2" w:rsidR="00D87E44" w:rsidP="00D226F4" w:rsidRDefault="00D87E44" w14:paraId="1545895A" w14:textId="77777777">
      <w:pPr>
        <w:spacing w:after="160" w:line="257" w:lineRule="auto"/>
        <w:jc w:val="both"/>
        <w:rPr>
          <w:rFonts w:eastAsia="Times New Roman"/>
          <w:b/>
          <w:noProof/>
          <w:lang w:val="en-IE"/>
        </w:rPr>
      </w:pPr>
      <w:r w:rsidRPr="00FE48E2">
        <w:rPr>
          <w:rFonts w:eastAsia="Times New Roman"/>
          <w:b/>
          <w:noProof/>
          <w:lang w:val="en-IE"/>
        </w:rPr>
        <w:t>Investment 1: Construction,</w:t>
      </w:r>
      <w:r>
        <w:rPr>
          <w:rFonts w:eastAsia="Times New Roman"/>
          <w:b/>
          <w:noProof/>
          <w:lang w:val="en-IE"/>
        </w:rPr>
        <w:t xml:space="preserve"> </w:t>
      </w:r>
      <w:r w:rsidRPr="00FE48E2">
        <w:rPr>
          <w:rFonts w:eastAsia="Times New Roman"/>
          <w:b/>
          <w:noProof/>
          <w:lang w:val="en-IE"/>
        </w:rPr>
        <w:t>refurbishment and upgrade of distribution networks</w:t>
      </w:r>
    </w:p>
    <w:p w:rsidR="00D87E44" w:rsidP="00D226F4" w:rsidRDefault="00D87E44" w14:paraId="1545895B" w14:textId="77777777">
      <w:pPr>
        <w:spacing w:after="0" w:line="259" w:lineRule="auto"/>
        <w:jc w:val="both"/>
        <w:rPr>
          <w:rFonts w:eastAsia="Times New Roman"/>
          <w:noProof/>
          <w:color w:val="000000" w:themeColor="text1"/>
          <w:lang w:val="en-IE"/>
        </w:rPr>
      </w:pPr>
      <w:r w:rsidRPr="0E823E62">
        <w:rPr>
          <w:rFonts w:eastAsia="Times New Roman"/>
          <w:noProof/>
          <w:color w:val="000000" w:themeColor="text1"/>
          <w:lang w:val="en-IE"/>
        </w:rPr>
        <w:t>The objective of this measure is to accommodate the expected increase in demand for integrating the intermittent renewables into the distribution grid.</w:t>
      </w:r>
    </w:p>
    <w:p w:rsidRPr="00FE48E2" w:rsidR="00D87E44" w:rsidP="00D226F4" w:rsidRDefault="00D87E44" w14:paraId="1545895C" w14:textId="77777777">
      <w:pPr>
        <w:spacing w:after="0" w:line="259" w:lineRule="auto"/>
        <w:jc w:val="both"/>
        <w:rPr>
          <w:rFonts w:eastAsia="Times New Roman"/>
          <w:noProof/>
          <w:color w:val="000000" w:themeColor="text1"/>
          <w:lang w:val="en-IE"/>
        </w:rPr>
      </w:pPr>
      <w:r>
        <w:rPr>
          <w:rFonts w:eastAsia="Times New Roman"/>
          <w:noProof/>
          <w:color w:val="000000" w:themeColor="text1"/>
          <w:lang w:val="en-IE"/>
        </w:rPr>
        <w:t>The measure consists of</w:t>
      </w:r>
      <w:r w:rsidRPr="0E823E62">
        <w:rPr>
          <w:rFonts w:eastAsia="Times New Roman"/>
          <w:noProof/>
          <w:color w:val="000000" w:themeColor="text1"/>
          <w:lang w:val="en-IE"/>
        </w:rPr>
        <w:t xml:space="preserve"> </w:t>
      </w:r>
      <w:r>
        <w:rPr>
          <w:rFonts w:eastAsia="Times New Roman"/>
          <w:noProof/>
          <w:color w:val="000000" w:themeColor="text1"/>
          <w:lang w:val="en-IE"/>
        </w:rPr>
        <w:t>c</w:t>
      </w:r>
      <w:r w:rsidRPr="00F21AC4">
        <w:rPr>
          <w:rFonts w:eastAsia="Times New Roman"/>
          <w:noProof/>
          <w:color w:val="000000" w:themeColor="text1"/>
          <w:lang w:val="en-IE"/>
        </w:rPr>
        <w:t>onstruction, refurbishment and upgrade of distribution networks</w:t>
      </w:r>
      <w:r>
        <w:rPr>
          <w:rFonts w:eastAsia="Times New Roman"/>
          <w:noProof/>
          <w:color w:val="000000" w:themeColor="text1"/>
          <w:lang w:val="en-IE"/>
        </w:rPr>
        <w:t>.</w:t>
      </w:r>
      <w:r w:rsidRPr="0E823E62">
        <w:rPr>
          <w:rFonts w:eastAsia="Times New Roman"/>
          <w:noProof/>
          <w:color w:val="000000" w:themeColor="text1"/>
          <w:lang w:val="en-IE"/>
        </w:rPr>
        <w:t xml:space="preserve"> </w:t>
      </w:r>
    </w:p>
    <w:p w:rsidRPr="00FE48E2" w:rsidR="00D87E44" w:rsidP="00D226F4" w:rsidRDefault="00D87E44" w14:paraId="1545895D" w14:textId="77777777">
      <w:pPr>
        <w:spacing w:after="160" w:line="257" w:lineRule="auto"/>
        <w:jc w:val="both"/>
        <w:rPr>
          <w:rFonts w:eastAsia="Times New Roman"/>
          <w:b/>
          <w:noProof/>
          <w:lang w:val="en-IE"/>
        </w:rPr>
      </w:pPr>
      <w:r w:rsidRPr="00FE48E2">
        <w:rPr>
          <w:rFonts w:eastAsia="Times New Roman"/>
          <w:b/>
          <w:noProof/>
          <w:lang w:val="en-IE"/>
        </w:rPr>
        <w:t>Investment 2</w:t>
      </w:r>
      <w:r>
        <w:rPr>
          <w:rFonts w:eastAsia="Times New Roman"/>
          <w:b/>
          <w:noProof/>
          <w:lang w:val="en-IE"/>
        </w:rPr>
        <w:t>:</w:t>
      </w:r>
      <w:r w:rsidRPr="00FE48E2">
        <w:rPr>
          <w:rFonts w:eastAsia="Times New Roman"/>
          <w:b/>
          <w:noProof/>
          <w:lang w:val="en-IE"/>
        </w:rPr>
        <w:t xml:space="preserve"> Scaled up measure </w:t>
      </w:r>
      <w:r w:rsidRPr="00FE48E2">
        <w:rPr>
          <w:b/>
          <w:noProof/>
          <w:lang w:val="en-IE"/>
        </w:rPr>
        <w:t xml:space="preserve">Component 2.3 (Transition to Cleaner Energy Sources) </w:t>
      </w:r>
      <w:r w:rsidRPr="00FE48E2">
        <w:rPr>
          <w:rFonts w:eastAsia="Times New Roman"/>
          <w:b/>
          <w:noProof/>
          <w:lang w:val="en-IE"/>
        </w:rPr>
        <w:t xml:space="preserve">Deployment of Photovoltaics </w:t>
      </w:r>
    </w:p>
    <w:p w:rsidRPr="00FE48E2" w:rsidR="00D87E44" w:rsidP="00D226F4" w:rsidRDefault="00D87E44" w14:paraId="1545895E"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objective of this measure is to scale up Investment 1: Deployment of Photovoltaics in </w:t>
      </w:r>
      <w:r w:rsidRPr="00FE48E2">
        <w:rPr>
          <w:noProof/>
          <w:lang w:val="en-IE"/>
        </w:rPr>
        <w:t>Component 2.3 (Transition to Cleaner Energy Sources)</w:t>
      </w:r>
      <w:r w:rsidRPr="00FE48E2">
        <w:rPr>
          <w:rFonts w:eastAsia="Times New Roman"/>
          <w:noProof/>
          <w:szCs w:val="24"/>
          <w:lang w:val="en-IE" w:eastAsia="cs-CZ"/>
        </w:rPr>
        <w:t xml:space="preserve">. </w:t>
      </w:r>
    </w:p>
    <w:p w:rsidRPr="008554AD" w:rsidR="00D87E44" w:rsidP="00D226F4" w:rsidRDefault="00D87E44" w14:paraId="1545895F" w14:textId="77777777">
      <w:pPr>
        <w:spacing w:line="240" w:lineRule="auto"/>
        <w:jc w:val="both"/>
        <w:rPr>
          <w:rFonts w:eastAsia="Times New Roman"/>
          <w:noProof/>
          <w:szCs w:val="24"/>
          <w:lang w:val="en-IE" w:eastAsia="cs-CZ"/>
        </w:rPr>
      </w:pPr>
      <w:r w:rsidRPr="00FE48E2">
        <w:rPr>
          <w:rFonts w:eastAsia="Times New Roman"/>
          <w:noProof/>
          <w:szCs w:val="24"/>
          <w:lang w:val="en-IE" w:eastAsia="cs-CZ"/>
        </w:rPr>
        <w:t xml:space="preserve">The </w:t>
      </w:r>
      <w:r w:rsidRPr="008554AD">
        <w:rPr>
          <w:rFonts w:eastAsia="Times New Roman"/>
          <w:noProof/>
          <w:szCs w:val="24"/>
          <w:lang w:val="en-IE" w:eastAsia="cs-CZ"/>
        </w:rPr>
        <w:t xml:space="preserve">scaled-up part of the measure consists of installed capacity of sources of photovoltaic powers plants. </w:t>
      </w:r>
    </w:p>
    <w:p w:rsidRPr="008554AD" w:rsidR="00D87E44" w:rsidP="00D226F4" w:rsidRDefault="00D87E44" w14:paraId="15458960" w14:textId="77777777">
      <w:pPr>
        <w:spacing w:after="160" w:line="257" w:lineRule="auto"/>
        <w:jc w:val="both"/>
        <w:rPr>
          <w:noProof/>
          <w:szCs w:val="24"/>
          <w:lang w:val="en-IE"/>
        </w:rPr>
      </w:pPr>
      <w:r w:rsidRPr="00E82CD4">
        <w:rPr>
          <w:rFonts w:eastAsia="Times New Roman"/>
          <w:b/>
          <w:noProof/>
          <w:szCs w:val="24"/>
          <w:lang w:val="en-IE"/>
        </w:rPr>
        <w:t>Reform 1: Simplifying permitting procedures for renewables</w:t>
      </w:r>
      <w:r w:rsidRPr="008554AD">
        <w:rPr>
          <w:rFonts w:eastAsia="Times New Roman"/>
          <w:b/>
          <w:noProof/>
          <w:szCs w:val="24"/>
          <w:lang w:val="en-IE"/>
        </w:rPr>
        <w:t xml:space="preserve"> </w:t>
      </w:r>
    </w:p>
    <w:p w:rsidRPr="00FE48E2" w:rsidR="00D87E44" w:rsidP="00D226F4" w:rsidRDefault="00D87E44" w14:paraId="15458961" w14:textId="77777777">
      <w:pPr>
        <w:spacing w:after="160" w:line="257" w:lineRule="auto"/>
        <w:jc w:val="both"/>
        <w:rPr>
          <w:noProof/>
          <w:szCs w:val="24"/>
          <w:lang w:val="en-IE"/>
        </w:rPr>
      </w:pPr>
      <w:r w:rsidRPr="008554AD">
        <w:rPr>
          <w:rFonts w:eastAsia="Times New Roman"/>
          <w:noProof/>
          <w:szCs w:val="24"/>
          <w:lang w:val="en-IE"/>
        </w:rPr>
        <w:t>The reform shall remove the requirement to obtain a construction permit, a license to produce electricity and a zoning consent decision for renewable</w:t>
      </w:r>
      <w:r w:rsidRPr="00FE48E2">
        <w:rPr>
          <w:rFonts w:eastAsia="Times New Roman"/>
          <w:noProof/>
          <w:szCs w:val="24"/>
          <w:lang w:val="en-IE"/>
        </w:rPr>
        <w:t xml:space="preserve"> power installations with a total installed capacity of up to 50 Kw</w:t>
      </w:r>
      <w:r>
        <w:rPr>
          <w:rFonts w:eastAsia="Times New Roman"/>
          <w:noProof/>
          <w:szCs w:val="24"/>
          <w:lang w:val="en-IE"/>
        </w:rPr>
        <w:t>, as well as remove the grid connection authorization for the installations up to 10kW</w:t>
      </w:r>
      <w:r w:rsidRPr="00FE48E2">
        <w:rPr>
          <w:rFonts w:eastAsia="Times New Roman"/>
          <w:noProof/>
          <w:szCs w:val="24"/>
          <w:lang w:val="en-IE"/>
        </w:rPr>
        <w:t xml:space="preserve">. </w:t>
      </w:r>
    </w:p>
    <w:p w:rsidRPr="00FE48E2" w:rsidR="00D87E44" w:rsidP="00D226F4" w:rsidRDefault="00D87E44" w14:paraId="15458962" w14:textId="77777777">
      <w:pPr>
        <w:spacing w:after="160" w:line="257" w:lineRule="auto"/>
        <w:jc w:val="both"/>
        <w:rPr>
          <w:rFonts w:eastAsia="Times New Roman"/>
          <w:noProof/>
          <w:szCs w:val="24"/>
          <w:lang w:val="en-IE"/>
        </w:rPr>
      </w:pPr>
      <w:r w:rsidRPr="00FE48E2">
        <w:rPr>
          <w:rFonts w:eastAsia="Times New Roman"/>
          <w:noProof/>
          <w:szCs w:val="24"/>
          <w:lang w:val="en-IE"/>
        </w:rPr>
        <w:t xml:space="preserve">The reform shall simplify the permitting procedure for renewable energy installations with an installed capacity above 1MW. Those </w:t>
      </w:r>
      <w:r w:rsidRPr="00FE48E2">
        <w:rPr>
          <w:rFonts w:eastAsia="Times New Roman"/>
          <w:noProof/>
          <w:szCs w:val="24"/>
          <w:lang w:val="en-IE"/>
        </w:rPr>
        <w:t>installations shall be considered as of public interest and shall benefit from a preferential treatment as regards zoning permits and building permits.</w:t>
      </w:r>
    </w:p>
    <w:p w:rsidRPr="00FE48E2" w:rsidR="00D87E44" w:rsidP="00D226F4" w:rsidRDefault="00D87E44" w14:paraId="15458963" w14:textId="77777777">
      <w:pPr>
        <w:jc w:val="both"/>
        <w:rPr>
          <w:rFonts w:eastAsia="Times New Roman"/>
          <w:noProof/>
          <w:szCs w:val="24"/>
          <w:lang w:val="en-IE"/>
        </w:rPr>
      </w:pPr>
      <w:r w:rsidRPr="00FE48E2">
        <w:rPr>
          <w:rFonts w:eastAsia="Times New Roman"/>
          <w:noProof/>
          <w:szCs w:val="24"/>
          <w:lang w:val="en-IE"/>
        </w:rPr>
        <w:t xml:space="preserve">The reform shall be completed by 31 March 2023 </w:t>
      </w:r>
    </w:p>
    <w:p w:rsidRPr="00FE48E2" w:rsidR="00D87E44" w:rsidP="00D226F4" w:rsidRDefault="00D87E44" w14:paraId="15458964" w14:textId="77777777">
      <w:pPr>
        <w:spacing w:after="160" w:line="257" w:lineRule="auto"/>
        <w:jc w:val="both"/>
        <w:rPr>
          <w:rFonts w:eastAsia="Times New Roman"/>
          <w:b/>
          <w:noProof/>
          <w:szCs w:val="24"/>
          <w:lang w:val="en-IE"/>
        </w:rPr>
      </w:pPr>
      <w:r w:rsidRPr="00FE48E2">
        <w:rPr>
          <w:rFonts w:eastAsia="Times New Roman"/>
          <w:b/>
          <w:noProof/>
          <w:szCs w:val="24"/>
          <w:lang w:val="en-IE"/>
        </w:rPr>
        <w:t>Reform 2</w:t>
      </w:r>
      <w:r>
        <w:rPr>
          <w:rFonts w:eastAsia="Times New Roman"/>
          <w:b/>
          <w:noProof/>
          <w:szCs w:val="24"/>
          <w:lang w:val="en-IE"/>
        </w:rPr>
        <w:t>:</w:t>
      </w:r>
      <w:r w:rsidRPr="00FE48E2">
        <w:rPr>
          <w:rFonts w:eastAsia="Times New Roman"/>
          <w:b/>
          <w:noProof/>
          <w:szCs w:val="24"/>
          <w:lang w:val="en-IE"/>
        </w:rPr>
        <w:t xml:space="preserve"> Accelerating </w:t>
      </w:r>
      <w:r>
        <w:rPr>
          <w:rFonts w:eastAsia="Times New Roman"/>
          <w:b/>
          <w:noProof/>
          <w:szCs w:val="24"/>
          <w:lang w:val="en-IE"/>
        </w:rPr>
        <w:t>the deployment of</w:t>
      </w:r>
      <w:r w:rsidRPr="00FE48E2">
        <w:rPr>
          <w:rFonts w:eastAsia="Times New Roman"/>
          <w:b/>
          <w:noProof/>
          <w:szCs w:val="24"/>
          <w:lang w:val="en-IE"/>
        </w:rPr>
        <w:t xml:space="preserve"> renewables</w:t>
      </w:r>
    </w:p>
    <w:p w:rsidRPr="00FE48E2" w:rsidR="00D87E44" w:rsidP="00FF1320" w:rsidRDefault="00D87E44" w14:paraId="15458965" w14:textId="77777777">
      <w:pPr>
        <w:spacing w:after="160" w:line="257" w:lineRule="auto"/>
        <w:jc w:val="both"/>
        <w:rPr>
          <w:rFonts w:eastAsia="Times New Roman"/>
          <w:noProof/>
          <w:szCs w:val="24"/>
          <w:lang w:val="en-IE"/>
        </w:rPr>
      </w:pPr>
      <w:r w:rsidRPr="00FE48E2">
        <w:rPr>
          <w:rFonts w:eastAsia="Times New Roman"/>
          <w:noProof/>
          <w:szCs w:val="24"/>
          <w:lang w:val="en-IE"/>
        </w:rPr>
        <w:lastRenderedPageBreak/>
        <w:t xml:space="preserve">The </w:t>
      </w:r>
      <w:r>
        <w:rPr>
          <w:rFonts w:eastAsia="Times New Roman"/>
          <w:noProof/>
          <w:szCs w:val="24"/>
          <w:lang w:val="en-IE"/>
        </w:rPr>
        <w:t>objective of the measure is to</w:t>
      </w:r>
      <w:r w:rsidRPr="00FE48E2">
        <w:rPr>
          <w:rFonts w:eastAsia="Times New Roman"/>
          <w:noProof/>
          <w:szCs w:val="24"/>
          <w:lang w:val="en-IE"/>
        </w:rPr>
        <w:t xml:space="preserve"> </w:t>
      </w:r>
      <w:r>
        <w:rPr>
          <w:rFonts w:eastAsia="Times New Roman"/>
          <w:noProof/>
          <w:szCs w:val="24"/>
          <w:lang w:val="en-IE"/>
        </w:rPr>
        <w:t xml:space="preserve">accelerate the </w:t>
      </w:r>
      <w:r w:rsidRPr="00FF1320">
        <w:rPr>
          <w:lang w:val="en-IE"/>
        </w:rPr>
        <w:t xml:space="preserve">permitting process for renewables </w:t>
      </w:r>
      <w:r>
        <w:rPr>
          <w:rFonts w:eastAsia="Times New Roman"/>
          <w:noProof/>
          <w:szCs w:val="24"/>
          <w:lang w:val="en-IE"/>
        </w:rPr>
        <w:t>and to</w:t>
      </w:r>
      <w:r w:rsidRPr="00EB6DDD">
        <w:rPr>
          <w:rFonts w:eastAsia="Times New Roman"/>
          <w:noProof/>
          <w:szCs w:val="24"/>
        </w:rPr>
        <w:t xml:space="preserve"> facilitate the deployment of agrophotovoltaic systems</w:t>
      </w:r>
      <w:r>
        <w:rPr>
          <w:rFonts w:eastAsia="Times New Roman"/>
          <w:noProof/>
          <w:szCs w:val="24"/>
          <w:lang w:val="en-IE"/>
        </w:rPr>
        <w:t xml:space="preserve">. The reform consists of revision of legal framework by </w:t>
      </w:r>
      <w:r w:rsidRPr="00FE48E2">
        <w:rPr>
          <w:rFonts w:eastAsia="Times New Roman"/>
          <w:noProof/>
          <w:szCs w:val="24"/>
          <w:lang w:val="en-IE"/>
        </w:rPr>
        <w:t>set</w:t>
      </w:r>
      <w:r>
        <w:rPr>
          <w:rFonts w:eastAsia="Times New Roman"/>
          <w:noProof/>
          <w:szCs w:val="24"/>
          <w:lang w:val="en-IE"/>
        </w:rPr>
        <w:t>ting</w:t>
      </w:r>
      <w:r w:rsidRPr="00FE48E2">
        <w:rPr>
          <w:rFonts w:eastAsia="Times New Roman"/>
          <w:noProof/>
          <w:szCs w:val="24"/>
          <w:lang w:val="en-IE"/>
        </w:rPr>
        <w:t xml:space="preserve"> differentiated, binding maximum deadlines for </w:t>
      </w:r>
      <w:r>
        <w:rPr>
          <w:rFonts w:eastAsia="Times New Roman"/>
          <w:noProof/>
          <w:szCs w:val="24"/>
          <w:lang w:val="en-IE"/>
        </w:rPr>
        <w:t>the</w:t>
      </w:r>
      <w:r w:rsidRPr="00FE48E2">
        <w:rPr>
          <w:rFonts w:eastAsia="Times New Roman"/>
          <w:noProof/>
          <w:szCs w:val="24"/>
          <w:lang w:val="en-IE"/>
        </w:rPr>
        <w:t xml:space="preserve"> </w:t>
      </w:r>
      <w:r>
        <w:rPr>
          <w:rFonts w:eastAsia="Times New Roman"/>
          <w:noProof/>
          <w:szCs w:val="24"/>
          <w:lang w:val="en-IE"/>
        </w:rPr>
        <w:t xml:space="preserve">different </w:t>
      </w:r>
      <w:r w:rsidRPr="00FE48E2">
        <w:rPr>
          <w:rFonts w:eastAsia="Times New Roman"/>
          <w:noProof/>
          <w:szCs w:val="24"/>
          <w:lang w:val="en-IE"/>
        </w:rPr>
        <w:t xml:space="preserve">stages of the </w:t>
      </w:r>
      <w:r>
        <w:rPr>
          <w:rFonts w:eastAsia="Times New Roman"/>
          <w:noProof/>
          <w:szCs w:val="24"/>
          <w:lang w:val="en-IE"/>
        </w:rPr>
        <w:t xml:space="preserve">permitting </w:t>
      </w:r>
      <w:r w:rsidRPr="00FE48E2">
        <w:rPr>
          <w:rFonts w:eastAsia="Times New Roman"/>
          <w:noProof/>
          <w:szCs w:val="24"/>
          <w:lang w:val="en-IE"/>
        </w:rPr>
        <w:t xml:space="preserve">procedure </w:t>
      </w:r>
      <w:r w:rsidRPr="001427F3">
        <w:rPr>
          <w:rFonts w:eastAsia="Times New Roman"/>
          <w:noProof/>
          <w:szCs w:val="24"/>
          <w:lang w:val="en-IE"/>
        </w:rPr>
        <w:t>and by allowing for the installation of</w:t>
      </w:r>
      <w:r w:rsidRPr="008C7FAF">
        <w:rPr>
          <w:rFonts w:eastAsia="Times New Roman"/>
          <w:noProof/>
          <w:szCs w:val="24"/>
          <w:lang w:val="en-IE"/>
        </w:rPr>
        <w:t xml:space="preserve"> agrophotovoltaics.</w:t>
      </w:r>
      <w:r w:rsidRPr="00FE48E2">
        <w:rPr>
          <w:rFonts w:eastAsia="Times New Roman"/>
          <w:noProof/>
          <w:szCs w:val="24"/>
          <w:lang w:val="en-IE"/>
        </w:rPr>
        <w:t xml:space="preserve">  </w:t>
      </w:r>
    </w:p>
    <w:p w:rsidRPr="00FE48E2" w:rsidR="00D87E44" w:rsidP="00D226F4" w:rsidRDefault="00D87E44" w14:paraId="15458966" w14:textId="77777777">
      <w:pPr>
        <w:spacing w:after="160" w:line="257" w:lineRule="auto"/>
        <w:jc w:val="both"/>
        <w:rPr>
          <w:rFonts w:eastAsia="Times New Roman"/>
          <w:b/>
          <w:noProof/>
          <w:szCs w:val="24"/>
          <w:lang w:val="en-IE"/>
        </w:rPr>
      </w:pPr>
      <w:r w:rsidRPr="00FE48E2">
        <w:rPr>
          <w:rFonts w:eastAsia="Times New Roman"/>
          <w:b/>
          <w:noProof/>
          <w:szCs w:val="24"/>
          <w:lang w:val="en-IE"/>
        </w:rPr>
        <w:t xml:space="preserve">Reform 3: Improving the predictability, transparency and availability of grid connection process </w:t>
      </w:r>
    </w:p>
    <w:p w:rsidRPr="00FE48E2" w:rsidR="00D87E44" w:rsidP="00D226F4" w:rsidRDefault="00D87E44" w14:paraId="15458967" w14:textId="77777777">
      <w:pPr>
        <w:spacing w:after="160" w:line="257" w:lineRule="auto"/>
        <w:jc w:val="both"/>
        <w:rPr>
          <w:noProof/>
          <w:szCs w:val="24"/>
          <w:lang w:val="en-IE"/>
        </w:rPr>
      </w:pPr>
      <w:r w:rsidRPr="00FE48E2">
        <w:rPr>
          <w:rFonts w:eastAsia="Times New Roman"/>
          <w:noProof/>
          <w:color w:val="000000" w:themeColor="text1"/>
          <w:szCs w:val="24"/>
          <w:lang w:val="en-IE"/>
        </w:rPr>
        <w:t xml:space="preserve">The objective of the reform is to </w:t>
      </w:r>
      <w:r>
        <w:rPr>
          <w:rFonts w:eastAsia="Times New Roman"/>
          <w:noProof/>
          <w:color w:val="000000" w:themeColor="text1"/>
          <w:szCs w:val="24"/>
          <w:lang w:val="en-IE"/>
        </w:rPr>
        <w:t>optimise</w:t>
      </w:r>
      <w:r w:rsidRPr="00FE48E2">
        <w:rPr>
          <w:rFonts w:eastAsia="Times New Roman"/>
          <w:noProof/>
          <w:color w:val="000000" w:themeColor="text1"/>
          <w:szCs w:val="24"/>
          <w:lang w:val="en-IE"/>
        </w:rPr>
        <w:t xml:space="preserve"> the use of available electricity grid capacity and </w:t>
      </w:r>
      <w:r w:rsidRPr="00FE48E2">
        <w:rPr>
          <w:rFonts w:eastAsia="Times New Roman"/>
          <w:noProof/>
          <w:szCs w:val="24"/>
          <w:lang w:val="en-IE"/>
        </w:rPr>
        <w:t xml:space="preserve">to facilitate the connection of renewable energy sources to the grid and self-consumption. </w:t>
      </w:r>
    </w:p>
    <w:p w:rsidRPr="00FE48E2" w:rsidR="00D87E44" w:rsidP="00D226F4" w:rsidRDefault="00D87E44" w14:paraId="15458968" w14:textId="77777777">
      <w:pPr>
        <w:spacing w:after="160" w:line="257" w:lineRule="auto"/>
        <w:jc w:val="both"/>
        <w:rPr>
          <w:noProof/>
          <w:szCs w:val="24"/>
          <w:lang w:val="en-IE"/>
        </w:rPr>
      </w:pPr>
      <w:r w:rsidRPr="00FE48E2">
        <w:rPr>
          <w:rFonts w:eastAsia="Times New Roman"/>
          <w:b/>
          <w:noProof/>
          <w:szCs w:val="24"/>
          <w:lang w:val="en-IE"/>
        </w:rPr>
        <w:t>Sub-measure 1</w:t>
      </w:r>
      <w:r w:rsidRPr="00FE48E2">
        <w:rPr>
          <w:noProof/>
          <w:szCs w:val="24"/>
          <w:lang w:val="en-IE"/>
        </w:rPr>
        <w:t xml:space="preserve">: </w:t>
      </w:r>
      <w:r w:rsidRPr="00FE48E2">
        <w:rPr>
          <w:rFonts w:eastAsia="Times New Roman"/>
          <w:b/>
          <w:noProof/>
          <w:szCs w:val="24"/>
          <w:lang w:val="en-IE"/>
        </w:rPr>
        <w:t>Improve transparency of the grid connection procedure</w:t>
      </w:r>
    </w:p>
    <w:p w:rsidR="00D87E44" w:rsidP="00D226F4" w:rsidRDefault="00D87E44" w14:paraId="15458969" w14:textId="77777777">
      <w:pPr>
        <w:spacing w:after="160" w:line="257" w:lineRule="auto"/>
        <w:jc w:val="both"/>
        <w:rPr>
          <w:rFonts w:eastAsia="Times New Roman"/>
          <w:noProof/>
          <w:szCs w:val="24"/>
          <w:lang w:val="en-IE"/>
        </w:rPr>
      </w:pPr>
      <w:r w:rsidRPr="2693E75F">
        <w:rPr>
          <w:rFonts w:eastAsia="Times New Roman"/>
          <w:noProof/>
          <w:lang w:val="en-IE"/>
        </w:rPr>
        <w:t xml:space="preserve">The </w:t>
      </w:r>
      <w:r>
        <w:rPr>
          <w:rFonts w:eastAsia="Times New Roman"/>
          <w:noProof/>
          <w:lang w:val="en-IE"/>
        </w:rPr>
        <w:t>objective of this measure is</w:t>
      </w:r>
      <w:r w:rsidRPr="2693E75F">
        <w:rPr>
          <w:rFonts w:eastAsia="Times New Roman"/>
          <w:noProof/>
          <w:lang w:val="en-IE"/>
        </w:rPr>
        <w:t xml:space="preserve"> to </w:t>
      </w:r>
      <w:r w:rsidRPr="00FE48E2">
        <w:rPr>
          <w:rFonts w:eastAsia="Times New Roman"/>
          <w:noProof/>
          <w:szCs w:val="24"/>
          <w:lang w:val="en-IE"/>
        </w:rPr>
        <w:t>increase the transparency of the grid connection procedure</w:t>
      </w:r>
      <w:r>
        <w:rPr>
          <w:rFonts w:eastAsia="Times New Roman"/>
          <w:noProof/>
          <w:szCs w:val="24"/>
          <w:lang w:val="en-IE"/>
        </w:rPr>
        <w:t>.</w:t>
      </w:r>
    </w:p>
    <w:p w:rsidRPr="00FE48E2" w:rsidR="00D87E44" w:rsidP="00D226F4" w:rsidRDefault="00D87E44" w14:paraId="1545896A" w14:textId="77777777">
      <w:pPr>
        <w:spacing w:after="160" w:line="257" w:lineRule="auto"/>
        <w:jc w:val="both"/>
        <w:rPr>
          <w:noProof/>
          <w:lang w:val="en-IE"/>
        </w:rPr>
      </w:pPr>
      <w:r w:rsidRPr="2693E75F">
        <w:rPr>
          <w:rFonts w:eastAsia="Times New Roman"/>
          <w:noProof/>
          <w:lang w:val="en-IE"/>
        </w:rPr>
        <w:t xml:space="preserve">The reform </w:t>
      </w:r>
      <w:r>
        <w:rPr>
          <w:rFonts w:eastAsia="Times New Roman"/>
          <w:noProof/>
          <w:lang w:val="en-IE"/>
        </w:rPr>
        <w:t xml:space="preserve">consists of regulatory changes </w:t>
      </w:r>
      <w:r w:rsidRPr="2693E75F">
        <w:rPr>
          <w:rFonts w:eastAsia="Times New Roman"/>
          <w:noProof/>
          <w:lang w:val="en-IE"/>
        </w:rPr>
        <w:t>to remove barriers to grid connection process introducing binding time limits for the grid connection procedures</w:t>
      </w:r>
      <w:r w:rsidRPr="257E8125">
        <w:rPr>
          <w:rFonts w:eastAsia="Times New Roman"/>
          <w:noProof/>
          <w:lang w:val="en-IE"/>
        </w:rPr>
        <w:t xml:space="preserve">, of regulatory changes to address the challenges linked to the overbooking of available capacities and of publication of </w:t>
      </w:r>
      <w:r w:rsidRPr="257E8125">
        <w:rPr>
          <w:noProof/>
          <w:lang w:val="en-IE"/>
        </w:rPr>
        <w:t>a transparency map on the website of the three regional DSOs on grid connection capacities.</w:t>
      </w:r>
    </w:p>
    <w:p w:rsidRPr="00FE48E2" w:rsidR="00D87E44" w:rsidP="00D226F4" w:rsidRDefault="00D87E44" w14:paraId="1545896B" w14:textId="77777777">
      <w:pPr>
        <w:spacing w:after="160" w:line="257" w:lineRule="auto"/>
        <w:jc w:val="both"/>
        <w:rPr>
          <w:noProof/>
          <w:szCs w:val="24"/>
          <w:lang w:val="en-IE"/>
        </w:rPr>
      </w:pPr>
      <w:r w:rsidRPr="00FE48E2">
        <w:rPr>
          <w:rFonts w:eastAsia="Times New Roman"/>
          <w:b/>
          <w:noProof/>
          <w:szCs w:val="24"/>
          <w:lang w:val="en-IE"/>
        </w:rPr>
        <w:t>Sub-measure 2: Regulatory incentives for electricity network operators to increase grid flexibility</w:t>
      </w:r>
    </w:p>
    <w:p w:rsidR="00D87E44" w:rsidP="4A45BCA2" w:rsidRDefault="00D87E44" w14:paraId="1545896C" w14:textId="77777777">
      <w:pPr>
        <w:spacing w:after="160" w:line="257" w:lineRule="auto"/>
        <w:rPr>
          <w:rFonts w:eastAsia="Times New Roman"/>
          <w:noProof/>
          <w:lang w:val="en-IE"/>
        </w:rPr>
        <w:sectPr w:rsidR="00C16C1F" w:rsidSect="00D226F4">
          <w:headerReference w:type="even" r:id="Rcb7ab29e4e904b28"/>
          <w:headerReference w:type="default" r:id="R0a700151f6cd4fcf"/>
          <w:footerReference w:type="even" r:id="Rc8afd6d1632c40ee"/>
          <w:footerReference w:type="default" r:id="Rfcf567b9b6e5461c"/>
          <w:headerReference w:type="first" r:id="R4d1b159ec5e14513"/>
          <w:footerReference w:type="first" r:id="R4b625251939742ae"/>
          <w:pgSz w:w="11907" w:h="16839"/>
          <w:pgMar w:top="1134" w:right="1134" w:bottom="1134" w:left="1134" w:header="567" w:footer="567" w:gutter="0"/>
          <w:cols w:space="720"/>
          <w:docGrid w:linePitch="360"/>
        </w:sectPr>
      </w:pPr>
      <w:r w:rsidRPr="4A45BCA2">
        <w:rPr>
          <w:rFonts w:eastAsia="Times New Roman"/>
          <w:noProof/>
          <w:lang w:val="en-IE"/>
        </w:rPr>
        <w:t>The objective of the measure is to introduce regulatory incentives for electricity network operators to increase grid flexibi</w:t>
      </w:r>
      <w:r w:rsidRPr="4A45BCA2">
        <w:rPr>
          <w:rFonts w:eastAsia="Times New Roman"/>
          <w:noProof/>
          <w:lang w:val="en-IE"/>
        </w:rPr>
        <w:t>lity. The reform consists of the revision of the regulatory framework governing DSO/TSO investments and tariffs.</w:t>
      </w:r>
    </w:p>
    <w:p w:rsidRPr="00FE48E2" w:rsidR="00D87E44" w:rsidP="00D226F4" w:rsidRDefault="00D87E44" w14:paraId="1545896D" w14:textId="77777777">
      <w:pPr>
        <w:spacing w:after="100" w:afterAutospacing="1" w:line="259" w:lineRule="auto"/>
        <w:jc w:val="both"/>
        <w:rPr>
          <w:rFonts w:eastAsia="Times New Roman"/>
          <w:b/>
          <w:bCs/>
          <w:noProof/>
          <w:color w:val="000000" w:themeColor="text1"/>
          <w:u w:val="single"/>
          <w:lang w:val="en-IE"/>
        </w:rPr>
      </w:pPr>
      <w:r w:rsidRPr="1B282876">
        <w:rPr>
          <w:rFonts w:eastAsia="Times New Roman"/>
          <w:b/>
          <w:bCs/>
          <w:noProof/>
          <w:color w:val="000000" w:themeColor="text1"/>
          <w:u w:val="single"/>
          <w:lang w:val="en-IE"/>
        </w:rPr>
        <w:lastRenderedPageBreak/>
        <w:t>EE.2. Milestones, targets, indicators, and timetable for monitoring and implementation for non-repayable financial support</w:t>
      </w:r>
    </w:p>
    <w:tbl>
      <w:tblPr>
        <w:tblW w:w="15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790"/>
        <w:gridCol w:w="1094"/>
        <w:gridCol w:w="1489"/>
        <w:gridCol w:w="1732"/>
        <w:gridCol w:w="955"/>
        <w:gridCol w:w="955"/>
        <w:gridCol w:w="1004"/>
        <w:gridCol w:w="986"/>
        <w:gridCol w:w="640"/>
        <w:gridCol w:w="3961"/>
      </w:tblGrid>
      <w:tr w:rsidRPr="00FE48E2" w:rsidR="00E3458A" w14:paraId="15458976" w14:textId="77777777">
        <w:trPr>
          <w:trHeight w:val="672"/>
          <w:tblHeader/>
          <w:jc w:val="center"/>
        </w:trPr>
        <w:tc>
          <w:tcPr>
            <w:tcW w:w="704" w:type="dxa"/>
            <w:vMerge w:val="restart"/>
            <w:shd w:val="clear" w:color="auto" w:fill="BDD7EE"/>
            <w:vAlign w:val="center"/>
            <w:hideMark/>
          </w:tcPr>
          <w:p w:rsidRPr="00FE48E2" w:rsidR="00D87E44" w:rsidRDefault="00D87E44" w14:paraId="1545896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790" w:type="dxa"/>
            <w:vMerge w:val="restart"/>
            <w:shd w:val="clear" w:color="auto" w:fill="BDD7EE"/>
            <w:vAlign w:val="center"/>
            <w:hideMark/>
          </w:tcPr>
          <w:p w:rsidRPr="00FE48E2" w:rsidR="00D87E44" w:rsidRDefault="00D87E44" w14:paraId="1545896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094" w:type="dxa"/>
            <w:vMerge w:val="restart"/>
            <w:shd w:val="clear" w:color="auto" w:fill="BDD7EE"/>
            <w:vAlign w:val="center"/>
            <w:hideMark/>
          </w:tcPr>
          <w:p w:rsidRPr="00FE48E2" w:rsidR="00D87E44" w:rsidRDefault="00D87E44" w14:paraId="1545897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89" w:type="dxa"/>
            <w:vMerge w:val="restart"/>
            <w:shd w:val="clear" w:color="auto" w:fill="BDD7EE"/>
            <w:vAlign w:val="center"/>
            <w:hideMark/>
          </w:tcPr>
          <w:p w:rsidRPr="00FE48E2" w:rsidR="00D87E44" w:rsidRDefault="00D87E44" w14:paraId="1545897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32" w:type="dxa"/>
            <w:vMerge w:val="restart"/>
            <w:shd w:val="clear" w:color="auto" w:fill="BDD7EE"/>
            <w:vAlign w:val="center"/>
            <w:hideMark/>
          </w:tcPr>
          <w:p w:rsidRPr="00FE48E2" w:rsidR="00D87E44" w:rsidRDefault="00D87E44" w14:paraId="1545897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Pr>
                <w:noProof/>
              </w:rPr>
              <w:br/>
            </w:r>
            <w:r w:rsidRPr="00FE48E2">
              <w:rPr>
                <w:rFonts w:eastAsia="Times New Roman"/>
                <w:b/>
                <w:noProof/>
                <w:sz w:val="18"/>
                <w:szCs w:val="18"/>
                <w:lang w:val="en-IE"/>
              </w:rPr>
              <w:t>(for milestones)</w:t>
            </w:r>
          </w:p>
        </w:tc>
        <w:tc>
          <w:tcPr>
            <w:tcW w:w="2914" w:type="dxa"/>
            <w:gridSpan w:val="3"/>
            <w:shd w:val="clear" w:color="auto" w:fill="BDD7EE"/>
            <w:vAlign w:val="center"/>
            <w:hideMark/>
          </w:tcPr>
          <w:p w:rsidRPr="00FE48E2" w:rsidR="00D87E44" w:rsidRDefault="00D87E44" w14:paraId="1545897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Pr>
                <w:noProof/>
              </w:rPr>
              <w:br/>
            </w:r>
            <w:r w:rsidRPr="00FE48E2">
              <w:rPr>
                <w:rFonts w:eastAsia="Times New Roman"/>
                <w:b/>
                <w:noProof/>
                <w:sz w:val="18"/>
                <w:szCs w:val="18"/>
                <w:lang w:val="en-IE"/>
              </w:rPr>
              <w:t>(for targets)</w:t>
            </w:r>
          </w:p>
        </w:tc>
        <w:tc>
          <w:tcPr>
            <w:tcW w:w="1626" w:type="dxa"/>
            <w:gridSpan w:val="2"/>
            <w:shd w:val="clear" w:color="auto" w:fill="BDD7EE"/>
            <w:vAlign w:val="center"/>
            <w:hideMark/>
          </w:tcPr>
          <w:p w:rsidRPr="00FE48E2" w:rsidR="00D87E44" w:rsidRDefault="00D87E44" w14:paraId="1545897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961" w:type="dxa"/>
            <w:vMerge w:val="restart"/>
            <w:shd w:val="clear" w:color="auto" w:fill="BDD7EE"/>
            <w:vAlign w:val="center"/>
            <w:hideMark/>
          </w:tcPr>
          <w:p w:rsidRPr="00FE48E2" w:rsidR="00D87E44" w:rsidRDefault="00D87E44" w14:paraId="15458975"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982" w14:textId="77777777">
        <w:trPr>
          <w:trHeight w:val="458"/>
          <w:tblHeader/>
          <w:jc w:val="center"/>
        </w:trPr>
        <w:tc>
          <w:tcPr>
            <w:tcW w:w="704" w:type="dxa"/>
            <w:vMerge/>
            <w:vAlign w:val="center"/>
            <w:hideMark/>
          </w:tcPr>
          <w:p w:rsidRPr="00FE48E2" w:rsidR="00D87E44" w:rsidRDefault="00D87E44" w14:paraId="15458977" w14:textId="77777777">
            <w:pPr>
              <w:spacing w:before="0" w:after="0" w:line="240" w:lineRule="auto"/>
              <w:rPr>
                <w:rFonts w:eastAsia="Times New Roman"/>
                <w:b/>
                <w:noProof/>
                <w:sz w:val="18"/>
                <w:szCs w:val="18"/>
                <w:lang w:val="en-IE"/>
              </w:rPr>
            </w:pPr>
          </w:p>
        </w:tc>
        <w:tc>
          <w:tcPr>
            <w:tcW w:w="1790" w:type="dxa"/>
            <w:vMerge/>
            <w:vAlign w:val="center"/>
            <w:hideMark/>
          </w:tcPr>
          <w:p w:rsidRPr="00FE48E2" w:rsidR="00D87E44" w:rsidRDefault="00D87E44" w14:paraId="15458978" w14:textId="77777777">
            <w:pPr>
              <w:spacing w:before="0" w:after="0" w:line="240" w:lineRule="auto"/>
              <w:rPr>
                <w:rFonts w:eastAsia="Times New Roman"/>
                <w:b/>
                <w:noProof/>
                <w:sz w:val="18"/>
                <w:szCs w:val="18"/>
                <w:lang w:val="en-IE"/>
              </w:rPr>
            </w:pPr>
          </w:p>
        </w:tc>
        <w:tc>
          <w:tcPr>
            <w:tcW w:w="1094" w:type="dxa"/>
            <w:vMerge/>
            <w:vAlign w:val="center"/>
            <w:hideMark/>
          </w:tcPr>
          <w:p w:rsidRPr="00FE48E2" w:rsidR="00D87E44" w:rsidRDefault="00D87E44" w14:paraId="15458979" w14:textId="77777777">
            <w:pPr>
              <w:spacing w:before="0" w:after="0" w:line="240" w:lineRule="auto"/>
              <w:rPr>
                <w:rFonts w:eastAsia="Times New Roman"/>
                <w:b/>
                <w:noProof/>
                <w:sz w:val="18"/>
                <w:szCs w:val="18"/>
                <w:lang w:val="en-IE"/>
              </w:rPr>
            </w:pPr>
          </w:p>
        </w:tc>
        <w:tc>
          <w:tcPr>
            <w:tcW w:w="1489" w:type="dxa"/>
            <w:vMerge/>
            <w:vAlign w:val="center"/>
            <w:hideMark/>
          </w:tcPr>
          <w:p w:rsidRPr="00FE48E2" w:rsidR="00D87E44" w:rsidRDefault="00D87E44" w14:paraId="1545897A" w14:textId="77777777">
            <w:pPr>
              <w:spacing w:before="0" w:after="0" w:line="240" w:lineRule="auto"/>
              <w:rPr>
                <w:rFonts w:eastAsia="Times New Roman"/>
                <w:b/>
                <w:noProof/>
                <w:sz w:val="18"/>
                <w:szCs w:val="18"/>
                <w:lang w:val="en-IE"/>
              </w:rPr>
            </w:pPr>
          </w:p>
        </w:tc>
        <w:tc>
          <w:tcPr>
            <w:tcW w:w="1732" w:type="dxa"/>
            <w:vMerge/>
            <w:vAlign w:val="center"/>
            <w:hideMark/>
          </w:tcPr>
          <w:p w:rsidRPr="00FE48E2" w:rsidR="00D87E44" w:rsidRDefault="00D87E44" w14:paraId="1545897B" w14:textId="77777777">
            <w:pPr>
              <w:spacing w:before="0" w:after="0" w:line="240" w:lineRule="auto"/>
              <w:rPr>
                <w:rFonts w:eastAsia="Times New Roman"/>
                <w:b/>
                <w:noProof/>
                <w:sz w:val="18"/>
                <w:szCs w:val="18"/>
                <w:lang w:val="en-IE"/>
              </w:rPr>
            </w:pPr>
          </w:p>
        </w:tc>
        <w:tc>
          <w:tcPr>
            <w:tcW w:w="955" w:type="dxa"/>
            <w:shd w:val="clear" w:color="auto" w:fill="BDD7EE"/>
            <w:vAlign w:val="center"/>
            <w:hideMark/>
          </w:tcPr>
          <w:p w:rsidRPr="00174567" w:rsidR="00D87E44" w:rsidRDefault="00D87E44" w14:paraId="1545897C"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Unit of measure</w:t>
            </w:r>
          </w:p>
        </w:tc>
        <w:tc>
          <w:tcPr>
            <w:tcW w:w="955" w:type="dxa"/>
            <w:shd w:val="clear" w:color="auto" w:fill="BDD7EE"/>
            <w:vAlign w:val="center"/>
            <w:hideMark/>
          </w:tcPr>
          <w:p w:rsidRPr="00174567" w:rsidR="00D87E44" w:rsidRDefault="00D87E44" w14:paraId="1545897D"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Baseline </w:t>
            </w:r>
          </w:p>
        </w:tc>
        <w:tc>
          <w:tcPr>
            <w:tcW w:w="1004" w:type="dxa"/>
            <w:shd w:val="clear" w:color="auto" w:fill="BDD7EE"/>
            <w:vAlign w:val="center"/>
            <w:hideMark/>
          </w:tcPr>
          <w:p w:rsidRPr="00174567" w:rsidR="00D87E44" w:rsidRDefault="00D87E44" w14:paraId="1545897E"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Goal </w:t>
            </w:r>
          </w:p>
        </w:tc>
        <w:tc>
          <w:tcPr>
            <w:tcW w:w="986" w:type="dxa"/>
            <w:shd w:val="clear" w:color="auto" w:fill="BDD7EE"/>
            <w:vAlign w:val="center"/>
            <w:hideMark/>
          </w:tcPr>
          <w:p w:rsidRPr="00174567" w:rsidR="00D87E44" w:rsidRDefault="00D87E44" w14:paraId="1545897F"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Quarter</w:t>
            </w:r>
          </w:p>
        </w:tc>
        <w:tc>
          <w:tcPr>
            <w:tcW w:w="640" w:type="dxa"/>
            <w:shd w:val="clear" w:color="auto" w:fill="BDD7EE"/>
            <w:vAlign w:val="center"/>
            <w:hideMark/>
          </w:tcPr>
          <w:p w:rsidRPr="00174567" w:rsidR="00D87E44" w:rsidRDefault="00D87E44" w14:paraId="15458980"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Year</w:t>
            </w:r>
          </w:p>
        </w:tc>
        <w:tc>
          <w:tcPr>
            <w:tcW w:w="3961" w:type="dxa"/>
            <w:vMerge/>
            <w:vAlign w:val="center"/>
            <w:hideMark/>
          </w:tcPr>
          <w:p w:rsidRPr="00FE48E2" w:rsidR="00D87E44" w:rsidRDefault="00D87E44" w14:paraId="15458981" w14:textId="77777777">
            <w:pPr>
              <w:spacing w:before="0" w:after="0" w:line="240" w:lineRule="auto"/>
              <w:rPr>
                <w:rFonts w:eastAsia="Times New Roman"/>
                <w:b/>
                <w:noProof/>
                <w:sz w:val="18"/>
                <w:szCs w:val="18"/>
                <w:lang w:val="en-IE"/>
              </w:rPr>
            </w:pPr>
          </w:p>
        </w:tc>
      </w:tr>
      <w:tr w:rsidRPr="00FE48E2" w:rsidR="00E3458A" w14:paraId="15458990" w14:textId="77777777">
        <w:trPr>
          <w:trHeight w:val="309"/>
          <w:jc w:val="center"/>
        </w:trPr>
        <w:tc>
          <w:tcPr>
            <w:tcW w:w="704" w:type="dxa"/>
            <w:shd w:val="clear" w:color="auto" w:fill="C6EFCE"/>
            <w:hideMark/>
          </w:tcPr>
          <w:p w:rsidRPr="00FE48E2" w:rsidR="00D87E44" w:rsidRDefault="00D87E44" w14:paraId="15458983" w14:textId="77777777">
            <w:pPr>
              <w:spacing w:after="0" w:line="259" w:lineRule="auto"/>
              <w:contextualSpacing/>
              <w:rPr>
                <w:noProof/>
                <w:color w:val="000000" w:themeColor="text1"/>
                <w:sz w:val="18"/>
                <w:szCs w:val="18"/>
                <w:lang w:val="en-IE"/>
              </w:rPr>
            </w:pPr>
            <w:r w:rsidRPr="004F1648">
              <w:rPr>
                <w:noProof/>
                <w:color w:val="004300"/>
                <w:sz w:val="18"/>
                <w:szCs w:val="18"/>
                <w:lang w:val="en-IE" w:eastAsia="cs-CZ"/>
              </w:rPr>
              <w:t>299</w:t>
            </w:r>
          </w:p>
        </w:tc>
        <w:tc>
          <w:tcPr>
            <w:tcW w:w="1790" w:type="dxa"/>
            <w:shd w:val="clear" w:color="auto" w:fill="C6EFCE"/>
            <w:hideMark/>
          </w:tcPr>
          <w:p w:rsidRPr="00FE48E2" w:rsidR="00D87E44" w:rsidRDefault="00D87E44" w14:paraId="15458984" w14:textId="77777777">
            <w:pPr>
              <w:spacing w:before="0" w:after="0" w:line="240" w:lineRule="auto"/>
              <w:rPr>
                <w:rFonts w:eastAsia="Times New Roman"/>
                <w:noProof/>
                <w:color w:val="004300"/>
                <w:sz w:val="18"/>
                <w:szCs w:val="18"/>
                <w:lang w:val="en-IE"/>
              </w:rPr>
            </w:pPr>
            <w:r w:rsidRPr="4361A3F8">
              <w:rPr>
                <w:rFonts w:eastAsia="Times New Roman"/>
                <w:noProof/>
                <w:color w:val="006100"/>
                <w:sz w:val="18"/>
                <w:szCs w:val="18"/>
                <w:lang w:val="en-IE"/>
              </w:rPr>
              <w:t xml:space="preserve">Investment 1: </w:t>
            </w:r>
            <w:r w:rsidRPr="00FE48E2">
              <w:rPr>
                <w:rFonts w:eastAsia="Times New Roman"/>
                <w:noProof/>
                <w:color w:val="006100"/>
                <w:sz w:val="18"/>
                <w:szCs w:val="18"/>
                <w:lang w:val="en-IE"/>
              </w:rPr>
              <w:t xml:space="preserve">Modernisation and digitalisation of the regional distribution systems </w:t>
            </w:r>
          </w:p>
        </w:tc>
        <w:tc>
          <w:tcPr>
            <w:tcW w:w="1094" w:type="dxa"/>
            <w:shd w:val="clear" w:color="auto" w:fill="C6EFCE"/>
            <w:hideMark/>
          </w:tcPr>
          <w:p w:rsidRPr="00FE48E2" w:rsidR="00D87E44" w:rsidRDefault="00D87E44" w14:paraId="15458985"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Target</w:t>
            </w:r>
          </w:p>
        </w:tc>
        <w:tc>
          <w:tcPr>
            <w:tcW w:w="1489" w:type="dxa"/>
            <w:shd w:val="clear" w:color="auto" w:fill="C6EFCE"/>
            <w:hideMark/>
          </w:tcPr>
          <w:p w:rsidRPr="00FE48E2" w:rsidR="00D87E44" w:rsidRDefault="00D87E44" w14:paraId="15458986" w14:textId="77777777">
            <w:pPr>
              <w:spacing w:before="0" w:after="0" w:line="240" w:lineRule="auto"/>
              <w:rPr>
                <w:rFonts w:eastAsia="Times New Roman"/>
                <w:noProof/>
                <w:color w:val="004300"/>
                <w:sz w:val="18"/>
                <w:szCs w:val="18"/>
                <w:lang w:val="en-IE"/>
              </w:rPr>
            </w:pPr>
            <w:r>
              <w:rPr>
                <w:rFonts w:eastAsia="Times New Roman"/>
                <w:noProof/>
                <w:color w:val="006100"/>
                <w:sz w:val="18"/>
                <w:szCs w:val="18"/>
                <w:lang w:val="en-IE"/>
              </w:rPr>
              <w:t>I</w:t>
            </w:r>
            <w:r w:rsidRPr="00FE48E2">
              <w:rPr>
                <w:rFonts w:eastAsia="Times New Roman"/>
                <w:noProof/>
                <w:color w:val="006100"/>
                <w:sz w:val="18"/>
                <w:szCs w:val="18"/>
                <w:lang w:val="en-IE"/>
              </w:rPr>
              <w:t xml:space="preserve">nvestments </w:t>
            </w:r>
            <w:r>
              <w:rPr>
                <w:rFonts w:eastAsia="Times New Roman"/>
                <w:noProof/>
                <w:color w:val="006100"/>
                <w:sz w:val="18"/>
                <w:szCs w:val="18"/>
                <w:lang w:val="en-IE"/>
              </w:rPr>
              <w:t xml:space="preserve">in </w:t>
            </w:r>
            <w:r w:rsidRPr="00FE48E2">
              <w:rPr>
                <w:rFonts w:eastAsia="Times New Roman"/>
                <w:noProof/>
                <w:color w:val="006100"/>
                <w:sz w:val="18"/>
                <w:szCs w:val="18"/>
                <w:lang w:val="en-IE"/>
              </w:rPr>
              <w:t xml:space="preserve">distribution networks </w:t>
            </w:r>
          </w:p>
        </w:tc>
        <w:tc>
          <w:tcPr>
            <w:tcW w:w="1732" w:type="dxa"/>
            <w:shd w:val="clear" w:color="auto" w:fill="C6EFCE"/>
            <w:hideMark/>
          </w:tcPr>
          <w:p w:rsidRPr="00FE48E2" w:rsidR="00D87E44" w:rsidRDefault="00D87E44" w14:paraId="15458987"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988"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MW</w:t>
            </w:r>
          </w:p>
        </w:tc>
        <w:tc>
          <w:tcPr>
            <w:tcW w:w="955" w:type="dxa"/>
            <w:shd w:val="clear" w:color="auto" w:fill="C6EFCE"/>
          </w:tcPr>
          <w:p w:rsidRPr="003411D3" w:rsidR="00D87E44" w:rsidRDefault="00D87E44" w14:paraId="15458989" w14:textId="77777777">
            <w:pPr>
              <w:spacing w:before="0" w:after="0" w:line="240" w:lineRule="auto"/>
              <w:rPr>
                <w:rFonts w:eastAsia="Times New Roman"/>
                <w:noProof/>
                <w:color w:val="004300"/>
                <w:sz w:val="18"/>
                <w:szCs w:val="18"/>
                <w:lang w:val="en-IE"/>
              </w:rPr>
            </w:pPr>
            <w:r w:rsidRPr="003411D3">
              <w:rPr>
                <w:rFonts w:eastAsia="Times New Roman"/>
                <w:noProof/>
                <w:color w:val="006100"/>
                <w:sz w:val="18"/>
                <w:szCs w:val="18"/>
                <w:lang w:val="en-IE"/>
              </w:rPr>
              <w:t xml:space="preserve"> 0</w:t>
            </w:r>
          </w:p>
        </w:tc>
        <w:tc>
          <w:tcPr>
            <w:tcW w:w="1004" w:type="dxa"/>
            <w:shd w:val="clear" w:color="auto" w:fill="C6EFCE"/>
          </w:tcPr>
          <w:p w:rsidRPr="003411D3" w:rsidR="00D87E44" w:rsidRDefault="00D87E44" w14:paraId="1545898A" w14:textId="77777777">
            <w:pPr>
              <w:spacing w:before="0" w:after="0" w:line="240" w:lineRule="auto"/>
              <w:rPr>
                <w:rFonts w:eastAsia="Times New Roman"/>
                <w:noProof/>
                <w:color w:val="004300"/>
                <w:sz w:val="18"/>
                <w:szCs w:val="18"/>
                <w:lang w:val="en-IE"/>
              </w:rPr>
            </w:pPr>
            <w:r w:rsidRPr="003411D3">
              <w:rPr>
                <w:rFonts w:eastAsia="Times New Roman"/>
                <w:noProof/>
                <w:color w:val="006100"/>
                <w:sz w:val="18"/>
                <w:szCs w:val="18"/>
                <w:lang w:val="en-IE"/>
              </w:rPr>
              <w:t>1</w:t>
            </w:r>
            <w:r>
              <w:rPr>
                <w:rFonts w:eastAsia="Times New Roman"/>
                <w:noProof/>
                <w:color w:val="006100"/>
                <w:sz w:val="18"/>
                <w:szCs w:val="18"/>
                <w:lang w:val="en-IE"/>
              </w:rPr>
              <w:t> </w:t>
            </w:r>
            <w:r w:rsidRPr="003411D3">
              <w:rPr>
                <w:rFonts w:eastAsia="Times New Roman"/>
                <w:noProof/>
                <w:color w:val="006100"/>
                <w:sz w:val="18"/>
                <w:szCs w:val="18"/>
                <w:lang w:val="en-IE"/>
              </w:rPr>
              <w:t>98</w:t>
            </w:r>
            <w:r w:rsidRPr="006A438D">
              <w:rPr>
                <w:rFonts w:eastAsia="Times New Roman"/>
                <w:noProof/>
                <w:color w:val="006100"/>
                <w:sz w:val="18"/>
                <w:szCs w:val="18"/>
                <w:lang w:val="en-IE"/>
              </w:rPr>
              <w:t>9</w:t>
            </w:r>
          </w:p>
        </w:tc>
        <w:tc>
          <w:tcPr>
            <w:tcW w:w="986" w:type="dxa"/>
            <w:shd w:val="clear" w:color="auto" w:fill="C6EFCE"/>
            <w:hideMark/>
          </w:tcPr>
          <w:p w:rsidRPr="00FE48E2" w:rsidR="00D87E44" w:rsidRDefault="00D87E44" w14:paraId="1545898B" w14:textId="77777777">
            <w:pPr>
              <w:spacing w:after="0" w:line="259" w:lineRule="auto"/>
              <w:contextualSpacing/>
              <w:rPr>
                <w:rFonts w:eastAsia="Times New Roman"/>
                <w:noProof/>
                <w:color w:val="004300"/>
                <w:sz w:val="18"/>
                <w:szCs w:val="18"/>
                <w:lang w:val="en-IE"/>
              </w:rPr>
            </w:pPr>
            <w:r w:rsidRPr="00FE48E2">
              <w:rPr>
                <w:rFonts w:eastAsia="Times New Roman"/>
                <w:noProof/>
                <w:color w:val="006100"/>
                <w:sz w:val="18"/>
                <w:szCs w:val="18"/>
                <w:lang w:val="en-IE"/>
              </w:rPr>
              <w:t>Q1</w:t>
            </w:r>
          </w:p>
        </w:tc>
        <w:tc>
          <w:tcPr>
            <w:tcW w:w="640" w:type="dxa"/>
            <w:shd w:val="clear" w:color="auto" w:fill="C6EFCE"/>
            <w:hideMark/>
          </w:tcPr>
          <w:p w:rsidRPr="00BD790C" w:rsidR="00D87E44" w:rsidRDefault="00D87E44" w14:paraId="1545898C" w14:textId="77777777">
            <w:pPr>
              <w:spacing w:after="0" w:line="259" w:lineRule="auto"/>
              <w:contextualSpacing/>
              <w:rPr>
                <w:noProof/>
                <w:color w:val="004300"/>
                <w:sz w:val="18"/>
                <w:szCs w:val="18"/>
                <w:lang w:val="en-IE" w:eastAsia="cs-CZ"/>
              </w:rPr>
            </w:pPr>
            <w:r w:rsidRPr="00BD790C">
              <w:rPr>
                <w:noProof/>
                <w:color w:val="004300"/>
                <w:sz w:val="18"/>
                <w:szCs w:val="18"/>
                <w:lang w:val="en-IE" w:eastAsia="cs-CZ"/>
              </w:rPr>
              <w:t>2026</w:t>
            </w:r>
          </w:p>
          <w:p w:rsidRPr="00BD790C" w:rsidR="00D87E44" w:rsidRDefault="00D87E44" w14:paraId="1545898D" w14:textId="77777777">
            <w:pPr>
              <w:spacing w:before="0" w:after="0" w:line="259" w:lineRule="auto"/>
              <w:contextualSpacing/>
              <w:rPr>
                <w:noProof/>
                <w:color w:val="004300"/>
                <w:sz w:val="18"/>
                <w:szCs w:val="18"/>
                <w:lang w:val="en-IE" w:eastAsia="cs-CZ"/>
              </w:rPr>
            </w:pPr>
            <w:r w:rsidRPr="00BD790C">
              <w:rPr>
                <w:noProof/>
                <w:color w:val="004300"/>
                <w:sz w:val="18"/>
                <w:szCs w:val="18"/>
                <w:lang w:val="en-IE" w:eastAsia="cs-CZ"/>
              </w:rPr>
              <w:t xml:space="preserve"> </w:t>
            </w:r>
          </w:p>
        </w:tc>
        <w:tc>
          <w:tcPr>
            <w:tcW w:w="3961" w:type="dxa"/>
            <w:shd w:val="clear" w:color="auto" w:fill="C6EFCE"/>
            <w:hideMark/>
          </w:tcPr>
          <w:p w:rsidRPr="00FE48E2" w:rsidR="00D87E44" w:rsidP="00FF1320" w:rsidRDefault="00D87E44" w14:paraId="1545898E" w14:textId="77777777">
            <w:pPr>
              <w:spacing w:after="0" w:line="259" w:lineRule="auto"/>
              <w:contextualSpacing/>
              <w:rPr>
                <w:rFonts w:eastAsia="Times New Roman"/>
                <w:noProof/>
                <w:color w:val="006100"/>
                <w:sz w:val="18"/>
                <w:szCs w:val="18"/>
                <w:lang w:val="en-IE"/>
              </w:rPr>
            </w:pPr>
            <w:r w:rsidRPr="0E823E62">
              <w:rPr>
                <w:rFonts w:eastAsia="Times New Roman"/>
                <w:noProof/>
                <w:color w:val="006100"/>
                <w:sz w:val="18"/>
                <w:szCs w:val="18"/>
                <w:lang w:val="en-IE"/>
              </w:rPr>
              <w:t xml:space="preserve">At </w:t>
            </w:r>
            <w:r w:rsidRPr="00827028">
              <w:rPr>
                <w:rFonts w:eastAsia="Times New Roman"/>
                <w:noProof/>
                <w:color w:val="006100"/>
                <w:sz w:val="18"/>
                <w:szCs w:val="18"/>
                <w:lang w:val="en-IE"/>
              </w:rPr>
              <w:t>least 1</w:t>
            </w:r>
            <w:r>
              <w:rPr>
                <w:rFonts w:eastAsia="Times New Roman"/>
                <w:noProof/>
                <w:color w:val="006100"/>
                <w:sz w:val="18"/>
                <w:szCs w:val="18"/>
                <w:lang w:val="en-IE"/>
              </w:rPr>
              <w:t> </w:t>
            </w:r>
            <w:r w:rsidRPr="00827028">
              <w:rPr>
                <w:rFonts w:eastAsia="Times New Roman"/>
                <w:noProof/>
                <w:color w:val="006100"/>
                <w:sz w:val="18"/>
                <w:szCs w:val="18"/>
                <w:lang w:val="en-IE"/>
              </w:rPr>
              <w:t xml:space="preserve">989 MW of cumulative additional capacity </w:t>
            </w:r>
            <w:r w:rsidRPr="0E823E62">
              <w:rPr>
                <w:rFonts w:eastAsia="Times New Roman"/>
                <w:noProof/>
                <w:color w:val="006100"/>
                <w:sz w:val="18"/>
                <w:szCs w:val="18"/>
                <w:lang w:val="en-IE"/>
              </w:rPr>
              <w:t>to the distribution networks</w:t>
            </w:r>
            <w:r>
              <w:rPr>
                <w:rFonts w:eastAsia="Times New Roman"/>
                <w:noProof/>
                <w:color w:val="006100"/>
                <w:sz w:val="18"/>
                <w:szCs w:val="18"/>
                <w:lang w:val="en-IE"/>
              </w:rPr>
              <w:t xml:space="preserve">. </w:t>
            </w:r>
            <w:r w:rsidRPr="00FE48E2">
              <w:rPr>
                <w:rFonts w:eastAsia="Times New Roman"/>
                <w:noProof/>
                <w:color w:val="006100"/>
                <w:sz w:val="18"/>
                <w:szCs w:val="18"/>
                <w:lang w:val="en-IE"/>
              </w:rPr>
              <w:t>To show compliance with the capacity requirements mentioned above, a technical report prepared by an independent engineer shall be provided.</w:t>
            </w:r>
          </w:p>
          <w:p w:rsidRPr="00FE48E2" w:rsidR="00D87E44" w:rsidP="00E3458A" w:rsidRDefault="00D87E44" w14:paraId="1545898F" w14:textId="77777777">
            <w:pPr>
              <w:spacing w:after="0" w:line="240" w:lineRule="auto"/>
              <w:rPr>
                <w:rFonts w:eastAsia="Times New Roman"/>
                <w:noProof/>
                <w:color w:val="004300"/>
                <w:sz w:val="18"/>
                <w:szCs w:val="18"/>
                <w:lang w:val="en-IE"/>
              </w:rPr>
            </w:pPr>
          </w:p>
        </w:tc>
      </w:tr>
      <w:tr w:rsidRPr="00FE48E2" w:rsidR="00E3458A" w14:paraId="1545899C" w14:textId="77777777">
        <w:trPr>
          <w:trHeight w:val="309"/>
          <w:jc w:val="center"/>
        </w:trPr>
        <w:tc>
          <w:tcPr>
            <w:tcW w:w="704" w:type="dxa"/>
            <w:shd w:val="clear" w:color="auto" w:fill="C6EFCE"/>
          </w:tcPr>
          <w:p w:rsidRPr="00FE48E2" w:rsidR="00D87E44" w:rsidRDefault="00D87E44" w14:paraId="15458991" w14:textId="77777777">
            <w:pPr>
              <w:spacing w:line="240" w:lineRule="auto"/>
              <w:rPr>
                <w:noProof/>
              </w:rPr>
            </w:pPr>
            <w:r w:rsidRPr="004F1648">
              <w:rPr>
                <w:noProof/>
                <w:color w:val="004300"/>
                <w:sz w:val="18"/>
                <w:szCs w:val="18"/>
                <w:lang w:val="en-IE" w:eastAsia="cs-CZ"/>
              </w:rPr>
              <w:t>300</w:t>
            </w:r>
          </w:p>
        </w:tc>
        <w:tc>
          <w:tcPr>
            <w:tcW w:w="1790" w:type="dxa"/>
            <w:shd w:val="clear" w:color="auto" w:fill="C6EFCE"/>
          </w:tcPr>
          <w:p w:rsidRPr="00FE48E2" w:rsidR="00D87E44" w:rsidRDefault="00D87E44" w14:paraId="15458992"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Investment </w:t>
            </w:r>
            <w:r w:rsidRPr="6AA779E0">
              <w:rPr>
                <w:rFonts w:eastAsia="Times New Roman"/>
                <w:noProof/>
                <w:color w:val="006100"/>
                <w:sz w:val="18"/>
                <w:szCs w:val="18"/>
                <w:lang w:val="en-IE"/>
              </w:rPr>
              <w:t>2</w:t>
            </w:r>
            <w:r w:rsidRPr="00FE48E2">
              <w:rPr>
                <w:rFonts w:eastAsia="Times New Roman"/>
                <w:noProof/>
                <w:color w:val="006100"/>
                <w:sz w:val="18"/>
                <w:szCs w:val="18"/>
                <w:lang w:val="en-IE"/>
              </w:rPr>
              <w:t xml:space="preserve">: Scaled up </w:t>
            </w:r>
            <w:r w:rsidRPr="00FE48E2">
              <w:rPr>
                <w:rFonts w:eastAsia="Times New Roman"/>
                <w:noProof/>
                <w:color w:val="006100"/>
                <w:sz w:val="18"/>
                <w:szCs w:val="18"/>
                <w:lang w:val="en-IE"/>
              </w:rPr>
              <w:t>measure: Development of new photovoltaic energy sources</w:t>
            </w:r>
          </w:p>
        </w:tc>
        <w:tc>
          <w:tcPr>
            <w:tcW w:w="1094" w:type="dxa"/>
            <w:shd w:val="clear" w:color="auto" w:fill="C6EFCE"/>
          </w:tcPr>
          <w:p w:rsidRPr="00FE48E2" w:rsidR="00D87E44" w:rsidRDefault="00D87E44" w14:paraId="15458993"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Target</w:t>
            </w:r>
          </w:p>
        </w:tc>
        <w:tc>
          <w:tcPr>
            <w:tcW w:w="1489" w:type="dxa"/>
            <w:shd w:val="clear" w:color="auto" w:fill="C6EFCE"/>
          </w:tcPr>
          <w:p w:rsidRPr="00FE48E2" w:rsidR="00D87E44" w:rsidRDefault="00D87E44" w14:paraId="15458994"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installed capacity of FVE sources</w:t>
            </w:r>
          </w:p>
        </w:tc>
        <w:tc>
          <w:tcPr>
            <w:tcW w:w="1732" w:type="dxa"/>
            <w:shd w:val="clear" w:color="auto" w:fill="C6EFCE"/>
          </w:tcPr>
          <w:p w:rsidRPr="00FE48E2" w:rsidR="00D87E44" w:rsidRDefault="00D87E44" w14:paraId="15458995"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996"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MW</w:t>
            </w:r>
            <w:r>
              <w:rPr>
                <w:rFonts w:eastAsia="Times New Roman"/>
                <w:noProof/>
                <w:color w:val="006100"/>
                <w:sz w:val="18"/>
                <w:szCs w:val="18"/>
                <w:lang w:val="en-IE"/>
              </w:rPr>
              <w:t>p</w:t>
            </w:r>
          </w:p>
        </w:tc>
        <w:tc>
          <w:tcPr>
            <w:tcW w:w="955" w:type="dxa"/>
            <w:shd w:val="clear" w:color="auto" w:fill="C6EFCE"/>
          </w:tcPr>
          <w:p w:rsidRPr="00FE48E2" w:rsidR="00D87E44" w:rsidRDefault="00D87E44" w14:paraId="15458997"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270</w:t>
            </w:r>
          </w:p>
        </w:tc>
        <w:tc>
          <w:tcPr>
            <w:tcW w:w="1004" w:type="dxa"/>
            <w:shd w:val="clear" w:color="auto" w:fill="C6EFCE"/>
          </w:tcPr>
          <w:p w:rsidRPr="00FE48E2" w:rsidR="00D87E44" w:rsidRDefault="00D87E44" w14:paraId="15458998" w14:textId="77777777">
            <w:pPr>
              <w:spacing w:before="0" w:after="0" w:line="240" w:lineRule="auto"/>
              <w:rPr>
                <w:rFonts w:eastAsia="Times New Roman"/>
                <w:noProof/>
                <w:color w:val="004300"/>
                <w:sz w:val="18"/>
                <w:szCs w:val="18"/>
                <w:lang w:val="en-IE"/>
              </w:rPr>
            </w:pPr>
            <w:r>
              <w:rPr>
                <w:rFonts w:eastAsia="Times New Roman"/>
                <w:noProof/>
                <w:color w:val="006100"/>
                <w:sz w:val="18"/>
                <w:szCs w:val="18"/>
                <w:lang w:val="en-IE"/>
              </w:rPr>
              <w:t>494,7</w:t>
            </w:r>
          </w:p>
        </w:tc>
        <w:tc>
          <w:tcPr>
            <w:tcW w:w="986" w:type="dxa"/>
            <w:shd w:val="clear" w:color="auto" w:fill="C6EFCE"/>
          </w:tcPr>
          <w:p w:rsidRPr="00FE48E2" w:rsidR="00D87E44" w:rsidRDefault="00D87E44" w14:paraId="15458999" w14:textId="77777777">
            <w:pPr>
              <w:spacing w:before="0" w:after="0" w:line="240" w:lineRule="auto"/>
              <w:rPr>
                <w:rFonts w:eastAsia="Times New Roman"/>
                <w:noProof/>
                <w:color w:val="004300"/>
                <w:sz w:val="18"/>
                <w:szCs w:val="18"/>
                <w:lang w:val="en-IE"/>
              </w:rPr>
            </w:pPr>
            <w:r w:rsidRPr="384337FE">
              <w:rPr>
                <w:rFonts w:eastAsia="Times New Roman"/>
                <w:noProof/>
                <w:color w:val="006100"/>
                <w:sz w:val="18"/>
                <w:szCs w:val="18"/>
                <w:lang w:val="en-IE"/>
              </w:rPr>
              <w:t>Q4</w:t>
            </w:r>
          </w:p>
        </w:tc>
        <w:tc>
          <w:tcPr>
            <w:tcW w:w="640" w:type="dxa"/>
            <w:shd w:val="clear" w:color="auto" w:fill="C6EFCE"/>
          </w:tcPr>
          <w:p w:rsidRPr="00FE48E2" w:rsidR="00D87E44" w:rsidRDefault="00D87E44" w14:paraId="1545899A" w14:textId="77777777">
            <w:pPr>
              <w:spacing w:before="0" w:after="0" w:line="240" w:lineRule="auto"/>
              <w:rPr>
                <w:rFonts w:eastAsia="Times New Roman"/>
                <w:noProof/>
                <w:color w:val="004300"/>
                <w:sz w:val="18"/>
                <w:szCs w:val="18"/>
                <w:lang w:val="en-IE"/>
              </w:rPr>
            </w:pPr>
            <w:r w:rsidRPr="384337FE">
              <w:rPr>
                <w:rFonts w:eastAsia="Times New Roman"/>
                <w:noProof/>
                <w:color w:val="006100"/>
                <w:sz w:val="18"/>
                <w:szCs w:val="18"/>
                <w:lang w:val="en-IE"/>
              </w:rPr>
              <w:t>2025</w:t>
            </w:r>
          </w:p>
        </w:tc>
        <w:tc>
          <w:tcPr>
            <w:tcW w:w="3961" w:type="dxa"/>
            <w:shd w:val="clear" w:color="auto" w:fill="C6EFCE"/>
          </w:tcPr>
          <w:p w:rsidRPr="00FE48E2" w:rsidR="00D87E44" w:rsidRDefault="00D87E44" w14:paraId="1545899B" w14:textId="77777777">
            <w:pPr>
              <w:spacing w:before="0" w:after="0" w:line="240" w:lineRule="auto"/>
              <w:rPr>
                <w:rFonts w:eastAsia="Times New Roman"/>
                <w:noProof/>
                <w:color w:val="004300"/>
                <w:sz w:val="18"/>
                <w:szCs w:val="18"/>
                <w:lang w:val="en-IE"/>
              </w:rPr>
            </w:pPr>
            <w:r>
              <w:rPr>
                <w:rFonts w:eastAsia="Times New Roman"/>
                <w:noProof/>
                <w:color w:val="006100"/>
                <w:sz w:val="18"/>
                <w:szCs w:val="18"/>
                <w:lang w:val="en-IE"/>
              </w:rPr>
              <w:t xml:space="preserve">224,7MWp of installed FVE </w:t>
            </w:r>
            <w:r w:rsidRPr="00FE48E2">
              <w:rPr>
                <w:rFonts w:eastAsia="Times New Roman"/>
                <w:noProof/>
                <w:color w:val="006100"/>
                <w:sz w:val="18"/>
                <w:szCs w:val="18"/>
                <w:lang w:val="en-IE"/>
              </w:rPr>
              <w:t>capacity.</w:t>
            </w:r>
          </w:p>
        </w:tc>
      </w:tr>
      <w:tr w:rsidRPr="00FE48E2" w:rsidR="00E3458A" w14:paraId="154589AC" w14:textId="77777777">
        <w:trPr>
          <w:trHeight w:val="309"/>
          <w:jc w:val="center"/>
        </w:trPr>
        <w:tc>
          <w:tcPr>
            <w:tcW w:w="704" w:type="dxa"/>
            <w:shd w:val="clear" w:color="auto" w:fill="C6EFCE"/>
          </w:tcPr>
          <w:p w:rsidRPr="004F1648" w:rsidR="00D87E44" w:rsidRDefault="00D87E44" w14:paraId="1545899D" w14:textId="77777777">
            <w:pPr>
              <w:spacing w:after="0" w:line="259" w:lineRule="auto"/>
              <w:contextualSpacing/>
              <w:rPr>
                <w:noProof/>
                <w:color w:val="004300"/>
                <w:sz w:val="18"/>
                <w:szCs w:val="18"/>
                <w:lang w:val="en-IE" w:eastAsia="cs-CZ"/>
              </w:rPr>
            </w:pPr>
            <w:r w:rsidRPr="00CF0930">
              <w:rPr>
                <w:noProof/>
                <w:color w:val="004300"/>
                <w:sz w:val="18"/>
                <w:szCs w:val="18"/>
                <w:lang w:val="en-IE" w:eastAsia="cs-CZ"/>
              </w:rPr>
              <w:t>301</w:t>
            </w:r>
          </w:p>
        </w:tc>
        <w:tc>
          <w:tcPr>
            <w:tcW w:w="1790" w:type="dxa"/>
            <w:shd w:val="clear" w:color="auto" w:fill="C6EFCE"/>
          </w:tcPr>
          <w:p w:rsidRPr="00BD790C" w:rsidR="00D87E44" w:rsidRDefault="00D87E44" w14:paraId="1545899E"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Reform 1: Simplifying permitting procedures for renewables</w:t>
            </w:r>
          </w:p>
        </w:tc>
        <w:tc>
          <w:tcPr>
            <w:tcW w:w="1094" w:type="dxa"/>
            <w:shd w:val="clear" w:color="auto" w:fill="C6EFCE"/>
          </w:tcPr>
          <w:p w:rsidRPr="00BD790C" w:rsidR="00D87E44" w:rsidRDefault="00D87E44" w14:paraId="1545899F"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Milestone</w:t>
            </w:r>
          </w:p>
        </w:tc>
        <w:tc>
          <w:tcPr>
            <w:tcW w:w="1489" w:type="dxa"/>
            <w:shd w:val="clear" w:color="auto" w:fill="C6EFCE"/>
          </w:tcPr>
          <w:p w:rsidRPr="00BD790C" w:rsidR="00D87E44" w:rsidRDefault="00D87E44" w14:paraId="154589A0"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Entry into force of </w:t>
            </w:r>
            <w:r w:rsidRPr="00BD790C">
              <w:rPr>
                <w:rFonts w:eastAsia="Times New Roman"/>
                <w:noProof/>
                <w:color w:val="006100"/>
                <w:sz w:val="18"/>
                <w:szCs w:val="18"/>
                <w:lang w:val="en-IE"/>
              </w:rPr>
              <w:t>the amended legislation</w:t>
            </w:r>
          </w:p>
          <w:p w:rsidRPr="00BD790C" w:rsidR="00D87E44" w:rsidRDefault="00D87E44" w14:paraId="154589A1" w14:textId="77777777">
            <w:pPr>
              <w:spacing w:before="0" w:after="0" w:line="240" w:lineRule="auto"/>
              <w:rPr>
                <w:rFonts w:eastAsia="Times New Roman"/>
                <w:noProof/>
                <w:color w:val="006100"/>
                <w:sz w:val="18"/>
                <w:szCs w:val="18"/>
                <w:lang w:val="en-IE"/>
              </w:rPr>
            </w:pPr>
          </w:p>
        </w:tc>
        <w:tc>
          <w:tcPr>
            <w:tcW w:w="1732" w:type="dxa"/>
            <w:shd w:val="clear" w:color="auto" w:fill="C6EFCE"/>
          </w:tcPr>
          <w:p w:rsidRPr="00BD790C" w:rsidR="00D87E44" w:rsidRDefault="00D87E44" w14:paraId="154589A2"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Provision in the law indicating the entry into force</w:t>
            </w:r>
          </w:p>
          <w:p w:rsidRPr="00BD790C" w:rsidR="00D87E44" w:rsidRDefault="00D87E44" w14:paraId="154589A3"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BD790C" w:rsidR="00D87E44" w:rsidRDefault="00D87E44" w14:paraId="154589A4"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 </w:t>
            </w:r>
          </w:p>
        </w:tc>
        <w:tc>
          <w:tcPr>
            <w:tcW w:w="955" w:type="dxa"/>
            <w:shd w:val="clear" w:color="auto" w:fill="C6EFCE"/>
          </w:tcPr>
          <w:p w:rsidRPr="00BD790C" w:rsidR="00D87E44" w:rsidRDefault="00D87E44" w14:paraId="154589A5"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 </w:t>
            </w:r>
          </w:p>
        </w:tc>
        <w:tc>
          <w:tcPr>
            <w:tcW w:w="1004" w:type="dxa"/>
            <w:shd w:val="clear" w:color="auto" w:fill="C6EFCE"/>
          </w:tcPr>
          <w:p w:rsidRPr="00BD790C" w:rsidR="00D87E44" w:rsidRDefault="00D87E44" w14:paraId="154589A6"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 xml:space="preserve"> </w:t>
            </w:r>
          </w:p>
        </w:tc>
        <w:tc>
          <w:tcPr>
            <w:tcW w:w="986" w:type="dxa"/>
            <w:shd w:val="clear" w:color="auto" w:fill="C6EFCE"/>
          </w:tcPr>
          <w:p w:rsidRPr="00BD790C" w:rsidR="00D87E44" w:rsidRDefault="00D87E44" w14:paraId="154589A7"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Q3</w:t>
            </w:r>
          </w:p>
        </w:tc>
        <w:tc>
          <w:tcPr>
            <w:tcW w:w="640" w:type="dxa"/>
            <w:shd w:val="clear" w:color="auto" w:fill="C6EFCE"/>
          </w:tcPr>
          <w:p w:rsidRPr="00BD790C" w:rsidR="00D87E44" w:rsidRDefault="00D87E44" w14:paraId="154589A8"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2023</w:t>
            </w:r>
          </w:p>
        </w:tc>
        <w:tc>
          <w:tcPr>
            <w:tcW w:w="3961" w:type="dxa"/>
            <w:shd w:val="clear" w:color="auto" w:fill="C6EFCE"/>
          </w:tcPr>
          <w:p w:rsidRPr="00FE48E2" w:rsidR="00D87E44" w:rsidRDefault="00D87E44" w14:paraId="154589A9" w14:textId="77777777">
            <w:pPr>
              <w:spacing w:after="0" w:line="259" w:lineRule="auto"/>
              <w:contextualSpacing/>
              <w:rPr>
                <w:rFonts w:eastAsia="Times New Roman"/>
                <w:noProof/>
                <w:color w:val="006100"/>
                <w:sz w:val="18"/>
                <w:szCs w:val="18"/>
                <w:lang w:val="en-IE"/>
              </w:rPr>
            </w:pPr>
            <w:r w:rsidRPr="00BD790C">
              <w:rPr>
                <w:noProof/>
                <w:color w:val="004300"/>
                <w:sz w:val="18"/>
                <w:szCs w:val="18"/>
                <w:lang w:val="en-IE" w:eastAsia="cs-CZ"/>
              </w:rPr>
              <w:t>The</w:t>
            </w:r>
            <w:r w:rsidRPr="00FE48E2">
              <w:rPr>
                <w:rFonts w:eastAsia="Times New Roman"/>
                <w:noProof/>
                <w:color w:val="006100"/>
                <w:sz w:val="18"/>
                <w:szCs w:val="18"/>
                <w:lang w:val="en-IE"/>
              </w:rPr>
              <w:t xml:space="preserve"> legislation shall be amended to :</w:t>
            </w:r>
          </w:p>
          <w:p w:rsidRPr="00E3458A" w:rsidR="00D87E44" w:rsidP="00FF1320" w:rsidRDefault="00D87E44" w14:paraId="154589AA" w14:textId="77777777">
            <w:pPr>
              <w:pStyle w:val="ListParagraph"/>
              <w:numPr>
                <w:ilvl w:val="0"/>
                <w:numId w:val="85"/>
              </w:numPr>
              <w:spacing w:before="0" w:after="160" w:line="240" w:lineRule="auto"/>
              <w:rPr>
                <w:color w:val="006100"/>
                <w:sz w:val="18"/>
                <w:lang w:val="en-IE"/>
              </w:rPr>
            </w:pPr>
            <w:r w:rsidRPr="00E3458A">
              <w:rPr>
                <w:color w:val="006100"/>
                <w:sz w:val="18"/>
                <w:lang w:val="en-IE"/>
              </w:rPr>
              <w:t>remove the requirement to obtain a construction permit, a license to produce electricity, and a zoning consent / zoning permit for renewable power installations with a total installed capacity of up to 50</w:t>
            </w:r>
            <w:r>
              <w:rPr>
                <w:rFonts w:eastAsia="Times New Roman"/>
                <w:noProof/>
                <w:color w:val="006100"/>
                <w:sz w:val="18"/>
                <w:szCs w:val="18"/>
                <w:lang w:val="en-IE"/>
              </w:rPr>
              <w:t> </w:t>
            </w:r>
            <w:r w:rsidRPr="00E3458A">
              <w:rPr>
                <w:color w:val="006100"/>
                <w:sz w:val="18"/>
                <w:lang w:val="en-IE"/>
              </w:rPr>
              <w:t>Kw as well as remove the grid connection authorization for the installations up to 10 kW.</w:t>
            </w:r>
          </w:p>
          <w:p w:rsidRPr="00E3458A" w:rsidR="00D87E44" w:rsidP="00FF1320" w:rsidRDefault="00D87E44" w14:paraId="154589AB" w14:textId="77777777">
            <w:pPr>
              <w:pStyle w:val="ListParagraph"/>
              <w:numPr>
                <w:ilvl w:val="0"/>
                <w:numId w:val="85"/>
              </w:numPr>
              <w:spacing w:before="0" w:after="160" w:line="240" w:lineRule="auto"/>
              <w:rPr>
                <w:color w:val="006100"/>
                <w:sz w:val="18"/>
                <w:lang w:val="en-IE"/>
              </w:rPr>
            </w:pPr>
            <w:r w:rsidRPr="00E3458A">
              <w:rPr>
                <w:color w:val="006100"/>
                <w:sz w:val="18"/>
                <w:lang w:val="en-IE"/>
              </w:rPr>
              <w:t>Accelerate and simplify the permitting procedure (building permit, zoning permit) and grid connection for installations above at least 1MW</w:t>
            </w:r>
          </w:p>
        </w:tc>
      </w:tr>
      <w:tr w:rsidRPr="00FE48E2" w:rsidR="00E3458A" w14:paraId="154589BB" w14:textId="77777777">
        <w:trPr>
          <w:trHeight w:val="3390"/>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4F1648" w:rsidR="00D87E44" w:rsidRDefault="00D87E44" w14:paraId="154589AD" w14:textId="77777777">
            <w:pPr>
              <w:spacing w:after="0" w:line="259" w:lineRule="auto"/>
              <w:contextualSpacing/>
              <w:rPr>
                <w:noProof/>
                <w:color w:val="004300"/>
                <w:sz w:val="18"/>
                <w:szCs w:val="18"/>
                <w:lang w:val="en-IE" w:eastAsia="cs-CZ"/>
              </w:rPr>
            </w:pPr>
            <w:r w:rsidRPr="00CF0930">
              <w:rPr>
                <w:noProof/>
                <w:color w:val="004300"/>
                <w:sz w:val="18"/>
                <w:szCs w:val="18"/>
                <w:lang w:val="en-IE" w:eastAsia="cs-CZ"/>
              </w:rPr>
              <w:lastRenderedPageBreak/>
              <w:t>302</w:t>
            </w:r>
          </w:p>
        </w:tc>
        <w:tc>
          <w:tcPr>
            <w:tcW w:w="1790"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AE" w14:textId="77777777">
            <w:pPr>
              <w:spacing w:before="0" w:after="0" w:line="259" w:lineRule="auto"/>
              <w:contextualSpacing/>
              <w:rPr>
                <w:noProof/>
                <w:color w:val="004300"/>
                <w:sz w:val="18"/>
                <w:szCs w:val="18"/>
                <w:lang w:val="en-IE" w:eastAsia="cs-CZ"/>
              </w:rPr>
            </w:pPr>
            <w:r w:rsidRPr="00BD790C">
              <w:rPr>
                <w:noProof/>
                <w:color w:val="004300"/>
                <w:sz w:val="18"/>
                <w:szCs w:val="18"/>
                <w:lang w:val="en-IE" w:eastAsia="cs-CZ"/>
              </w:rPr>
              <w:t xml:space="preserve">Reform 2: Accelerating </w:t>
            </w:r>
            <w:r>
              <w:rPr>
                <w:noProof/>
                <w:color w:val="004300"/>
                <w:sz w:val="18"/>
                <w:szCs w:val="18"/>
                <w:lang w:val="en-IE" w:eastAsia="cs-CZ"/>
              </w:rPr>
              <w:t>deployment of</w:t>
            </w:r>
            <w:r w:rsidRPr="00BD790C">
              <w:rPr>
                <w:noProof/>
                <w:color w:val="004300"/>
                <w:sz w:val="18"/>
                <w:szCs w:val="18"/>
                <w:lang w:val="en-IE" w:eastAsia="cs-CZ"/>
              </w:rPr>
              <w:t xml:space="preserve"> renewables</w:t>
            </w:r>
          </w:p>
        </w:tc>
        <w:tc>
          <w:tcPr>
            <w:tcW w:w="1094"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AF" w14:textId="77777777">
            <w:pPr>
              <w:spacing w:before="0" w:after="0" w:line="259" w:lineRule="auto"/>
              <w:contextualSpacing/>
              <w:rPr>
                <w:noProof/>
                <w:color w:val="004300"/>
                <w:sz w:val="18"/>
                <w:szCs w:val="18"/>
                <w:lang w:val="en-IE" w:eastAsia="cs-CZ"/>
              </w:rPr>
            </w:pPr>
            <w:r w:rsidRPr="00BD790C">
              <w:rPr>
                <w:noProof/>
                <w:color w:val="004300"/>
                <w:sz w:val="18"/>
                <w:szCs w:val="18"/>
                <w:lang w:val="en-IE" w:eastAsia="cs-CZ"/>
              </w:rPr>
              <w:t>Milestone</w:t>
            </w:r>
          </w:p>
        </w:tc>
        <w:tc>
          <w:tcPr>
            <w:tcW w:w="1489"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0" w14:textId="77777777">
            <w:pPr>
              <w:spacing w:after="0" w:line="259" w:lineRule="auto"/>
              <w:contextualSpacing/>
              <w:rPr>
                <w:noProof/>
                <w:color w:val="004300"/>
                <w:sz w:val="18"/>
                <w:szCs w:val="18"/>
                <w:lang w:val="en-IE" w:eastAsia="cs-CZ"/>
              </w:rPr>
            </w:pPr>
            <w:r w:rsidRPr="00BD790C">
              <w:rPr>
                <w:noProof/>
                <w:color w:val="004300"/>
                <w:sz w:val="18"/>
                <w:szCs w:val="18"/>
                <w:lang w:val="en-IE" w:eastAsia="cs-CZ"/>
              </w:rPr>
              <w:t>Entry into force of the amended legislations</w:t>
            </w:r>
          </w:p>
          <w:p w:rsidRPr="00BD790C" w:rsidR="00D87E44" w:rsidRDefault="00D87E44" w14:paraId="154589B1" w14:textId="77777777">
            <w:pPr>
              <w:spacing w:after="0" w:line="259" w:lineRule="auto"/>
              <w:contextualSpacing/>
              <w:rPr>
                <w:noProof/>
                <w:color w:val="004300"/>
                <w:sz w:val="18"/>
                <w:szCs w:val="18"/>
                <w:lang w:val="en-IE" w:eastAsia="cs-CZ"/>
              </w:rPr>
            </w:pPr>
          </w:p>
        </w:tc>
        <w:tc>
          <w:tcPr>
            <w:tcW w:w="1732"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2" w14:textId="77777777">
            <w:pPr>
              <w:spacing w:after="0" w:line="259" w:lineRule="auto"/>
              <w:contextualSpacing/>
              <w:rPr>
                <w:noProof/>
                <w:color w:val="004300"/>
                <w:sz w:val="18"/>
                <w:szCs w:val="18"/>
                <w:lang w:val="en-IE" w:eastAsia="cs-CZ"/>
              </w:rPr>
            </w:pPr>
            <w:r w:rsidRPr="00BD790C">
              <w:rPr>
                <w:noProof/>
                <w:color w:val="004300"/>
                <w:sz w:val="18"/>
                <w:szCs w:val="18"/>
                <w:lang w:val="en-IE" w:eastAsia="cs-CZ"/>
              </w:rPr>
              <w:t>Provision in the law indicating the entry into force</w:t>
            </w:r>
          </w:p>
          <w:p w:rsidRPr="00BD790C" w:rsidR="00D87E44" w:rsidRDefault="00D87E44" w14:paraId="154589B3" w14:textId="77777777">
            <w:pPr>
              <w:spacing w:after="0" w:line="259" w:lineRule="auto"/>
              <w:contextualSpacing/>
              <w:rPr>
                <w:noProof/>
                <w:color w:val="004300"/>
                <w:sz w:val="18"/>
                <w:szCs w:val="18"/>
                <w:lang w:val="en-IE" w:eastAsia="cs-CZ"/>
              </w:rPr>
            </w:pPr>
          </w:p>
        </w:tc>
        <w:tc>
          <w:tcPr>
            <w:tcW w:w="955"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4" w14:textId="77777777">
            <w:pPr>
              <w:spacing w:before="0" w:after="0" w:line="259" w:lineRule="auto"/>
              <w:contextualSpacing/>
              <w:rPr>
                <w:noProof/>
                <w:color w:val="004300"/>
                <w:sz w:val="18"/>
                <w:szCs w:val="18"/>
                <w:lang w:val="en-IE" w:eastAsia="cs-CZ"/>
              </w:rPr>
            </w:pPr>
          </w:p>
        </w:tc>
        <w:tc>
          <w:tcPr>
            <w:tcW w:w="955"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5" w14:textId="77777777">
            <w:pPr>
              <w:spacing w:before="0" w:after="0" w:line="259" w:lineRule="auto"/>
              <w:contextualSpacing/>
              <w:rPr>
                <w:noProof/>
                <w:color w:val="004300"/>
                <w:sz w:val="18"/>
                <w:szCs w:val="18"/>
                <w:lang w:val="en-IE" w:eastAsia="cs-CZ"/>
              </w:rPr>
            </w:pPr>
          </w:p>
        </w:tc>
        <w:tc>
          <w:tcPr>
            <w:tcW w:w="1004"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6" w14:textId="77777777">
            <w:pPr>
              <w:spacing w:before="0" w:after="0" w:line="259" w:lineRule="auto"/>
              <w:contextualSpacing/>
              <w:rPr>
                <w:noProof/>
                <w:color w:val="004300"/>
                <w:sz w:val="18"/>
                <w:szCs w:val="18"/>
                <w:lang w:val="en-IE" w:eastAsia="cs-CZ"/>
              </w:rPr>
            </w:pPr>
          </w:p>
        </w:tc>
        <w:tc>
          <w:tcPr>
            <w:tcW w:w="986"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7" w14:textId="77777777">
            <w:pPr>
              <w:spacing w:before="0" w:after="0" w:line="259" w:lineRule="auto"/>
              <w:contextualSpacing/>
              <w:rPr>
                <w:noProof/>
                <w:color w:val="004300"/>
                <w:sz w:val="18"/>
                <w:szCs w:val="18"/>
                <w:lang w:val="en-IE" w:eastAsia="cs-CZ"/>
              </w:rPr>
            </w:pPr>
            <w:r w:rsidRPr="00BD790C">
              <w:rPr>
                <w:noProof/>
                <w:color w:val="004300"/>
                <w:sz w:val="18"/>
                <w:szCs w:val="18"/>
                <w:lang w:val="en-IE" w:eastAsia="cs-CZ"/>
              </w:rPr>
              <w:t>Q3</w:t>
            </w:r>
          </w:p>
        </w:tc>
        <w:tc>
          <w:tcPr>
            <w:tcW w:w="640" w:type="dxa"/>
            <w:tcBorders>
              <w:top w:val="single" w:color="auto" w:sz="4" w:space="0"/>
              <w:left w:val="single" w:color="auto" w:sz="4" w:space="0"/>
              <w:bottom w:val="single" w:color="auto" w:sz="4" w:space="0"/>
              <w:right w:val="single" w:color="auto" w:sz="4" w:space="0"/>
            </w:tcBorders>
            <w:shd w:val="clear" w:color="auto" w:fill="C6EFCE"/>
          </w:tcPr>
          <w:p w:rsidRPr="00BD790C" w:rsidR="00D87E44" w:rsidRDefault="00D87E44" w14:paraId="154589B8" w14:textId="77777777">
            <w:pPr>
              <w:spacing w:before="0" w:after="0" w:line="259" w:lineRule="auto"/>
              <w:contextualSpacing/>
              <w:rPr>
                <w:noProof/>
                <w:color w:val="004300"/>
                <w:sz w:val="18"/>
                <w:szCs w:val="18"/>
                <w:lang w:val="en-IE" w:eastAsia="cs-CZ"/>
              </w:rPr>
            </w:pPr>
            <w:r w:rsidRPr="00BD790C">
              <w:rPr>
                <w:noProof/>
                <w:color w:val="004300"/>
                <w:sz w:val="18"/>
                <w:szCs w:val="18"/>
                <w:lang w:val="en-IE" w:eastAsia="cs-CZ"/>
              </w:rPr>
              <w:t>2024</w:t>
            </w:r>
          </w:p>
        </w:tc>
        <w:tc>
          <w:tcPr>
            <w:tcW w:w="396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9B9" w14:textId="77777777">
            <w:pPr>
              <w:spacing w:after="0" w:line="259" w:lineRule="auto"/>
              <w:contextualSpacing/>
              <w:rPr>
                <w:rFonts w:eastAsia="Times New Roman"/>
                <w:noProof/>
                <w:color w:val="006100"/>
                <w:sz w:val="18"/>
                <w:szCs w:val="18"/>
                <w:lang w:val="en-IE"/>
              </w:rPr>
            </w:pPr>
            <w:r w:rsidRPr="00DF5960">
              <w:rPr>
                <w:rFonts w:eastAsia="Times New Roman"/>
                <w:noProof/>
                <w:color w:val="006100"/>
                <w:sz w:val="18"/>
                <w:szCs w:val="18"/>
                <w:lang w:val="en-IE"/>
              </w:rPr>
              <w:t xml:space="preserve">The legislation shall be </w:t>
            </w:r>
            <w:r w:rsidRPr="00DF5960">
              <w:rPr>
                <w:rFonts w:eastAsia="Times New Roman"/>
                <w:noProof/>
                <w:color w:val="006100"/>
                <w:sz w:val="18"/>
                <w:szCs w:val="18"/>
                <w:lang w:val="en-IE"/>
              </w:rPr>
              <w:t>amended to:</w:t>
            </w:r>
          </w:p>
          <w:p w:rsidRPr="00E3458A" w:rsidR="00D87E44" w:rsidRDefault="00D87E44" w14:paraId="154589BA" w14:textId="77777777">
            <w:pPr>
              <w:pStyle w:val="ListParagraph"/>
              <w:spacing w:before="0" w:line="240" w:lineRule="auto"/>
              <w:rPr>
                <w:color w:val="006100"/>
                <w:sz w:val="18"/>
                <w:lang w:val="en-IE"/>
              </w:rPr>
            </w:pPr>
            <w:r w:rsidRPr="00E3458A">
              <w:rPr>
                <w:color w:val="006100"/>
                <w:sz w:val="18"/>
                <w:lang w:val="en-IE"/>
              </w:rPr>
              <w:t xml:space="preserve">Set differentiated, binding maximum deadlines for all relevant stages of the procedure based on the capacity. The duration of the entire permit granting process (including grid connection) shall not exceed 2 years for renewable installations from 150 kW and one year for renewable installations below 150 kW. For solar installations in artificial structures with a capacity equal or below 100 kW, the permit granting process shall not exceed 1 month.  </w:t>
            </w:r>
          </w:p>
        </w:tc>
      </w:tr>
      <w:tr w:rsidRPr="00FE48E2" w:rsidR="00E3458A" w14:paraId="154589CA" w14:textId="77777777">
        <w:trPr>
          <w:trHeight w:val="309"/>
          <w:jc w:val="center"/>
        </w:trPr>
        <w:tc>
          <w:tcPr>
            <w:tcW w:w="704" w:type="dxa"/>
            <w:shd w:val="clear" w:color="auto" w:fill="C6EFCE"/>
          </w:tcPr>
          <w:p w:rsidRPr="00BD790C" w:rsidR="00D87E44" w:rsidRDefault="00D87E44" w14:paraId="154589BC" w14:textId="77777777">
            <w:pPr>
              <w:spacing w:before="0" w:after="0" w:line="240" w:lineRule="auto"/>
              <w:rPr>
                <w:rFonts w:eastAsia="Times New Roman"/>
                <w:noProof/>
                <w:color w:val="006100"/>
                <w:sz w:val="18"/>
                <w:szCs w:val="18"/>
                <w:lang w:val="en-IE"/>
              </w:rPr>
            </w:pPr>
            <w:r w:rsidRPr="00CF0930">
              <w:rPr>
                <w:rFonts w:eastAsia="Times New Roman"/>
                <w:noProof/>
                <w:color w:val="006100"/>
                <w:sz w:val="18"/>
                <w:szCs w:val="18"/>
                <w:lang w:val="en-IE"/>
              </w:rPr>
              <w:t>349</w:t>
            </w:r>
          </w:p>
        </w:tc>
        <w:tc>
          <w:tcPr>
            <w:tcW w:w="1790" w:type="dxa"/>
            <w:shd w:val="clear" w:color="auto" w:fill="C6EFCE"/>
          </w:tcPr>
          <w:p w:rsidRPr="00FE48E2" w:rsidR="00D87E44" w:rsidRDefault="00D87E44" w14:paraId="154589BD" w14:textId="77777777">
            <w:pPr>
              <w:spacing w:before="0" w:after="0" w:line="240" w:lineRule="auto"/>
              <w:rPr>
                <w:rFonts w:eastAsia="Times New Roman"/>
                <w:noProof/>
                <w:color w:val="006100"/>
                <w:sz w:val="18"/>
                <w:szCs w:val="18"/>
                <w:lang w:val="en-IE"/>
              </w:rPr>
            </w:pPr>
            <w:r w:rsidRPr="00FF1320">
              <w:rPr>
                <w:color w:val="004300"/>
                <w:sz w:val="18"/>
                <w:lang w:val="en-IE"/>
              </w:rPr>
              <w:t xml:space="preserve">Reform 2: Accelerating </w:t>
            </w:r>
            <w:r>
              <w:rPr>
                <w:noProof/>
                <w:color w:val="004300"/>
                <w:sz w:val="18"/>
                <w:szCs w:val="18"/>
                <w:lang w:val="en-IE" w:eastAsia="cs-CZ"/>
              </w:rPr>
              <w:t>deployment of</w:t>
            </w:r>
            <w:r w:rsidRPr="00FF1320">
              <w:rPr>
                <w:color w:val="004300"/>
                <w:sz w:val="18"/>
                <w:lang w:val="en-IE"/>
              </w:rPr>
              <w:t xml:space="preserve"> renewables</w:t>
            </w:r>
          </w:p>
        </w:tc>
        <w:tc>
          <w:tcPr>
            <w:tcW w:w="1094" w:type="dxa"/>
            <w:shd w:val="clear" w:color="auto" w:fill="C6EFCE"/>
          </w:tcPr>
          <w:p w:rsidRPr="00FE48E2" w:rsidR="00D87E44" w:rsidRDefault="00D87E44" w14:paraId="154589BE"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9BF"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Entry into force of amended legislation</w:t>
            </w:r>
          </w:p>
        </w:tc>
        <w:tc>
          <w:tcPr>
            <w:tcW w:w="1732" w:type="dxa"/>
            <w:shd w:val="clear" w:color="auto" w:fill="C6EFCE"/>
          </w:tcPr>
          <w:p w:rsidRPr="00FE48E2" w:rsidR="00D87E44" w:rsidRDefault="00D87E44" w14:paraId="154589C0" w14:textId="77777777">
            <w:pPr>
              <w:spacing w:before="0" w:after="0" w:line="240" w:lineRule="auto"/>
              <w:rPr>
                <w:rFonts w:eastAsia="Times New Roman"/>
                <w:noProof/>
                <w:color w:val="006100"/>
                <w:sz w:val="18"/>
                <w:szCs w:val="18"/>
                <w:lang w:val="en-IE"/>
              </w:rPr>
            </w:pPr>
            <w:r w:rsidRPr="007F5EDF">
              <w:rPr>
                <w:rFonts w:eastAsia="Times New Roman"/>
                <w:noProof/>
                <w:color w:val="006100"/>
                <w:sz w:val="18"/>
                <w:szCs w:val="18"/>
                <w:lang w:val="en-IE"/>
              </w:rPr>
              <w:t>Provision in the law indicating the entry into force</w:t>
            </w:r>
          </w:p>
        </w:tc>
        <w:tc>
          <w:tcPr>
            <w:tcW w:w="955" w:type="dxa"/>
            <w:shd w:val="clear" w:color="auto" w:fill="C6EFCE"/>
          </w:tcPr>
          <w:p w:rsidRPr="00FE48E2" w:rsidR="00D87E44" w:rsidRDefault="00D87E44" w14:paraId="154589C1"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9C2" w14:textId="77777777">
            <w:pPr>
              <w:spacing w:before="0" w:after="0" w:line="240" w:lineRule="auto"/>
              <w:rPr>
                <w:rFonts w:eastAsia="Times New Roman"/>
                <w:noProof/>
                <w:color w:val="006100"/>
                <w:sz w:val="18"/>
                <w:szCs w:val="18"/>
                <w:lang w:val="en-IE"/>
              </w:rPr>
            </w:pPr>
          </w:p>
        </w:tc>
        <w:tc>
          <w:tcPr>
            <w:tcW w:w="1004" w:type="dxa"/>
            <w:shd w:val="clear" w:color="auto" w:fill="C6EFCE"/>
          </w:tcPr>
          <w:p w:rsidRPr="00FE48E2" w:rsidR="00D87E44" w:rsidRDefault="00D87E44" w14:paraId="154589C3" w14:textId="77777777">
            <w:pPr>
              <w:spacing w:before="0" w:after="0" w:line="240" w:lineRule="auto"/>
              <w:rPr>
                <w:rFonts w:eastAsia="Times New Roman"/>
                <w:noProof/>
                <w:color w:val="006100"/>
                <w:sz w:val="18"/>
                <w:szCs w:val="18"/>
                <w:lang w:val="en-IE"/>
              </w:rPr>
            </w:pPr>
          </w:p>
        </w:tc>
        <w:tc>
          <w:tcPr>
            <w:tcW w:w="986" w:type="dxa"/>
            <w:shd w:val="clear" w:color="auto" w:fill="C6EFCE"/>
          </w:tcPr>
          <w:p w:rsidRPr="00FE48E2" w:rsidR="00D87E44" w:rsidRDefault="00D87E44" w14:paraId="154589C4"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Q2</w:t>
            </w:r>
          </w:p>
        </w:tc>
        <w:tc>
          <w:tcPr>
            <w:tcW w:w="640" w:type="dxa"/>
            <w:shd w:val="clear" w:color="auto" w:fill="C6EFCE"/>
          </w:tcPr>
          <w:p w:rsidRPr="00FE48E2" w:rsidR="00D87E44" w:rsidRDefault="00D87E44" w14:paraId="154589C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2025</w:t>
            </w:r>
          </w:p>
        </w:tc>
        <w:tc>
          <w:tcPr>
            <w:tcW w:w="3961" w:type="dxa"/>
            <w:shd w:val="clear" w:color="auto" w:fill="C6EFCE"/>
          </w:tcPr>
          <w:p w:rsidR="00D87E44" w:rsidRDefault="00D87E44" w14:paraId="154589C6"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The legislation shall be amended to:</w:t>
            </w:r>
          </w:p>
          <w:p w:rsidRPr="00F76697" w:rsidR="00D87E44" w:rsidP="00D226F4" w:rsidRDefault="00D87E44" w14:paraId="154589C7" w14:textId="77777777">
            <w:pPr>
              <w:pStyle w:val="ListParagraph"/>
              <w:numPr>
                <w:ilvl w:val="0"/>
                <w:numId w:val="85"/>
              </w:numPr>
              <w:spacing w:before="0" w:after="0" w:line="240" w:lineRule="auto"/>
              <w:rPr>
                <w:rFonts w:eastAsia="Times New Roman"/>
                <w:noProof/>
                <w:color w:val="006100"/>
                <w:sz w:val="18"/>
                <w:szCs w:val="18"/>
                <w:lang w:val="en-IE"/>
              </w:rPr>
            </w:pPr>
            <w:r w:rsidRPr="00F76697">
              <w:rPr>
                <w:rFonts w:eastAsia="Times New Roman"/>
                <w:noProof/>
                <w:color w:val="006100"/>
                <w:sz w:val="18"/>
                <w:szCs w:val="18"/>
                <w:lang w:val="en-IE"/>
              </w:rPr>
              <w:t>Introduce a definition of agrophotovoltai</w:t>
            </w:r>
            <w:r>
              <w:rPr>
                <w:rFonts w:eastAsia="Times New Roman"/>
                <w:noProof/>
                <w:color w:val="006100"/>
                <w:sz w:val="18"/>
                <w:szCs w:val="18"/>
                <w:lang w:val="en-IE"/>
              </w:rPr>
              <w:t>c</w:t>
            </w:r>
            <w:r w:rsidRPr="00F76697">
              <w:rPr>
                <w:rFonts w:eastAsia="Times New Roman"/>
                <w:noProof/>
                <w:color w:val="006100"/>
                <w:sz w:val="18"/>
                <w:szCs w:val="18"/>
                <w:lang w:val="en-IE"/>
              </w:rPr>
              <w:t>s</w:t>
            </w:r>
            <w:r>
              <w:rPr>
                <w:rFonts w:eastAsia="Times New Roman"/>
                <w:noProof/>
                <w:color w:val="006100"/>
                <w:sz w:val="18"/>
                <w:szCs w:val="18"/>
                <w:lang w:val="en-IE"/>
              </w:rPr>
              <w:t>;</w:t>
            </w:r>
          </w:p>
          <w:p w:rsidRPr="00F76697" w:rsidR="00D87E44" w:rsidP="00D226F4" w:rsidRDefault="00D87E44" w14:paraId="154589C8" w14:textId="77777777">
            <w:pPr>
              <w:pStyle w:val="ListParagraph"/>
              <w:numPr>
                <w:ilvl w:val="0"/>
                <w:numId w:val="85"/>
              </w:numPr>
              <w:spacing w:before="0" w:after="0" w:line="240" w:lineRule="auto"/>
              <w:rPr>
                <w:rFonts w:eastAsia="Times New Roman"/>
                <w:noProof/>
                <w:color w:val="006100"/>
                <w:sz w:val="18"/>
                <w:szCs w:val="18"/>
                <w:lang w:val="en-IE"/>
              </w:rPr>
            </w:pPr>
            <w:r w:rsidRPr="00F76697">
              <w:rPr>
                <w:rFonts w:eastAsia="Times New Roman"/>
                <w:noProof/>
                <w:color w:val="006100"/>
                <w:sz w:val="18"/>
                <w:szCs w:val="18"/>
                <w:lang w:val="en-IE"/>
              </w:rPr>
              <w:t xml:space="preserve">Set conditions </w:t>
            </w:r>
            <w:r>
              <w:rPr>
                <w:rFonts w:eastAsia="Times New Roman"/>
                <w:noProof/>
                <w:color w:val="006100"/>
                <w:sz w:val="18"/>
                <w:szCs w:val="18"/>
                <w:lang w:val="en-IE"/>
              </w:rPr>
              <w:t>and technical parameters</w:t>
            </w:r>
            <w:r w:rsidRPr="00F76697">
              <w:rPr>
                <w:rFonts w:eastAsia="Times New Roman"/>
                <w:noProof/>
                <w:color w:val="006100"/>
                <w:sz w:val="18"/>
                <w:szCs w:val="18"/>
                <w:lang w:val="en-IE"/>
              </w:rPr>
              <w:t xml:space="preserve"> for their </w:t>
            </w:r>
            <w:r>
              <w:rPr>
                <w:rFonts w:eastAsia="Times New Roman"/>
                <w:noProof/>
                <w:color w:val="006100"/>
                <w:sz w:val="18"/>
                <w:szCs w:val="18"/>
                <w:lang w:val="en-IE"/>
              </w:rPr>
              <w:t>installation and</w:t>
            </w:r>
            <w:r w:rsidRPr="00F76697">
              <w:rPr>
                <w:rFonts w:eastAsia="Times New Roman"/>
                <w:noProof/>
                <w:color w:val="006100"/>
                <w:sz w:val="18"/>
                <w:szCs w:val="18"/>
                <w:lang w:val="en-IE"/>
              </w:rPr>
              <w:t xml:space="preserve"> ope</w:t>
            </w:r>
            <w:r>
              <w:rPr>
                <w:rFonts w:eastAsia="Times New Roman"/>
                <w:noProof/>
                <w:color w:val="006100"/>
                <w:sz w:val="18"/>
                <w:szCs w:val="18"/>
                <w:lang w:val="en-IE"/>
              </w:rPr>
              <w:t>ration</w:t>
            </w:r>
            <w:r w:rsidRPr="00F76697">
              <w:rPr>
                <w:rFonts w:eastAsia="Times New Roman"/>
                <w:noProof/>
                <w:color w:val="006100"/>
                <w:sz w:val="18"/>
                <w:szCs w:val="18"/>
                <w:lang w:val="en-IE"/>
              </w:rPr>
              <w:t>, including the types of agricultural crops on which agro</w:t>
            </w:r>
            <w:r>
              <w:rPr>
                <w:rFonts w:eastAsia="Times New Roman"/>
                <w:noProof/>
                <w:color w:val="006100"/>
                <w:sz w:val="18"/>
                <w:szCs w:val="18"/>
                <w:lang w:val="en-IE"/>
              </w:rPr>
              <w:t>photo</w:t>
            </w:r>
            <w:r w:rsidRPr="00F76697">
              <w:rPr>
                <w:rFonts w:eastAsia="Times New Roman"/>
                <w:noProof/>
                <w:color w:val="006100"/>
                <w:sz w:val="18"/>
                <w:szCs w:val="18"/>
                <w:lang w:val="en-IE"/>
              </w:rPr>
              <w:t>voltaics can be installed</w:t>
            </w:r>
            <w:r>
              <w:rPr>
                <w:rFonts w:eastAsia="Times New Roman"/>
                <w:noProof/>
                <w:color w:val="006100"/>
                <w:sz w:val="18"/>
                <w:szCs w:val="18"/>
                <w:lang w:val="en-IE"/>
              </w:rPr>
              <w:t>.</w:t>
            </w:r>
          </w:p>
          <w:p w:rsidRPr="007720A1" w:rsidR="00D87E44" w:rsidP="00FF1320" w:rsidRDefault="00D87E44" w14:paraId="154589C9" w14:textId="77777777">
            <w:pPr>
              <w:pStyle w:val="ListParagraph"/>
              <w:numPr>
                <w:ilvl w:val="0"/>
                <w:numId w:val="85"/>
              </w:numPr>
              <w:spacing w:before="0" w:after="0" w:line="240" w:lineRule="auto"/>
              <w:rPr>
                <w:rFonts w:eastAsia="Times New Roman"/>
                <w:noProof/>
                <w:color w:val="006100"/>
                <w:sz w:val="18"/>
                <w:szCs w:val="18"/>
                <w:lang w:val="en-IE"/>
              </w:rPr>
            </w:pPr>
            <w:r w:rsidRPr="00F76697">
              <w:rPr>
                <w:rFonts w:eastAsia="Times New Roman"/>
                <w:noProof/>
                <w:color w:val="006100"/>
                <w:sz w:val="18"/>
                <w:szCs w:val="18"/>
                <w:lang w:val="en-IE"/>
              </w:rPr>
              <w:t xml:space="preserve">Allow the placement of </w:t>
            </w:r>
            <w:r>
              <w:rPr>
                <w:rFonts w:eastAsia="Times New Roman"/>
                <w:noProof/>
                <w:color w:val="006100"/>
                <w:sz w:val="18"/>
                <w:szCs w:val="18"/>
                <w:lang w:val="en-IE"/>
              </w:rPr>
              <w:t>photovoltaic</w:t>
            </w:r>
            <w:r w:rsidRPr="00F76697">
              <w:rPr>
                <w:rFonts w:eastAsia="Times New Roman"/>
                <w:noProof/>
                <w:color w:val="006100"/>
                <w:sz w:val="18"/>
                <w:szCs w:val="18"/>
                <w:lang w:val="en-IE"/>
              </w:rPr>
              <w:t xml:space="preserve"> systems on agricultural land without the need to remove the land from the Agricultural Land Fund, provided that the concurrent agricultural use and type of agriculture are maintained.</w:t>
            </w:r>
          </w:p>
        </w:tc>
      </w:tr>
      <w:tr w:rsidRPr="00FE48E2" w:rsidR="00E3458A" w14:paraId="154589E1" w14:textId="77777777">
        <w:trPr>
          <w:trHeight w:val="309"/>
          <w:jc w:val="center"/>
        </w:trPr>
        <w:tc>
          <w:tcPr>
            <w:tcW w:w="704" w:type="dxa"/>
            <w:shd w:val="clear" w:color="auto" w:fill="C6EFCE"/>
          </w:tcPr>
          <w:p w:rsidRPr="00BD790C" w:rsidR="00D87E44" w:rsidRDefault="00D87E44" w14:paraId="154589CB" w14:textId="77777777">
            <w:pPr>
              <w:spacing w:before="0" w:after="0" w:line="240" w:lineRule="auto"/>
              <w:rPr>
                <w:rFonts w:eastAsia="Times New Roman"/>
                <w:noProof/>
                <w:color w:val="006100"/>
                <w:sz w:val="18"/>
                <w:szCs w:val="18"/>
                <w:lang w:val="en-IE"/>
              </w:rPr>
            </w:pPr>
            <w:r w:rsidRPr="00CF0930">
              <w:rPr>
                <w:rFonts w:eastAsia="Times New Roman"/>
                <w:noProof/>
                <w:color w:val="006100"/>
                <w:sz w:val="18"/>
                <w:szCs w:val="18"/>
                <w:lang w:val="en-IE"/>
              </w:rPr>
              <w:t>304</w:t>
            </w:r>
          </w:p>
        </w:tc>
        <w:tc>
          <w:tcPr>
            <w:tcW w:w="1790" w:type="dxa"/>
            <w:shd w:val="clear" w:color="auto" w:fill="C6EFCE"/>
          </w:tcPr>
          <w:p w:rsidRPr="00FE48E2" w:rsidR="00D87E44" w:rsidRDefault="00D87E44" w14:paraId="154589C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3 – Sub measure 1</w:t>
            </w:r>
          </w:p>
          <w:p w:rsidRPr="00FE48E2" w:rsidR="00D87E44" w:rsidRDefault="00D87E44" w14:paraId="154589C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Improve transparency of the grid connection procedure </w:t>
            </w:r>
          </w:p>
        </w:tc>
        <w:tc>
          <w:tcPr>
            <w:tcW w:w="1094" w:type="dxa"/>
            <w:shd w:val="clear" w:color="auto" w:fill="C6EFCE"/>
          </w:tcPr>
          <w:p w:rsidRPr="00FE48E2" w:rsidR="00D87E44" w:rsidRDefault="00D87E44" w14:paraId="154589C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9C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Entry into force of legislative and procedural changes  </w:t>
            </w:r>
          </w:p>
          <w:p w:rsidRPr="00FE48E2" w:rsidR="00D87E44" w:rsidRDefault="00D87E44" w14:paraId="154589D0" w14:textId="77777777">
            <w:pPr>
              <w:spacing w:before="0" w:after="0" w:line="240" w:lineRule="auto"/>
              <w:rPr>
                <w:rFonts w:eastAsia="Times New Roman"/>
                <w:noProof/>
                <w:color w:val="006100"/>
                <w:sz w:val="18"/>
                <w:szCs w:val="18"/>
                <w:lang w:val="en-IE"/>
              </w:rPr>
            </w:pPr>
          </w:p>
        </w:tc>
        <w:tc>
          <w:tcPr>
            <w:tcW w:w="1732" w:type="dxa"/>
            <w:shd w:val="clear" w:color="auto" w:fill="C6EFCE"/>
          </w:tcPr>
          <w:p w:rsidRPr="00FE48E2" w:rsidR="00D87E44" w:rsidRDefault="00D87E44" w14:paraId="154589D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Provision in the law and decrees indicating the entry into force of the law or decree</w:t>
            </w:r>
          </w:p>
        </w:tc>
        <w:tc>
          <w:tcPr>
            <w:tcW w:w="955" w:type="dxa"/>
            <w:shd w:val="clear" w:color="auto" w:fill="C6EFCE"/>
          </w:tcPr>
          <w:p w:rsidRPr="00FE48E2" w:rsidR="00D87E44" w:rsidRDefault="00D87E44" w14:paraId="154589D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9D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04" w:type="dxa"/>
            <w:shd w:val="clear" w:color="auto" w:fill="C6EFCE"/>
          </w:tcPr>
          <w:p w:rsidRPr="00FE48E2" w:rsidR="00D87E44" w:rsidRDefault="00D87E44" w14:paraId="154589D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86" w:type="dxa"/>
            <w:shd w:val="clear" w:color="auto" w:fill="C6EFCE"/>
          </w:tcPr>
          <w:p w:rsidRPr="00FE48E2" w:rsidR="00D87E44" w:rsidRDefault="00D87E44" w14:paraId="154589D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Q1</w:t>
            </w:r>
          </w:p>
        </w:tc>
        <w:tc>
          <w:tcPr>
            <w:tcW w:w="640" w:type="dxa"/>
            <w:shd w:val="clear" w:color="auto" w:fill="C6EFCE"/>
          </w:tcPr>
          <w:p w:rsidRPr="00FE48E2" w:rsidR="00D87E44" w:rsidRDefault="00D87E44" w14:paraId="154589D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961" w:type="dxa"/>
            <w:shd w:val="clear" w:color="auto" w:fill="C6EFCE"/>
          </w:tcPr>
          <w:p w:rsidRPr="00FE48E2" w:rsidR="00D87E44" w:rsidRDefault="00D87E44" w14:paraId="154589D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legislation shall be amended to:</w:t>
            </w:r>
          </w:p>
          <w:p w:rsidRPr="00E3458A" w:rsidR="00D87E44" w:rsidP="00D226F4" w:rsidRDefault="00D87E44" w14:paraId="154589D8" w14:textId="77777777">
            <w:pPr>
              <w:pStyle w:val="ListParagraph"/>
              <w:numPr>
                <w:ilvl w:val="0"/>
                <w:numId w:val="86"/>
              </w:numPr>
              <w:spacing w:before="0" w:after="0" w:line="240" w:lineRule="auto"/>
              <w:rPr>
                <w:color w:val="006100"/>
                <w:sz w:val="18"/>
                <w:lang w:val="en-IE"/>
              </w:rPr>
            </w:pPr>
            <w:r w:rsidRPr="00E3458A">
              <w:rPr>
                <w:color w:val="006100"/>
                <w:sz w:val="18"/>
                <w:lang w:val="en-IE"/>
              </w:rPr>
              <w:t>Empower DSO to cancel the reservation of grid capacities only based on technical criteria and after demonstration of non-utilisation of the capacities.</w:t>
            </w:r>
          </w:p>
          <w:p w:rsidRPr="00E3458A" w:rsidR="00D87E44" w:rsidP="00D226F4" w:rsidRDefault="00D87E44" w14:paraId="154589D9" w14:textId="77777777">
            <w:pPr>
              <w:pStyle w:val="ListParagraph"/>
              <w:numPr>
                <w:ilvl w:val="0"/>
                <w:numId w:val="86"/>
              </w:numPr>
              <w:spacing w:before="0" w:after="0" w:line="240" w:lineRule="auto"/>
              <w:rPr>
                <w:color w:val="006100"/>
                <w:sz w:val="18"/>
                <w:lang w:val="en-IE"/>
              </w:rPr>
            </w:pPr>
            <w:r w:rsidRPr="00E3458A">
              <w:rPr>
                <w:color w:val="006100"/>
                <w:sz w:val="18"/>
                <w:lang w:val="en-IE"/>
              </w:rPr>
              <w:t xml:space="preserve">Obligation of the distribution system operator to provide a written justification to the connection applicant for the lack of </w:t>
            </w:r>
            <w:r w:rsidRPr="00E3458A">
              <w:rPr>
                <w:color w:val="006100"/>
                <w:sz w:val="18"/>
                <w:lang w:val="en-IE"/>
              </w:rPr>
              <w:lastRenderedPageBreak/>
              <w:t>connection capacity and to indicate the date and conditions for future connection</w:t>
            </w:r>
          </w:p>
          <w:p w:rsidRPr="00E3458A" w:rsidR="00D87E44" w:rsidP="00D226F4" w:rsidRDefault="00D87E44" w14:paraId="154589DA" w14:textId="77777777">
            <w:pPr>
              <w:pStyle w:val="ListParagraph"/>
              <w:numPr>
                <w:ilvl w:val="0"/>
                <w:numId w:val="86"/>
              </w:numPr>
              <w:spacing w:before="0" w:after="0" w:line="240" w:lineRule="auto"/>
              <w:rPr>
                <w:color w:val="006100"/>
                <w:sz w:val="18"/>
                <w:lang w:val="en-IE"/>
              </w:rPr>
            </w:pPr>
            <w:r w:rsidRPr="00E3458A">
              <w:rPr>
                <w:color w:val="006100"/>
                <w:sz w:val="18"/>
                <w:lang w:val="en-IE"/>
              </w:rPr>
              <w:t xml:space="preserve">Set rules for the re-release of unused capacities  </w:t>
            </w:r>
          </w:p>
          <w:p w:rsidRPr="00E3458A" w:rsidR="00D87E44" w:rsidP="00D226F4" w:rsidRDefault="00D87E44" w14:paraId="154589DB" w14:textId="77777777">
            <w:pPr>
              <w:pStyle w:val="ListParagraph"/>
              <w:numPr>
                <w:ilvl w:val="0"/>
                <w:numId w:val="86"/>
              </w:numPr>
              <w:spacing w:before="0" w:after="0" w:line="240" w:lineRule="auto"/>
              <w:rPr>
                <w:color w:val="006100"/>
                <w:sz w:val="18"/>
                <w:lang w:val="en-IE"/>
              </w:rPr>
            </w:pPr>
            <w:r w:rsidRPr="00E3458A">
              <w:rPr>
                <w:color w:val="006100"/>
                <w:sz w:val="18"/>
                <w:lang w:val="en-IE"/>
              </w:rPr>
              <w:t>The Czech Energy Regulator shall review at least every sixth months , in each region the adequacy of a decision taken by the DSO to cancel the capacity.</w:t>
            </w:r>
          </w:p>
          <w:p w:rsidRPr="00E3458A" w:rsidR="00D87E44" w:rsidP="00D226F4" w:rsidRDefault="00D87E44" w14:paraId="154589DC" w14:textId="77777777">
            <w:pPr>
              <w:pStyle w:val="ListParagraph"/>
              <w:numPr>
                <w:ilvl w:val="0"/>
                <w:numId w:val="86"/>
              </w:numPr>
              <w:spacing w:before="0" w:after="0" w:line="240" w:lineRule="auto"/>
              <w:rPr>
                <w:color w:val="006100"/>
                <w:sz w:val="18"/>
                <w:lang w:val="en-IE"/>
              </w:rPr>
            </w:pPr>
            <w:r w:rsidRPr="00E3458A">
              <w:rPr>
                <w:color w:val="006100"/>
                <w:sz w:val="18"/>
                <w:lang w:val="en-IE"/>
              </w:rPr>
              <w:t xml:space="preserve">Introduce a maximum binding time for grid connection to be specified in the grid connection agreement contracts </w:t>
            </w:r>
          </w:p>
          <w:p w:rsidRPr="00E3458A" w:rsidR="00D87E44" w:rsidP="00D226F4" w:rsidRDefault="00D87E44" w14:paraId="154589DD" w14:textId="77777777">
            <w:pPr>
              <w:pStyle w:val="ListParagraph"/>
              <w:numPr>
                <w:ilvl w:val="0"/>
                <w:numId w:val="86"/>
              </w:numPr>
              <w:spacing w:before="0" w:after="0" w:line="240" w:lineRule="auto"/>
              <w:rPr>
                <w:color w:val="006100"/>
                <w:sz w:val="18"/>
                <w:lang w:val="en-IE"/>
              </w:rPr>
            </w:pPr>
            <w:r w:rsidRPr="00E3458A">
              <w:rPr>
                <w:color w:val="006100"/>
                <w:sz w:val="18"/>
                <w:lang w:val="en-IE"/>
              </w:rPr>
              <w:t>Reduce the deadlines for appeal in front of conciliation bodies between applicants and DSOs</w:t>
            </w:r>
          </w:p>
          <w:p w:rsidRPr="00E3458A" w:rsidR="00D87E44" w:rsidP="00D226F4" w:rsidRDefault="00D87E44" w14:paraId="154589DE" w14:textId="77777777">
            <w:pPr>
              <w:pStyle w:val="ListParagraph"/>
              <w:numPr>
                <w:ilvl w:val="0"/>
                <w:numId w:val="86"/>
              </w:numPr>
              <w:spacing w:before="0" w:after="0" w:line="240" w:lineRule="auto"/>
              <w:rPr>
                <w:color w:val="006100"/>
                <w:sz w:val="18"/>
                <w:lang w:val="en-IE"/>
              </w:rPr>
            </w:pPr>
            <w:r w:rsidRPr="00E3458A">
              <w:rPr>
                <w:color w:val="006100"/>
                <w:sz w:val="18"/>
                <w:lang w:val="en-IE"/>
              </w:rPr>
              <w:t xml:space="preserve">Enhance the transparency and accountability of the grid connection procedure. </w:t>
            </w:r>
          </w:p>
          <w:p w:rsidRPr="00E3458A" w:rsidR="00D87E44" w:rsidP="00D226F4" w:rsidRDefault="00D87E44" w14:paraId="154589DF" w14:textId="77777777">
            <w:pPr>
              <w:pStyle w:val="ListParagraph"/>
              <w:numPr>
                <w:ilvl w:val="0"/>
                <w:numId w:val="86"/>
              </w:numPr>
              <w:spacing w:before="0" w:after="0" w:line="240" w:lineRule="auto"/>
              <w:rPr>
                <w:color w:val="006100"/>
                <w:sz w:val="18"/>
                <w:lang w:val="en-IE"/>
              </w:rPr>
            </w:pPr>
            <w:r w:rsidRPr="00E3458A">
              <w:rPr>
                <w:color w:val="006100"/>
                <w:sz w:val="18"/>
                <w:lang w:val="en-IE"/>
              </w:rPr>
              <w:t>at least every month, DSOs (</w:t>
            </w:r>
            <w:proofErr w:type="spellStart"/>
            <w:r w:rsidRPr="00E3458A">
              <w:rPr>
                <w:color w:val="006100"/>
                <w:sz w:val="18"/>
                <w:lang w:val="en-IE"/>
              </w:rPr>
              <w:t>ČEZdi</w:t>
            </w:r>
            <w:proofErr w:type="spellEnd"/>
            <w:r w:rsidRPr="00E3458A">
              <w:rPr>
                <w:color w:val="006100"/>
                <w:sz w:val="18"/>
                <w:lang w:val="en-IE"/>
              </w:rPr>
              <w:t xml:space="preserve">, </w:t>
            </w:r>
            <w:proofErr w:type="spellStart"/>
            <w:r w:rsidRPr="00E3458A">
              <w:rPr>
                <w:color w:val="006100"/>
                <w:sz w:val="18"/>
                <w:lang w:val="en-IE"/>
              </w:rPr>
              <w:t>PREdi</w:t>
            </w:r>
            <w:proofErr w:type="spellEnd"/>
            <w:r w:rsidRPr="00E3458A">
              <w:rPr>
                <w:color w:val="006100"/>
                <w:sz w:val="18"/>
                <w:lang w:val="en-IE"/>
              </w:rPr>
              <w:t>, EG.D ) shall publish online information on available grid connection capacities for new connections in their respective areas of operation, as well as publish aggregated anonymized connection requirements of accepted and rejected requests.</w:t>
            </w:r>
          </w:p>
          <w:p w:rsidRPr="00FE48E2" w:rsidR="00D87E44" w:rsidRDefault="00D87E44" w14:paraId="154589E0"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DSO/TSO shall also provide clear and transparent information to system users about the status and treatment of their connection requests.</w:t>
            </w:r>
          </w:p>
        </w:tc>
      </w:tr>
      <w:tr w:rsidRPr="00FE48E2" w:rsidR="00E3458A" w14:paraId="154589F2" w14:textId="77777777">
        <w:trPr>
          <w:trHeight w:val="309"/>
          <w:jc w:val="center"/>
        </w:trPr>
        <w:tc>
          <w:tcPr>
            <w:tcW w:w="704" w:type="dxa"/>
            <w:shd w:val="clear" w:color="auto" w:fill="C6EFCE"/>
          </w:tcPr>
          <w:p w:rsidRPr="00BD790C" w:rsidR="00D87E44" w:rsidRDefault="00D87E44" w14:paraId="154589E2" w14:textId="77777777">
            <w:pPr>
              <w:spacing w:before="0" w:after="0" w:line="240" w:lineRule="auto"/>
              <w:rPr>
                <w:rFonts w:eastAsia="Times New Roman"/>
                <w:noProof/>
                <w:color w:val="006100"/>
                <w:sz w:val="18"/>
                <w:szCs w:val="18"/>
                <w:lang w:val="en-IE"/>
              </w:rPr>
            </w:pPr>
            <w:r w:rsidRPr="00CF0930">
              <w:rPr>
                <w:rFonts w:eastAsia="Times New Roman"/>
                <w:noProof/>
                <w:color w:val="006100"/>
                <w:sz w:val="18"/>
                <w:szCs w:val="18"/>
                <w:lang w:val="en-IE"/>
              </w:rPr>
              <w:lastRenderedPageBreak/>
              <w:t>305</w:t>
            </w:r>
          </w:p>
        </w:tc>
        <w:tc>
          <w:tcPr>
            <w:tcW w:w="1790" w:type="dxa"/>
            <w:shd w:val="clear" w:color="auto" w:fill="C6EFCE"/>
          </w:tcPr>
          <w:p w:rsidRPr="00FE48E2" w:rsidR="00D87E44" w:rsidRDefault="00D87E44" w14:paraId="154589E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3 – Sub measure 1</w:t>
            </w:r>
          </w:p>
          <w:p w:rsidRPr="00FE48E2" w:rsidR="00D87E44" w:rsidRDefault="00D87E44" w14:paraId="154589E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Improve transparency of the grid connection procedure</w:t>
            </w:r>
          </w:p>
          <w:p w:rsidRPr="00FE48E2" w:rsidR="00D87E44" w:rsidRDefault="00D87E44" w14:paraId="154589E5" w14:textId="77777777">
            <w:pPr>
              <w:spacing w:before="0" w:after="0" w:line="240" w:lineRule="auto"/>
              <w:rPr>
                <w:rFonts w:eastAsia="Times New Roman"/>
                <w:noProof/>
                <w:color w:val="006100"/>
                <w:sz w:val="18"/>
                <w:szCs w:val="18"/>
                <w:lang w:val="en-IE"/>
              </w:rPr>
            </w:pPr>
          </w:p>
        </w:tc>
        <w:tc>
          <w:tcPr>
            <w:tcW w:w="1094" w:type="dxa"/>
            <w:shd w:val="clear" w:color="auto" w:fill="C6EFCE"/>
          </w:tcPr>
          <w:p w:rsidRPr="00FE48E2" w:rsidR="00D87E44" w:rsidRDefault="00D87E44" w14:paraId="154589E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9E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Publication of information on grid connection requests and capacities</w:t>
            </w:r>
          </w:p>
          <w:p w:rsidRPr="00FE48E2" w:rsidR="00D87E44" w:rsidRDefault="00D87E44" w14:paraId="154589E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732" w:type="dxa"/>
            <w:shd w:val="clear" w:color="auto" w:fill="C6EFCE"/>
          </w:tcPr>
          <w:p w:rsidRPr="00FE48E2" w:rsidR="00D87E44" w:rsidRDefault="00D87E44" w14:paraId="154589E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Entry into operation of the interactive map</w:t>
            </w:r>
          </w:p>
        </w:tc>
        <w:tc>
          <w:tcPr>
            <w:tcW w:w="955" w:type="dxa"/>
            <w:shd w:val="clear" w:color="auto" w:fill="C6EFCE"/>
          </w:tcPr>
          <w:p w:rsidRPr="00FE48E2" w:rsidR="00D87E44" w:rsidRDefault="00D87E44" w14:paraId="154589E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9E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04" w:type="dxa"/>
            <w:shd w:val="clear" w:color="auto" w:fill="C6EFCE"/>
          </w:tcPr>
          <w:p w:rsidRPr="00FE48E2" w:rsidR="00D87E44" w:rsidRDefault="00D87E44" w14:paraId="154589E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86" w:type="dxa"/>
            <w:shd w:val="clear" w:color="auto" w:fill="C6EFCE"/>
          </w:tcPr>
          <w:p w:rsidRPr="00FE48E2" w:rsidR="00D87E44" w:rsidRDefault="00D87E44" w14:paraId="154589E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Q1</w:t>
            </w:r>
          </w:p>
        </w:tc>
        <w:tc>
          <w:tcPr>
            <w:tcW w:w="640" w:type="dxa"/>
            <w:shd w:val="clear" w:color="auto" w:fill="C6EFCE"/>
          </w:tcPr>
          <w:p w:rsidRPr="00FE48E2" w:rsidR="00D87E44" w:rsidRDefault="00D87E44" w14:paraId="154589E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961" w:type="dxa"/>
            <w:shd w:val="clear" w:color="auto" w:fill="C6EFCE"/>
          </w:tcPr>
          <w:p w:rsidR="00D87E44" w:rsidRDefault="00D87E44" w14:paraId="154589E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An interactive map shall be published</w:t>
            </w:r>
            <w:r>
              <w:rPr>
                <w:rFonts w:eastAsia="Times New Roman"/>
                <w:noProof/>
                <w:color w:val="006100"/>
                <w:sz w:val="18"/>
                <w:szCs w:val="18"/>
                <w:lang w:val="en-IE"/>
              </w:rPr>
              <w:t xml:space="preserve"> on the websites of the three regional DSOs (E.GD, CEZ and PRE) and displays the following information: </w:t>
            </w:r>
          </w:p>
          <w:p w:rsidRPr="004F1648" w:rsidR="00D87E44" w:rsidP="00D226F4" w:rsidRDefault="00D87E44" w14:paraId="154589F0" w14:textId="77777777">
            <w:pPr>
              <w:pStyle w:val="ListParagraph"/>
              <w:numPr>
                <w:ilvl w:val="0"/>
                <w:numId w:val="86"/>
              </w:numPr>
              <w:spacing w:before="0" w:after="0" w:line="240" w:lineRule="auto"/>
              <w:rPr>
                <w:rFonts w:eastAsia="Times New Roman"/>
                <w:noProof/>
                <w:color w:val="006100"/>
                <w:sz w:val="18"/>
                <w:szCs w:val="18"/>
                <w:lang w:val="en-IE"/>
              </w:rPr>
            </w:pPr>
            <w:r w:rsidRPr="00E3458A">
              <w:rPr>
                <w:color w:val="006100"/>
                <w:sz w:val="18"/>
                <w:lang w:val="en-IE"/>
              </w:rPr>
              <w:t xml:space="preserve">for each area of operation information on the available grid capacity at medium and high voltage levels. </w:t>
            </w:r>
          </w:p>
          <w:p w:rsidRPr="00FE48E2" w:rsidR="00D87E44" w:rsidP="00D226F4" w:rsidRDefault="00D87E44" w14:paraId="154589F1" w14:textId="77777777">
            <w:pPr>
              <w:pStyle w:val="ListParagraph"/>
              <w:numPr>
                <w:ilvl w:val="0"/>
                <w:numId w:val="86"/>
              </w:numPr>
              <w:spacing w:before="0" w:after="0" w:line="240" w:lineRule="auto"/>
              <w:rPr>
                <w:rFonts w:eastAsia="Times New Roman"/>
                <w:noProof/>
                <w:color w:val="006100"/>
                <w:sz w:val="18"/>
                <w:szCs w:val="18"/>
                <w:lang w:val="en-IE"/>
              </w:rPr>
            </w:pPr>
            <w:r w:rsidRPr="00E3458A">
              <w:rPr>
                <w:color w:val="006100"/>
                <w:sz w:val="18"/>
                <w:lang w:val="en-IE"/>
              </w:rPr>
              <w:t xml:space="preserve">For low voltage level, at the level of the transformer, station-aggregated anonymized information on the accepted and rejected requests (including the number of </w:t>
            </w:r>
            <w:r w:rsidRPr="00E3458A">
              <w:rPr>
                <w:color w:val="006100"/>
                <w:sz w:val="18"/>
                <w:lang w:val="en-IE"/>
              </w:rPr>
              <w:lastRenderedPageBreak/>
              <w:t>alternative connection agreements), anonymised reasons for rejected requests at aggregate level and the expected date of modifications of the distribution network.</w:t>
            </w:r>
          </w:p>
        </w:tc>
      </w:tr>
      <w:tr w:rsidRPr="00FE48E2" w:rsidR="00E3458A" w14:paraId="15458A00" w14:textId="77777777">
        <w:trPr>
          <w:trHeight w:val="1463"/>
          <w:jc w:val="center"/>
        </w:trPr>
        <w:tc>
          <w:tcPr>
            <w:tcW w:w="704" w:type="dxa"/>
            <w:shd w:val="clear" w:color="auto" w:fill="C6EFCE"/>
          </w:tcPr>
          <w:p w:rsidRPr="00BD790C" w:rsidR="00D87E44" w:rsidRDefault="00D87E44" w14:paraId="154589F3" w14:textId="77777777">
            <w:pPr>
              <w:spacing w:before="0" w:after="0" w:line="240" w:lineRule="auto"/>
              <w:rPr>
                <w:rFonts w:eastAsia="Times New Roman"/>
                <w:noProof/>
                <w:color w:val="006100"/>
                <w:sz w:val="18"/>
                <w:szCs w:val="18"/>
                <w:lang w:val="en-IE"/>
              </w:rPr>
            </w:pPr>
            <w:r w:rsidRPr="00CF0930">
              <w:rPr>
                <w:rFonts w:eastAsia="Times New Roman"/>
                <w:noProof/>
                <w:color w:val="006100"/>
                <w:sz w:val="18"/>
                <w:szCs w:val="18"/>
                <w:lang w:val="en-IE"/>
              </w:rPr>
              <w:lastRenderedPageBreak/>
              <w:t>306</w:t>
            </w:r>
          </w:p>
        </w:tc>
        <w:tc>
          <w:tcPr>
            <w:tcW w:w="1790" w:type="dxa"/>
            <w:shd w:val="clear" w:color="auto" w:fill="C6EFCE"/>
          </w:tcPr>
          <w:p w:rsidRPr="00FE48E2" w:rsidR="00D87E44" w:rsidRDefault="00D87E44" w14:paraId="154589F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3 – Sub measure 1</w:t>
            </w:r>
          </w:p>
          <w:p w:rsidRPr="00FE48E2" w:rsidR="00D87E44" w:rsidRDefault="00D87E44" w14:paraId="154589F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Improve transparency of the grid connection procedure</w:t>
            </w:r>
          </w:p>
        </w:tc>
        <w:tc>
          <w:tcPr>
            <w:tcW w:w="1094" w:type="dxa"/>
            <w:shd w:val="clear" w:color="auto" w:fill="C6EFCE"/>
          </w:tcPr>
          <w:p w:rsidRPr="00FE48E2" w:rsidR="00D87E44" w:rsidRDefault="00D87E44" w14:paraId="154589F6"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9F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Publication of information on grid connection requests and capacities</w:t>
            </w:r>
          </w:p>
          <w:p w:rsidRPr="00FE48E2" w:rsidR="00D87E44" w:rsidRDefault="00D87E44" w14:paraId="154589F8" w14:textId="77777777">
            <w:pPr>
              <w:spacing w:before="0" w:after="0" w:line="240" w:lineRule="auto"/>
              <w:rPr>
                <w:rFonts w:eastAsia="Times New Roman"/>
                <w:noProof/>
                <w:color w:val="006100"/>
                <w:sz w:val="18"/>
                <w:szCs w:val="18"/>
                <w:lang w:val="en-IE"/>
              </w:rPr>
            </w:pPr>
          </w:p>
        </w:tc>
        <w:tc>
          <w:tcPr>
            <w:tcW w:w="1732" w:type="dxa"/>
            <w:shd w:val="clear" w:color="auto" w:fill="C6EFCE"/>
          </w:tcPr>
          <w:p w:rsidRPr="00FE48E2" w:rsidR="00D87E44" w:rsidRDefault="00D87E44" w14:paraId="154589F9"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Publication of </w:t>
            </w:r>
            <w:r>
              <w:rPr>
                <w:rFonts w:eastAsia="Times New Roman"/>
                <w:noProof/>
                <w:color w:val="006100"/>
                <w:sz w:val="18"/>
                <w:szCs w:val="18"/>
                <w:lang w:val="en-IE"/>
              </w:rPr>
              <w:t>information on grid capacity at all voltage levels</w:t>
            </w:r>
          </w:p>
        </w:tc>
        <w:tc>
          <w:tcPr>
            <w:tcW w:w="955" w:type="dxa"/>
            <w:shd w:val="clear" w:color="auto" w:fill="C6EFCE"/>
          </w:tcPr>
          <w:p w:rsidRPr="00FE48E2" w:rsidR="00D87E44" w:rsidRDefault="00D87E44" w14:paraId="154589FA"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9FB" w14:textId="77777777">
            <w:pPr>
              <w:spacing w:before="0" w:after="0" w:line="240" w:lineRule="auto"/>
              <w:rPr>
                <w:rFonts w:eastAsia="Times New Roman"/>
                <w:noProof/>
                <w:color w:val="006100"/>
                <w:sz w:val="18"/>
                <w:szCs w:val="18"/>
                <w:lang w:val="en-IE"/>
              </w:rPr>
            </w:pPr>
          </w:p>
        </w:tc>
        <w:tc>
          <w:tcPr>
            <w:tcW w:w="1004" w:type="dxa"/>
            <w:shd w:val="clear" w:color="auto" w:fill="C6EFCE"/>
          </w:tcPr>
          <w:p w:rsidRPr="00FE48E2" w:rsidR="00D87E44" w:rsidRDefault="00D87E44" w14:paraId="154589FC" w14:textId="77777777">
            <w:pPr>
              <w:spacing w:before="0" w:after="0" w:line="240" w:lineRule="auto"/>
              <w:rPr>
                <w:rFonts w:eastAsia="Times New Roman"/>
                <w:noProof/>
                <w:color w:val="006100"/>
                <w:sz w:val="18"/>
                <w:szCs w:val="18"/>
                <w:lang w:val="en-IE"/>
              </w:rPr>
            </w:pPr>
          </w:p>
        </w:tc>
        <w:tc>
          <w:tcPr>
            <w:tcW w:w="986" w:type="dxa"/>
            <w:shd w:val="clear" w:color="auto" w:fill="C6EFCE"/>
          </w:tcPr>
          <w:p w:rsidRPr="00BD790C" w:rsidR="00D87E44" w:rsidRDefault="00D87E44" w14:paraId="154589FD" w14:textId="77777777">
            <w:pPr>
              <w:spacing w:before="0" w:after="0" w:line="240" w:lineRule="auto"/>
              <w:rPr>
                <w:rFonts w:eastAsia="Times New Roman"/>
                <w:noProof/>
                <w:color w:val="006100"/>
                <w:sz w:val="18"/>
                <w:szCs w:val="18"/>
                <w:lang w:val="en-IE"/>
              </w:rPr>
            </w:pPr>
            <w:r w:rsidRPr="294AAD63">
              <w:rPr>
                <w:rFonts w:eastAsia="Times New Roman"/>
                <w:noProof/>
                <w:color w:val="006100"/>
                <w:sz w:val="18"/>
                <w:szCs w:val="18"/>
                <w:lang w:val="en-IE"/>
              </w:rPr>
              <w:t>Q</w:t>
            </w:r>
            <w:r w:rsidRPr="0A4DE686">
              <w:rPr>
                <w:rFonts w:eastAsia="Times New Roman"/>
                <w:noProof/>
                <w:color w:val="006100"/>
                <w:sz w:val="18"/>
                <w:szCs w:val="18"/>
                <w:lang w:val="en-IE"/>
              </w:rPr>
              <w:t>4</w:t>
            </w:r>
          </w:p>
        </w:tc>
        <w:tc>
          <w:tcPr>
            <w:tcW w:w="640" w:type="dxa"/>
            <w:shd w:val="clear" w:color="auto" w:fill="C6EFCE"/>
          </w:tcPr>
          <w:p w:rsidRPr="00BD790C" w:rsidR="00D87E44" w:rsidRDefault="00D87E44" w14:paraId="154589FE"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202</w:t>
            </w:r>
            <w:r w:rsidRPr="0A4DE686">
              <w:rPr>
                <w:rFonts w:eastAsia="Times New Roman"/>
                <w:noProof/>
                <w:color w:val="006100"/>
                <w:sz w:val="18"/>
                <w:szCs w:val="18"/>
                <w:lang w:val="en-IE"/>
              </w:rPr>
              <w:t>4</w:t>
            </w:r>
          </w:p>
        </w:tc>
        <w:tc>
          <w:tcPr>
            <w:tcW w:w="3961" w:type="dxa"/>
            <w:shd w:val="clear" w:color="auto" w:fill="C6EFCE"/>
          </w:tcPr>
          <w:p w:rsidRPr="00CF3A27" w:rsidR="00D87E44" w:rsidRDefault="00D87E44" w14:paraId="154589FF"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The digital map shall display information </w:t>
            </w:r>
            <w:r w:rsidRPr="00470A9F">
              <w:rPr>
                <w:rFonts w:eastAsia="Times New Roman"/>
                <w:noProof/>
                <w:color w:val="006100"/>
                <w:sz w:val="18"/>
                <w:szCs w:val="18"/>
                <w:lang w:val="en-IE"/>
              </w:rPr>
              <w:t xml:space="preserve">on </w:t>
            </w:r>
            <w:r w:rsidRPr="00F40464">
              <w:rPr>
                <w:rFonts w:eastAsia="Times New Roman"/>
                <w:noProof/>
                <w:color w:val="006100"/>
                <w:sz w:val="18"/>
                <w:szCs w:val="18"/>
                <w:lang w:val="en-IE"/>
              </w:rPr>
              <w:t>availab</w:t>
            </w:r>
            <w:r w:rsidRPr="003B3924">
              <w:rPr>
                <w:rFonts w:eastAsia="Times New Roman"/>
                <w:noProof/>
                <w:color w:val="006100"/>
                <w:sz w:val="18"/>
                <w:szCs w:val="18"/>
                <w:lang w:val="en-IE"/>
              </w:rPr>
              <w:t>le grid capacities at all voltage levels operated by DSOs, including at low voltage level</w:t>
            </w:r>
            <w:r>
              <w:rPr>
                <w:rFonts w:eastAsia="Times New Roman"/>
                <w:noProof/>
                <w:color w:val="006100"/>
                <w:sz w:val="18"/>
                <w:szCs w:val="18"/>
                <w:lang w:val="en-IE"/>
              </w:rPr>
              <w:t>.</w:t>
            </w:r>
          </w:p>
        </w:tc>
      </w:tr>
      <w:tr w:rsidRPr="00FE48E2" w:rsidR="00E3458A" w14:paraId="15458A0E" w14:textId="77777777">
        <w:trPr>
          <w:trHeight w:val="309"/>
          <w:jc w:val="center"/>
        </w:trPr>
        <w:tc>
          <w:tcPr>
            <w:tcW w:w="704" w:type="dxa"/>
            <w:shd w:val="clear" w:color="auto" w:fill="C6EFCE"/>
          </w:tcPr>
          <w:p w:rsidRPr="00BD790C" w:rsidR="00D87E44" w:rsidRDefault="00D87E44" w14:paraId="15458A01" w14:textId="77777777">
            <w:pPr>
              <w:spacing w:before="0" w:after="0" w:line="240" w:lineRule="auto"/>
              <w:rPr>
                <w:rFonts w:eastAsia="Times New Roman"/>
                <w:noProof/>
                <w:color w:val="006100"/>
                <w:sz w:val="18"/>
                <w:szCs w:val="18"/>
                <w:lang w:val="en-IE"/>
              </w:rPr>
            </w:pPr>
            <w:r w:rsidRPr="00BD790C">
              <w:rPr>
                <w:rFonts w:eastAsia="Times New Roman"/>
                <w:noProof/>
                <w:color w:val="006100"/>
                <w:sz w:val="18"/>
                <w:szCs w:val="18"/>
                <w:lang w:val="en-IE"/>
              </w:rPr>
              <w:t>308</w:t>
            </w:r>
          </w:p>
        </w:tc>
        <w:tc>
          <w:tcPr>
            <w:tcW w:w="1790" w:type="dxa"/>
            <w:shd w:val="clear" w:color="auto" w:fill="C6EFCE"/>
          </w:tcPr>
          <w:p w:rsidRPr="00FE48E2" w:rsidR="00D87E44" w:rsidRDefault="00D87E44" w14:paraId="15458A0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3 – Sub measure 2: Regulatory incentives for electricity network operators to increase grid flexibility</w:t>
            </w:r>
          </w:p>
        </w:tc>
        <w:tc>
          <w:tcPr>
            <w:tcW w:w="1094" w:type="dxa"/>
            <w:shd w:val="clear" w:color="auto" w:fill="C6EFCE"/>
          </w:tcPr>
          <w:p w:rsidRPr="00FE48E2" w:rsidR="00D87E44" w:rsidRDefault="00D87E44" w14:paraId="15458A0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04"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Decisions by the energy regulator</w:t>
            </w:r>
          </w:p>
        </w:tc>
        <w:tc>
          <w:tcPr>
            <w:tcW w:w="1732" w:type="dxa"/>
            <w:shd w:val="clear" w:color="auto" w:fill="C6EFCE"/>
          </w:tcPr>
          <w:p w:rsidRPr="00FE48E2" w:rsidR="00D87E44" w:rsidRDefault="00D87E44" w14:paraId="15458A0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0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0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04" w:type="dxa"/>
            <w:shd w:val="clear" w:color="auto" w:fill="C6EFCE"/>
          </w:tcPr>
          <w:p w:rsidRPr="00FE48E2" w:rsidR="00D87E44" w:rsidRDefault="00D87E44" w14:paraId="15458A0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86" w:type="dxa"/>
            <w:shd w:val="clear" w:color="auto" w:fill="C6EFCE"/>
          </w:tcPr>
          <w:p w:rsidRPr="00FE48E2" w:rsidR="00D87E44" w:rsidRDefault="00D87E44" w14:paraId="15458A0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Pr>
                <w:rFonts w:eastAsia="Times New Roman"/>
                <w:noProof/>
                <w:color w:val="006100"/>
                <w:sz w:val="18"/>
                <w:szCs w:val="18"/>
                <w:lang w:val="en-IE"/>
              </w:rPr>
              <w:t>4</w:t>
            </w:r>
          </w:p>
        </w:tc>
        <w:tc>
          <w:tcPr>
            <w:tcW w:w="640" w:type="dxa"/>
            <w:shd w:val="clear" w:color="auto" w:fill="C6EFCE"/>
          </w:tcPr>
          <w:p w:rsidRPr="00FE48E2" w:rsidR="00D87E44" w:rsidRDefault="00D87E44" w14:paraId="15458A0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w:t>
            </w:r>
            <w:r>
              <w:rPr>
                <w:rFonts w:eastAsia="Times New Roman"/>
                <w:noProof/>
                <w:color w:val="006100"/>
                <w:sz w:val="18"/>
                <w:szCs w:val="18"/>
                <w:lang w:val="en-IE"/>
              </w:rPr>
              <w:t>5</w:t>
            </w:r>
          </w:p>
        </w:tc>
        <w:tc>
          <w:tcPr>
            <w:tcW w:w="3961" w:type="dxa"/>
            <w:shd w:val="clear" w:color="auto" w:fill="C6EFCE"/>
          </w:tcPr>
          <w:p w:rsidR="00D87E44" w:rsidRDefault="00D87E44" w14:paraId="15458A0B" w14:textId="77777777">
            <w:pPr>
              <w:spacing w:before="0" w:after="0" w:line="240" w:lineRule="auto"/>
              <w:rPr>
                <w:rFonts w:eastAsia="Times New Roman"/>
                <w:noProof/>
                <w:color w:val="006100"/>
                <w:sz w:val="18"/>
                <w:szCs w:val="18"/>
                <w:lang w:val="en-IE"/>
              </w:rPr>
            </w:pPr>
            <w:r w:rsidRPr="00C03802">
              <w:rPr>
                <w:rFonts w:eastAsia="Times New Roman"/>
                <w:noProof/>
                <w:color w:val="006100"/>
                <w:sz w:val="18"/>
                <w:szCs w:val="18"/>
                <w:lang w:val="en-IE"/>
              </w:rPr>
              <w:t xml:space="preserve">The </w:t>
            </w:r>
            <w:r>
              <w:rPr>
                <w:rFonts w:eastAsia="Times New Roman"/>
                <w:noProof/>
                <w:color w:val="006100"/>
                <w:sz w:val="18"/>
                <w:szCs w:val="18"/>
                <w:lang w:val="en-IE"/>
              </w:rPr>
              <w:t>energy regulator shall:</w:t>
            </w:r>
          </w:p>
          <w:p w:rsidRPr="00FE5744" w:rsidR="00D87E44" w:rsidP="00FF1320" w:rsidRDefault="00D87E44" w14:paraId="15458A0C" w14:textId="77777777">
            <w:pPr>
              <w:pStyle w:val="ListParagraph"/>
              <w:numPr>
                <w:ilvl w:val="0"/>
                <w:numId w:val="86"/>
              </w:numPr>
              <w:spacing w:after="160" w:line="259" w:lineRule="auto"/>
              <w:rPr>
                <w:rFonts w:eastAsia="Times New Roman"/>
                <w:noProof/>
                <w:color w:val="006100"/>
                <w:sz w:val="18"/>
                <w:szCs w:val="18"/>
                <w:lang w:val="en-IE"/>
              </w:rPr>
            </w:pPr>
            <w:r w:rsidRPr="00E3458A">
              <w:rPr>
                <w:color w:val="006100"/>
                <w:sz w:val="18"/>
                <w:lang w:val="en-IE"/>
              </w:rPr>
              <w:t xml:space="preserve">Adopt a </w:t>
            </w:r>
            <w:r>
              <w:rPr>
                <w:rFonts w:eastAsia="Times New Roman"/>
                <w:noProof/>
                <w:color w:val="006100"/>
                <w:sz w:val="18"/>
                <w:szCs w:val="18"/>
                <w:lang w:val="en-IE"/>
              </w:rPr>
              <w:t>Price Regulation</w:t>
            </w:r>
            <w:r w:rsidRPr="00E3458A">
              <w:rPr>
                <w:color w:val="006100"/>
                <w:sz w:val="18"/>
                <w:lang w:val="en-IE"/>
              </w:rPr>
              <w:t xml:space="preserve"> methodology that reflects both fixed and operational costs of </w:t>
            </w:r>
            <w:r w:rsidRPr="01B834E3">
              <w:rPr>
                <w:rFonts w:eastAsia="Times New Roman"/>
                <w:noProof/>
                <w:color w:val="006100"/>
                <w:sz w:val="18"/>
                <w:szCs w:val="18"/>
                <w:lang w:val="en-IE"/>
              </w:rPr>
              <w:t>Transmission</w:t>
            </w:r>
            <w:r>
              <w:rPr>
                <w:rFonts w:eastAsia="Times New Roman"/>
                <w:noProof/>
                <w:color w:val="006100"/>
                <w:sz w:val="18"/>
                <w:szCs w:val="18"/>
                <w:lang w:val="en-IE"/>
              </w:rPr>
              <w:t xml:space="preserve"> System Operator (</w:t>
            </w:r>
            <w:r w:rsidRPr="00E3458A">
              <w:rPr>
                <w:color w:val="006100"/>
                <w:sz w:val="18"/>
                <w:lang w:val="en-IE"/>
              </w:rPr>
              <w:t>TSO</w:t>
            </w:r>
            <w:r>
              <w:rPr>
                <w:rFonts w:eastAsia="Times New Roman"/>
                <w:noProof/>
                <w:color w:val="006100"/>
                <w:sz w:val="18"/>
                <w:szCs w:val="18"/>
                <w:lang w:val="en-IE"/>
              </w:rPr>
              <w:t>)</w:t>
            </w:r>
            <w:r w:rsidRPr="00E3458A">
              <w:rPr>
                <w:color w:val="006100"/>
                <w:sz w:val="18"/>
                <w:lang w:val="en-IE"/>
              </w:rPr>
              <w:t xml:space="preserve"> and </w:t>
            </w:r>
            <w:r>
              <w:rPr>
                <w:rFonts w:eastAsia="Times New Roman"/>
                <w:noProof/>
                <w:color w:val="006100"/>
                <w:sz w:val="18"/>
                <w:szCs w:val="18"/>
                <w:lang w:val="en-IE"/>
              </w:rPr>
              <w:t>Distribution System Operators (</w:t>
            </w:r>
            <w:r w:rsidRPr="00E3458A">
              <w:rPr>
                <w:color w:val="006100"/>
                <w:sz w:val="18"/>
                <w:lang w:val="en-IE"/>
              </w:rPr>
              <w:t>DSOs</w:t>
            </w:r>
            <w:r>
              <w:rPr>
                <w:rFonts w:eastAsia="Times New Roman"/>
                <w:noProof/>
                <w:color w:val="006100"/>
                <w:sz w:val="18"/>
                <w:szCs w:val="18"/>
                <w:lang w:val="en-IE"/>
              </w:rPr>
              <w:t>)</w:t>
            </w:r>
            <w:r w:rsidRPr="00C03802">
              <w:rPr>
                <w:rFonts w:eastAsia="Times New Roman"/>
                <w:noProof/>
                <w:color w:val="006100"/>
                <w:sz w:val="18"/>
                <w:szCs w:val="18"/>
                <w:lang w:val="en-IE"/>
              </w:rPr>
              <w:t>,</w:t>
            </w:r>
            <w:r w:rsidRPr="00E3458A">
              <w:rPr>
                <w:color w:val="006100"/>
                <w:sz w:val="18"/>
                <w:lang w:val="en-IE"/>
              </w:rPr>
              <w:t xml:space="preserve"> including capital and operational expenditure, and provides clear, performance-based incentives for investments in grid efficiency, flexibility services and innovation (for example digitalisation</w:t>
            </w:r>
            <w:r>
              <w:rPr>
                <w:rFonts w:eastAsia="Times New Roman"/>
                <w:noProof/>
                <w:color w:val="006100"/>
                <w:sz w:val="18"/>
                <w:szCs w:val="18"/>
                <w:lang w:val="en-IE"/>
              </w:rPr>
              <w:t xml:space="preserve"> and</w:t>
            </w:r>
            <w:r w:rsidRPr="00E3458A">
              <w:rPr>
                <w:color w:val="006100"/>
                <w:sz w:val="18"/>
                <w:lang w:val="en-IE"/>
              </w:rPr>
              <w:t xml:space="preserve"> demand response).</w:t>
            </w:r>
          </w:p>
          <w:p w:rsidRPr="005E54BC" w:rsidR="00D87E44" w:rsidP="00FF1320" w:rsidRDefault="00D87E44" w14:paraId="15458A0D" w14:textId="77777777">
            <w:pPr>
              <w:pStyle w:val="ListParagraph"/>
              <w:numPr>
                <w:ilvl w:val="0"/>
                <w:numId w:val="86"/>
              </w:numPr>
              <w:spacing w:after="160" w:line="259" w:lineRule="auto"/>
              <w:rPr>
                <w:rFonts w:eastAsia="Times New Roman"/>
                <w:noProof/>
                <w:color w:val="006100"/>
                <w:sz w:val="18"/>
                <w:szCs w:val="18"/>
                <w:lang w:val="en-IE"/>
              </w:rPr>
            </w:pPr>
            <w:r w:rsidRPr="00E3458A">
              <w:rPr>
                <w:color w:val="006100"/>
                <w:sz w:val="18"/>
                <w:lang w:val="en-IE"/>
              </w:rPr>
              <w:t>Require DSOs to include in their network development plans information on flexibility services, potential demand response, energy efficiency, energy storage facilities resources the DSO intend to use or invest in as an alternative to system expansion.</w:t>
            </w:r>
          </w:p>
        </w:tc>
      </w:tr>
    </w:tbl>
    <w:p w:rsidRPr="00FE48E2" w:rsidR="00D87E44" w:rsidP="00D226F4" w:rsidRDefault="00D87E44" w14:paraId="15458A0F" w14:textId="77777777">
      <w:pPr>
        <w:spacing w:before="0" w:after="0" w:line="240" w:lineRule="auto"/>
        <w:rPr>
          <w:rFonts w:eastAsia="Times New Roman"/>
          <w:b/>
          <w:noProof/>
          <w:color w:val="000000" w:themeColor="text1"/>
          <w:sz w:val="18"/>
          <w:szCs w:val="18"/>
          <w:lang w:val="en-IE"/>
        </w:rPr>
        <w:sectPr w:rsidRPr="00FE48E2" w:rsidR="00C16C1F" w:rsidSect="00D226F4">
          <w:headerReference w:type="even" r:id="R33804cd574a0404d"/>
          <w:headerReference w:type="default" r:id="R6679dea8abbc4377"/>
          <w:footerReference w:type="even" r:id="Re38a4ff08d874e47"/>
          <w:footerReference w:type="default" r:id="R6f307c9b2fc54ed1"/>
          <w:headerReference w:type="first" r:id="Rdf534d55b467445d"/>
          <w:footerReference w:type="first" r:id="R49499027b1524bdf"/>
          <w:pgSz w:w="16839" w:h="11907" w:orient="landscape"/>
          <w:pgMar w:top="1134" w:right="1134" w:bottom="1134" w:left="1134" w:header="567" w:footer="567" w:gutter="0"/>
          <w:cols w:space="720"/>
          <w:docGrid w:linePitch="360"/>
        </w:sectPr>
      </w:pPr>
    </w:p>
    <w:p w:rsidRPr="00FE48E2" w:rsidR="00D87E44" w:rsidP="00D226F4" w:rsidRDefault="00D87E44" w14:paraId="15458A10"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FF. COMPONENT 7.2 Supporting decentralisation and digitalisation of the energy sector (REPOWER EU)</w:t>
      </w:r>
    </w:p>
    <w:p w:rsidRPr="00FE48E2" w:rsidR="00D87E44" w:rsidP="00D226F4" w:rsidRDefault="00D87E44" w14:paraId="15458A11" w14:textId="77777777">
      <w:pPr>
        <w:pBdr>
          <w:top w:val="nil"/>
          <w:left w:val="nil"/>
          <w:bottom w:val="nil"/>
          <w:right w:val="nil"/>
          <w:between w:val="nil"/>
        </w:pBdr>
        <w:tabs>
          <w:tab w:val="left" w:pos="993"/>
        </w:tabs>
        <w:spacing w:line="240" w:lineRule="auto"/>
        <w:jc w:val="both"/>
        <w:rPr>
          <w:rFonts w:eastAsia="Times New Roman"/>
          <w:noProof/>
          <w:color w:val="000000" w:themeColor="text1"/>
          <w:lang w:val="en-IE" w:eastAsia="cs-CZ"/>
        </w:rPr>
      </w:pPr>
      <w:r w:rsidRPr="00FE48E2">
        <w:rPr>
          <w:rFonts w:eastAsia="Times New Roman"/>
          <w:noProof/>
          <w:color w:val="000000" w:themeColor="text1"/>
          <w:lang w:val="en-IE" w:eastAsia="cs-CZ"/>
        </w:rPr>
        <w:t xml:space="preserve">The objective of the component is to support the transition towards a new energy system based on decentralized renewable energy generation, digitalisation and increased participation of citizens. The component contributes to facilitate the uptake of new activities in the electricity sector such as storage, aggregation, energy sharing and new uses that support the flexibility and the decarbonisation of the entire electricity system. </w:t>
      </w:r>
    </w:p>
    <w:p w:rsidRPr="00FE48E2" w:rsidR="00D87E44" w:rsidP="00D226F4" w:rsidRDefault="00D87E44" w14:paraId="15458A12" w14:textId="77777777">
      <w:pPr>
        <w:tabs>
          <w:tab w:val="left" w:pos="993"/>
        </w:tabs>
        <w:spacing w:line="240" w:lineRule="auto"/>
        <w:jc w:val="both"/>
        <w:rPr>
          <w:rFonts w:eastAsia="Times New Roman"/>
          <w:noProof/>
          <w:color w:val="000000" w:themeColor="text1"/>
          <w:lang w:val="en-IE"/>
        </w:rPr>
      </w:pPr>
      <w:r w:rsidRPr="00FE48E2">
        <w:rPr>
          <w:rFonts w:eastAsia="Times New Roman"/>
          <w:noProof/>
          <w:lang w:val="en-IE"/>
        </w:rPr>
        <w:t>The component supports addressing the country specific recommendation to</w:t>
      </w:r>
      <w:r w:rsidRPr="00FE48E2">
        <w:rPr>
          <w:rFonts w:eastAsia="Times New Roman"/>
          <w:noProof/>
          <w:color w:val="000000" w:themeColor="text1"/>
          <w:lang w:val="en-IE"/>
        </w:rPr>
        <w:t xml:space="preserve"> reduce overall reliance on, and consumption of fossil fuels by accelerating the deployment of renewables and facilitating their integration into the electricity system (Country Specific Recommendation 4, 2022).</w:t>
      </w:r>
    </w:p>
    <w:p w:rsidRPr="00FE48E2" w:rsidR="00D87E44" w:rsidP="00D226F4" w:rsidRDefault="00D87E44" w14:paraId="15458A13" w14:textId="77777777">
      <w:pPr>
        <w:tabs>
          <w:tab w:val="left" w:pos="993"/>
        </w:tabs>
        <w:spacing w:line="240" w:lineRule="auto"/>
        <w:jc w:val="both"/>
        <w:rPr>
          <w:rFonts w:eastAsia="Times New Roman"/>
          <w:noProof/>
          <w:color w:val="000000" w:themeColor="text1"/>
          <w:lang w:val="en-IE"/>
        </w:rPr>
      </w:pPr>
    </w:p>
    <w:p w:rsidRPr="00FE48E2" w:rsidR="00D87E44" w:rsidP="00D226F4" w:rsidRDefault="00D87E44" w14:paraId="15458A14" w14:textId="77777777">
      <w:pPr>
        <w:tabs>
          <w:tab w:val="left" w:pos="993"/>
        </w:tabs>
        <w:spacing w:line="240" w:lineRule="auto"/>
        <w:jc w:val="both"/>
        <w:rPr>
          <w:rFonts w:eastAsia="Times New Roman"/>
          <w:b/>
          <w:bCs/>
          <w:noProof/>
          <w:color w:val="000000" w:themeColor="text1"/>
          <w:u w:val="single"/>
          <w:lang w:val="en-IE" w:eastAsia="cs-CZ"/>
        </w:rPr>
      </w:pPr>
      <w:r w:rsidRPr="1B282876">
        <w:rPr>
          <w:b/>
          <w:bCs/>
          <w:noProof/>
          <w:color w:val="000000" w:themeColor="text1"/>
          <w:u w:val="single"/>
          <w:lang w:val="en-IE"/>
        </w:rPr>
        <w:t>FF.1. Description of the reforms and investments for non-repayable financial support</w:t>
      </w:r>
    </w:p>
    <w:p w:rsidRPr="00FE48E2" w:rsidR="00D87E44" w:rsidP="00D226F4" w:rsidRDefault="00D87E44" w14:paraId="15458A15" w14:textId="77777777">
      <w:pPr>
        <w:pBdr>
          <w:top w:val="nil"/>
          <w:left w:val="nil"/>
          <w:bottom w:val="nil"/>
          <w:right w:val="nil"/>
          <w:between w:val="nil"/>
        </w:pBdr>
        <w:tabs>
          <w:tab w:val="left" w:pos="993"/>
        </w:tabs>
        <w:spacing w:line="240" w:lineRule="auto"/>
        <w:jc w:val="both"/>
        <w:rPr>
          <w:rFonts w:eastAsia="Times New Roman"/>
          <w:b/>
          <w:bCs/>
          <w:noProof/>
          <w:color w:val="000000" w:themeColor="text1"/>
          <w:lang w:val="en-IE" w:eastAsia="cs-CZ"/>
        </w:rPr>
      </w:pPr>
      <w:r>
        <w:rPr>
          <w:rFonts w:eastAsia="Times New Roman"/>
          <w:b/>
          <w:bCs/>
          <w:noProof/>
          <w:color w:val="000000" w:themeColor="text1"/>
          <w:lang w:val="en-IE" w:eastAsia="cs-CZ"/>
        </w:rPr>
        <w:t>Reform</w:t>
      </w:r>
      <w:r w:rsidRPr="0E823E62">
        <w:rPr>
          <w:rFonts w:eastAsia="Times New Roman"/>
          <w:b/>
          <w:bCs/>
          <w:noProof/>
          <w:color w:val="000000" w:themeColor="text1"/>
          <w:lang w:val="en-IE" w:eastAsia="cs-CZ"/>
        </w:rPr>
        <w:t xml:space="preserve"> </w:t>
      </w:r>
      <w:r>
        <w:rPr>
          <w:rFonts w:eastAsia="Times New Roman"/>
          <w:b/>
          <w:bCs/>
          <w:noProof/>
          <w:color w:val="000000" w:themeColor="text1"/>
          <w:lang w:val="en-IE" w:eastAsia="cs-CZ"/>
        </w:rPr>
        <w:t>3</w:t>
      </w:r>
      <w:r w:rsidRPr="0E823E62">
        <w:rPr>
          <w:rFonts w:eastAsia="Times New Roman"/>
          <w:b/>
          <w:bCs/>
          <w:noProof/>
          <w:color w:val="000000" w:themeColor="text1"/>
          <w:lang w:val="en-IE" w:eastAsia="cs-CZ"/>
        </w:rPr>
        <w:t>: Electricity Data Centre</w:t>
      </w:r>
    </w:p>
    <w:p w:rsidR="00D87E44" w:rsidP="00D226F4" w:rsidRDefault="00D87E44" w14:paraId="15458A16" w14:textId="77777777">
      <w:pPr>
        <w:spacing w:after="0" w:line="240" w:lineRule="auto"/>
        <w:jc w:val="both"/>
        <w:rPr>
          <w:rFonts w:eastAsia="Times New Roman"/>
          <w:noProof/>
          <w:color w:val="000000" w:themeColor="text1"/>
          <w:lang w:val="en-IE"/>
        </w:rPr>
      </w:pPr>
      <w:r w:rsidRPr="0E823E62">
        <w:rPr>
          <w:rFonts w:eastAsia="Times New Roman"/>
          <w:noProof/>
          <w:color w:val="000000" w:themeColor="text1"/>
          <w:lang w:val="en-IE"/>
        </w:rPr>
        <w:t xml:space="preserve">The objective of the measure is to </w:t>
      </w:r>
      <w:r>
        <w:rPr>
          <w:rFonts w:eastAsia="Times New Roman"/>
          <w:noProof/>
          <w:color w:val="000000" w:themeColor="text1"/>
          <w:lang w:val="en-IE"/>
        </w:rPr>
        <w:t>enable and regulate electricity sharing among electricity market operators, enhance flexibility and integrate energy storage in the system.</w:t>
      </w:r>
    </w:p>
    <w:p w:rsidRPr="00FE48E2" w:rsidR="00D87E44" w:rsidP="00D226F4" w:rsidRDefault="00D87E44" w14:paraId="15458A17" w14:textId="77777777">
      <w:pPr>
        <w:spacing w:after="0" w:line="240" w:lineRule="auto"/>
        <w:jc w:val="both"/>
        <w:rPr>
          <w:rFonts w:eastAsia="Times New Roman"/>
          <w:noProof/>
          <w:lang w:val="en-IE"/>
        </w:rPr>
      </w:pPr>
      <w:r>
        <w:rPr>
          <w:rFonts w:eastAsia="Times New Roman"/>
          <w:noProof/>
          <w:color w:val="000000" w:themeColor="text1"/>
          <w:lang w:val="en-IE"/>
        </w:rPr>
        <w:t>This</w:t>
      </w:r>
      <w:r>
        <w:rPr>
          <w:rFonts w:eastAsia="Times New Roman"/>
          <w:noProof/>
          <w:color w:val="000000" w:themeColor="text1"/>
          <w:lang w:val="en-IE"/>
        </w:rPr>
        <w:t xml:space="preserve"> reform consists of</w:t>
      </w:r>
      <w:r w:rsidRPr="00CC7B77">
        <w:rPr>
          <w:rFonts w:eastAsia="Times New Roman"/>
          <w:noProof/>
          <w:color w:val="000000" w:themeColor="text1"/>
        </w:rPr>
        <w:t xml:space="preserve"> the entry into force of the legal framework for the creation of the</w:t>
      </w:r>
      <w:r w:rsidRPr="0E823E62">
        <w:rPr>
          <w:rFonts w:eastAsia="Times New Roman"/>
          <w:noProof/>
          <w:color w:val="000000" w:themeColor="text1"/>
          <w:lang w:val="en-IE"/>
        </w:rPr>
        <w:t xml:space="preserve"> Electricity Data Centre (EDC)</w:t>
      </w:r>
      <w:r>
        <w:rPr>
          <w:rFonts w:eastAsia="Times New Roman"/>
          <w:noProof/>
          <w:color w:val="000000" w:themeColor="text1"/>
          <w:lang w:val="en-IE"/>
        </w:rPr>
        <w:t xml:space="preserve"> </w:t>
      </w:r>
      <w:r w:rsidRPr="00CC7B77">
        <w:rPr>
          <w:rFonts w:eastAsia="Times New Roman"/>
          <w:noProof/>
          <w:color w:val="000000" w:themeColor="text1"/>
        </w:rPr>
        <w:t>and its functionalities</w:t>
      </w:r>
      <w:r w:rsidRPr="18ED386D">
        <w:rPr>
          <w:rFonts w:eastAsia="Times New Roman"/>
          <w:noProof/>
          <w:lang w:val="en-IE"/>
        </w:rPr>
        <w:t>.</w:t>
      </w:r>
    </w:p>
    <w:p w:rsidRPr="00FE48E2" w:rsidR="00D87E44" w:rsidP="00D226F4" w:rsidRDefault="00D87E44" w14:paraId="15458A18" w14:textId="77777777">
      <w:pPr>
        <w:tabs>
          <w:tab w:val="left" w:pos="993"/>
        </w:tabs>
        <w:spacing w:line="240" w:lineRule="auto"/>
        <w:jc w:val="both"/>
        <w:rPr>
          <w:rFonts w:eastAsia="Times New Roman"/>
          <w:noProof/>
          <w:color w:val="000000" w:themeColor="text1"/>
          <w:lang w:val="en-IE"/>
        </w:rPr>
      </w:pPr>
      <w:r w:rsidRPr="00FE48E2">
        <w:rPr>
          <w:rFonts w:eastAsia="Times New Roman"/>
          <w:b/>
          <w:noProof/>
          <w:color w:val="000000" w:themeColor="text1"/>
          <w:lang w:val="en-IE" w:eastAsia="cs-CZ"/>
        </w:rPr>
        <w:t>Reform 1: Energy communities</w:t>
      </w:r>
    </w:p>
    <w:p w:rsidRPr="00FE48E2" w:rsidR="00D87E44" w:rsidP="00D226F4" w:rsidRDefault="00D87E44" w14:paraId="15458A19" w14:textId="77777777">
      <w:pPr>
        <w:spacing w:after="160" w:line="240" w:lineRule="auto"/>
        <w:jc w:val="both"/>
        <w:rPr>
          <w:rFonts w:eastAsia="Times New Roman"/>
          <w:noProof/>
          <w:szCs w:val="24"/>
          <w:lang w:val="en-IE"/>
        </w:rPr>
      </w:pPr>
      <w:r w:rsidRPr="00FE48E2">
        <w:rPr>
          <w:rFonts w:eastAsia="Times New Roman"/>
          <w:noProof/>
          <w:szCs w:val="24"/>
          <w:lang w:val="en-IE"/>
        </w:rPr>
        <w:t xml:space="preserve">The objective of the </w:t>
      </w:r>
      <w:r>
        <w:rPr>
          <w:rFonts w:eastAsia="Times New Roman"/>
          <w:noProof/>
          <w:szCs w:val="24"/>
          <w:lang w:val="en-IE"/>
        </w:rPr>
        <w:t>measure</w:t>
      </w:r>
      <w:r w:rsidRPr="00FE48E2">
        <w:rPr>
          <w:rFonts w:eastAsia="Times New Roman"/>
          <w:noProof/>
          <w:szCs w:val="24"/>
          <w:lang w:val="en-IE"/>
        </w:rPr>
        <w:t xml:space="preserve"> is to incentivi</w:t>
      </w:r>
      <w:r>
        <w:rPr>
          <w:rFonts w:eastAsia="Times New Roman"/>
          <w:noProof/>
          <w:szCs w:val="24"/>
          <w:lang w:val="en-IE"/>
        </w:rPr>
        <w:t xml:space="preserve">se </w:t>
      </w:r>
      <w:r w:rsidRPr="00FE48E2">
        <w:rPr>
          <w:rFonts w:eastAsia="Times New Roman"/>
          <w:noProof/>
          <w:szCs w:val="24"/>
          <w:lang w:val="en-IE"/>
        </w:rPr>
        <w:t>and facilitat</w:t>
      </w:r>
      <w:r>
        <w:rPr>
          <w:rFonts w:eastAsia="Times New Roman"/>
          <w:noProof/>
          <w:szCs w:val="24"/>
          <w:lang w:val="en-IE"/>
        </w:rPr>
        <w:t>e</w:t>
      </w:r>
      <w:r w:rsidRPr="00FE48E2">
        <w:rPr>
          <w:rFonts w:eastAsia="Times New Roman"/>
          <w:noProof/>
          <w:szCs w:val="24"/>
          <w:lang w:val="en-IE"/>
        </w:rPr>
        <w:t xml:space="preserve"> the </w:t>
      </w:r>
      <w:r>
        <w:rPr>
          <w:rFonts w:eastAsia="Times New Roman"/>
          <w:noProof/>
          <w:szCs w:val="24"/>
          <w:lang w:val="en-IE"/>
        </w:rPr>
        <w:t>creation of</w:t>
      </w:r>
      <w:r w:rsidRPr="00FE48E2">
        <w:rPr>
          <w:rFonts w:eastAsia="Times New Roman"/>
          <w:noProof/>
          <w:szCs w:val="24"/>
          <w:lang w:val="en-IE"/>
        </w:rPr>
        <w:t xml:space="preserve"> renewable energy communities. The reform </w:t>
      </w:r>
      <w:r>
        <w:rPr>
          <w:rFonts w:eastAsia="Times New Roman"/>
          <w:noProof/>
          <w:szCs w:val="24"/>
          <w:lang w:val="en-IE"/>
        </w:rPr>
        <w:t>consists of a regulatory framework and incentives for energy communities.</w:t>
      </w:r>
      <w:r w:rsidRPr="00FE48E2">
        <w:rPr>
          <w:rFonts w:eastAsia="Times New Roman"/>
          <w:noProof/>
          <w:szCs w:val="24"/>
          <w:lang w:val="en-IE"/>
        </w:rPr>
        <w:t xml:space="preserve"> </w:t>
      </w:r>
    </w:p>
    <w:p w:rsidRPr="00FE48E2" w:rsidR="00D87E44" w:rsidP="00D226F4" w:rsidRDefault="00D87E44" w14:paraId="15458A1A" w14:textId="77777777">
      <w:pPr>
        <w:pBdr>
          <w:top w:val="nil"/>
          <w:left w:val="nil"/>
          <w:bottom w:val="nil"/>
          <w:right w:val="nil"/>
          <w:between w:val="nil"/>
        </w:pBdr>
        <w:tabs>
          <w:tab w:val="left" w:pos="993"/>
        </w:tabs>
        <w:spacing w:line="240" w:lineRule="auto"/>
        <w:jc w:val="both"/>
        <w:rPr>
          <w:rFonts w:eastAsia="Times New Roman"/>
          <w:b/>
          <w:noProof/>
          <w:color w:val="000000" w:themeColor="text1"/>
          <w:lang w:val="en-IE" w:eastAsia="cs-CZ"/>
        </w:rPr>
      </w:pPr>
      <w:r w:rsidRPr="00461332">
        <w:rPr>
          <w:rFonts w:eastAsia="Times New Roman"/>
          <w:b/>
          <w:noProof/>
          <w:color w:val="000000" w:themeColor="text1"/>
          <w:lang w:val="en-IE" w:eastAsia="cs-CZ"/>
        </w:rPr>
        <w:t>Reform 2</w:t>
      </w:r>
      <w:r w:rsidRPr="00461332">
        <w:rPr>
          <w:rFonts w:eastAsia="Times New Roman"/>
          <w:b/>
          <w:noProof/>
          <w:color w:val="000000" w:themeColor="text1"/>
          <w:szCs w:val="24"/>
          <w:lang w:val="en-IE" w:eastAsia="cs-CZ"/>
        </w:rPr>
        <w:t>:</w:t>
      </w:r>
      <w:r w:rsidRPr="00461332">
        <w:rPr>
          <w:rFonts w:eastAsia="Times New Roman"/>
          <w:b/>
          <w:noProof/>
          <w:color w:val="000000" w:themeColor="text1"/>
          <w:lang w:val="en-IE" w:eastAsia="cs-CZ"/>
        </w:rPr>
        <w:t xml:space="preserve"> Energy Storage and Non fossil flexibility framework</w:t>
      </w:r>
    </w:p>
    <w:p w:rsidRPr="00FE48E2" w:rsidR="00D87E44" w:rsidP="00D226F4" w:rsidRDefault="00D87E44" w14:paraId="15458A1B" w14:textId="77777777">
      <w:pPr>
        <w:spacing w:line="240" w:lineRule="auto"/>
        <w:jc w:val="both"/>
        <w:rPr>
          <w:rFonts w:eastAsia="Times New Roman"/>
          <w:noProof/>
          <w:lang w:val="en-IE"/>
        </w:rPr>
      </w:pPr>
      <w:r w:rsidRPr="3A585E02">
        <w:rPr>
          <w:rFonts w:eastAsia="Times New Roman"/>
          <w:noProof/>
          <w:lang w:val="en-IE"/>
        </w:rPr>
        <w:t xml:space="preserve">This measure aims at establishing a comprehension regulatory framework for flexibility services, for example energy storage, demand response, aggregation. The objective is to promote the development of innovative technical, technological and software solutions for energy flows optimization to ensure integration of renewable energy sources to the grid and enable the electricity system to adjust to the variability of electricity generation and consumption across different time horizons.  </w:t>
      </w:r>
    </w:p>
    <w:p w:rsidRPr="00FE48E2" w:rsidR="00D87E44" w:rsidP="00D226F4" w:rsidRDefault="00D87E44" w14:paraId="15458A1C" w14:textId="77777777">
      <w:pPr>
        <w:spacing w:after="160" w:line="240" w:lineRule="auto"/>
        <w:jc w:val="both"/>
        <w:rPr>
          <w:rFonts w:eastAsia="Times New Roman"/>
          <w:noProof/>
          <w:szCs w:val="24"/>
          <w:lang w:val="en-IE"/>
        </w:rPr>
      </w:pPr>
      <w:r w:rsidRPr="00FE48E2">
        <w:rPr>
          <w:rFonts w:eastAsia="Times New Roman"/>
          <w:noProof/>
          <w:szCs w:val="24"/>
          <w:lang w:val="en-IE"/>
        </w:rPr>
        <w:t xml:space="preserve">Furthermore, the reform aims to ensure the participation of energy communities, aggregators, self-consumers, active customers, energy storage assets, industrial demand response participants to the electricity market, while increasing overall flexibility of electricity system and decreasing the use of fossil fuels. </w:t>
      </w:r>
    </w:p>
    <w:p w:rsidRPr="00FE48E2" w:rsidR="00D87E44" w:rsidP="00D226F4" w:rsidRDefault="00D87E44" w14:paraId="15458A1D" w14:textId="77777777">
      <w:pPr>
        <w:spacing w:after="160" w:line="240" w:lineRule="auto"/>
        <w:jc w:val="both"/>
        <w:rPr>
          <w:rFonts w:eastAsia="Times New Roman"/>
          <w:noProof/>
          <w:lang w:val="en-IE"/>
        </w:rPr>
      </w:pPr>
      <w:r w:rsidRPr="2693E75F">
        <w:rPr>
          <w:rFonts w:eastAsia="Times New Roman"/>
          <w:noProof/>
          <w:lang w:val="en-IE"/>
        </w:rPr>
        <w:t xml:space="preserve">The reform shall ensure the market for non-fossil flexibility solutions is open to all participants coming from other Member States and shall not unduly restric such participation.. </w:t>
      </w:r>
    </w:p>
    <w:p w:rsidRPr="00FE48E2" w:rsidR="00D87E44" w:rsidP="00D226F4" w:rsidRDefault="00D87E44" w14:paraId="15458A1E" w14:textId="77777777">
      <w:pPr>
        <w:spacing w:line="240" w:lineRule="auto"/>
        <w:jc w:val="both"/>
        <w:rPr>
          <w:rFonts w:eastAsia="Times New Roman"/>
          <w:noProof/>
          <w:szCs w:val="24"/>
          <w:lang w:val="en-IE"/>
        </w:rPr>
      </w:pPr>
      <w:r w:rsidRPr="00FE48E2">
        <w:rPr>
          <w:rFonts w:eastAsia="Times New Roman"/>
          <w:noProof/>
          <w:szCs w:val="24"/>
          <w:lang w:val="en-IE"/>
        </w:rPr>
        <w:t>The legislation sh</w:t>
      </w:r>
      <w:r>
        <w:rPr>
          <w:rFonts w:eastAsia="Times New Roman"/>
          <w:noProof/>
          <w:szCs w:val="24"/>
          <w:lang w:val="en-IE"/>
        </w:rPr>
        <w:t>all</w:t>
      </w:r>
      <w:r w:rsidRPr="00FE48E2">
        <w:rPr>
          <w:rFonts w:eastAsia="Times New Roman"/>
          <w:noProof/>
          <w:szCs w:val="24"/>
          <w:lang w:val="en-IE"/>
        </w:rPr>
        <w:t xml:space="preserve"> facilitate market-based commercial energy storage investments and </w:t>
      </w:r>
      <w:r>
        <w:rPr>
          <w:rFonts w:eastAsia="Times New Roman"/>
          <w:noProof/>
          <w:szCs w:val="24"/>
          <w:lang w:val="en-IE"/>
        </w:rPr>
        <w:t>aims to</w:t>
      </w:r>
      <w:r w:rsidRPr="00FE48E2">
        <w:rPr>
          <w:rFonts w:eastAsia="Times New Roman"/>
          <w:noProof/>
          <w:szCs w:val="24"/>
          <w:lang w:val="en-IE"/>
        </w:rPr>
        <w:t xml:space="preserve"> be accompanied by additional financial support schemes to increase energy storage facilities.</w:t>
      </w:r>
    </w:p>
    <w:p w:rsidRPr="00FE48E2" w:rsidR="00D87E44" w:rsidP="00D226F4" w:rsidRDefault="00D87E44" w14:paraId="15458A1F" w14:textId="77777777">
      <w:pPr>
        <w:spacing w:line="240" w:lineRule="auto"/>
        <w:jc w:val="both"/>
        <w:rPr>
          <w:rFonts w:eastAsia="Times New Roman"/>
          <w:noProof/>
          <w:szCs w:val="24"/>
          <w:lang w:val="en-IE"/>
        </w:rPr>
      </w:pPr>
      <w:r w:rsidRPr="00FE48E2">
        <w:rPr>
          <w:rFonts w:eastAsia="Times New Roman"/>
          <w:noProof/>
          <w:szCs w:val="24"/>
          <w:lang w:val="en-IE"/>
        </w:rPr>
        <w:t>The reform shall be implemented by</w:t>
      </w:r>
      <w:r>
        <w:rPr>
          <w:rFonts w:eastAsia="Times New Roman"/>
          <w:noProof/>
          <w:szCs w:val="24"/>
          <w:lang w:val="en-IE"/>
        </w:rPr>
        <w:t xml:space="preserve"> </w:t>
      </w:r>
      <w:r w:rsidRPr="00FE48E2">
        <w:rPr>
          <w:rFonts w:eastAsia="Times New Roman"/>
          <w:noProof/>
          <w:szCs w:val="24"/>
          <w:lang w:val="en-IE"/>
        </w:rPr>
        <w:t>3</w:t>
      </w:r>
      <w:r w:rsidRPr="0A4DE686">
        <w:rPr>
          <w:rFonts w:eastAsia="Times New Roman"/>
          <w:noProof/>
          <w:lang w:val="en-IE"/>
        </w:rPr>
        <w:t>1</w:t>
      </w:r>
      <w:r w:rsidRPr="00FE48E2">
        <w:rPr>
          <w:rFonts w:eastAsia="Times New Roman"/>
          <w:noProof/>
          <w:szCs w:val="24"/>
          <w:lang w:val="en-IE"/>
        </w:rPr>
        <w:t xml:space="preserve"> </w:t>
      </w:r>
      <w:r w:rsidRPr="0A4DE686">
        <w:rPr>
          <w:rFonts w:eastAsia="Times New Roman"/>
          <w:noProof/>
          <w:lang w:val="en-IE"/>
        </w:rPr>
        <w:t>December</w:t>
      </w:r>
      <w:r w:rsidRPr="00FE48E2">
        <w:rPr>
          <w:rFonts w:eastAsia="Times New Roman"/>
          <w:noProof/>
          <w:szCs w:val="24"/>
          <w:lang w:val="en-IE"/>
        </w:rPr>
        <w:t xml:space="preserve"> 202</w:t>
      </w:r>
      <w:r w:rsidRPr="0A4DE686">
        <w:rPr>
          <w:rFonts w:eastAsia="Times New Roman"/>
          <w:noProof/>
          <w:lang w:val="en-IE"/>
        </w:rPr>
        <w:t>4</w:t>
      </w:r>
      <w:r w:rsidRPr="00FE48E2">
        <w:rPr>
          <w:rFonts w:eastAsia="Times New Roman"/>
          <w:noProof/>
          <w:szCs w:val="24"/>
          <w:lang w:val="en-IE"/>
        </w:rPr>
        <w:t>.</w:t>
      </w:r>
    </w:p>
    <w:p w:rsidRPr="00FE48E2" w:rsidR="00D87E44" w:rsidP="00D226F4" w:rsidRDefault="00D87E44" w14:paraId="15458A20" w14:textId="77777777">
      <w:pPr>
        <w:spacing w:after="0" w:line="259" w:lineRule="auto"/>
        <w:jc w:val="both"/>
        <w:rPr>
          <w:rFonts w:eastAsia="Times New Roman"/>
          <w:b/>
          <w:noProof/>
          <w:sz w:val="22"/>
          <w:szCs w:val="24"/>
          <w:highlight w:val="yellow"/>
          <w:lang w:val="en-IE"/>
        </w:rPr>
        <w:sectPr w:rsidRPr="00FE48E2" w:rsidR="00C16C1F" w:rsidSect="00D226F4">
          <w:headerReference w:type="even" r:id="Rc442eb6c7db94f65"/>
          <w:headerReference w:type="default" r:id="R3887f05cae264dbc"/>
          <w:footerReference w:type="even" r:id="R5d8dcd6d62614608"/>
          <w:footerReference w:type="default" r:id="Rd8148f97688644e5"/>
          <w:headerReference w:type="first" r:id="R38c0ba36b6584b71"/>
          <w:footerReference w:type="first" r:id="R1d504c9f14a64def"/>
          <w:pgSz w:w="11907" w:h="16839"/>
          <w:pgMar w:top="1134" w:right="1134" w:bottom="1134" w:left="1134" w:header="567" w:footer="567" w:gutter="0"/>
          <w:cols w:space="720"/>
          <w:docGrid w:linePitch="360"/>
        </w:sectPr>
      </w:pPr>
    </w:p>
    <w:p w:rsidRPr="00FE48E2" w:rsidR="00D87E44" w:rsidDel="00686E82" w:rsidP="00D226F4" w:rsidRDefault="00D87E44" w14:paraId="15458A21" w14:textId="77777777">
      <w:pPr>
        <w:spacing w:line="259" w:lineRule="auto"/>
        <w:jc w:val="both"/>
        <w:rPr>
          <w:rFonts w:eastAsia="Times New Roman"/>
          <w:b/>
          <w:bCs/>
          <w:noProof/>
          <w:color w:val="000000" w:themeColor="text1"/>
          <w:u w:val="single"/>
          <w:lang w:val="en-IE"/>
        </w:rPr>
      </w:pPr>
      <w:r w:rsidRPr="1B282876">
        <w:rPr>
          <w:rFonts w:eastAsia="Times New Roman"/>
          <w:b/>
          <w:bCs/>
          <w:noProof/>
          <w:color w:val="000000" w:themeColor="text1"/>
          <w:u w:val="single"/>
          <w:lang w:val="en-IE"/>
        </w:rPr>
        <w:lastRenderedPageBreak/>
        <w:t>FF.2. Milestones, targets, indicators, and timetable for monitoring and implementation for non-repayable financial support</w:t>
      </w:r>
    </w:p>
    <w:tbl>
      <w:tblPr>
        <w:tblW w:w="15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787"/>
        <w:gridCol w:w="1095"/>
        <w:gridCol w:w="1489"/>
        <w:gridCol w:w="1731"/>
        <w:gridCol w:w="955"/>
        <w:gridCol w:w="955"/>
        <w:gridCol w:w="955"/>
        <w:gridCol w:w="1040"/>
        <w:gridCol w:w="900"/>
        <w:gridCol w:w="3699"/>
      </w:tblGrid>
      <w:tr w:rsidRPr="00FE48E2" w:rsidR="00E3458A" w14:paraId="15458A2A" w14:textId="77777777">
        <w:trPr>
          <w:trHeight w:val="672"/>
          <w:tblHeader/>
          <w:jc w:val="center"/>
        </w:trPr>
        <w:tc>
          <w:tcPr>
            <w:tcW w:w="704" w:type="dxa"/>
            <w:vMerge w:val="restart"/>
            <w:shd w:val="clear" w:color="auto" w:fill="BDD7EE"/>
            <w:vAlign w:val="center"/>
            <w:hideMark/>
          </w:tcPr>
          <w:p w:rsidRPr="00FE48E2" w:rsidR="00D87E44" w:rsidRDefault="00D87E44" w14:paraId="15458A2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787" w:type="dxa"/>
            <w:vMerge w:val="restart"/>
            <w:shd w:val="clear" w:color="auto" w:fill="BDD7EE"/>
            <w:vAlign w:val="center"/>
            <w:hideMark/>
          </w:tcPr>
          <w:p w:rsidRPr="00FE48E2" w:rsidR="00D87E44" w:rsidRDefault="00D87E44" w14:paraId="15458A2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095" w:type="dxa"/>
            <w:vMerge w:val="restart"/>
            <w:shd w:val="clear" w:color="auto" w:fill="BDD7EE"/>
            <w:vAlign w:val="center"/>
            <w:hideMark/>
          </w:tcPr>
          <w:p w:rsidRPr="00FE48E2" w:rsidR="00D87E44" w:rsidRDefault="00D87E44" w14:paraId="15458A2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89" w:type="dxa"/>
            <w:vMerge w:val="restart"/>
            <w:shd w:val="clear" w:color="auto" w:fill="BDD7EE"/>
            <w:vAlign w:val="center"/>
            <w:hideMark/>
          </w:tcPr>
          <w:p w:rsidRPr="00FE48E2" w:rsidR="00D87E44" w:rsidRDefault="00D87E44" w14:paraId="15458A25"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31" w:type="dxa"/>
            <w:vMerge w:val="restart"/>
            <w:shd w:val="clear" w:color="auto" w:fill="BDD7EE"/>
            <w:vAlign w:val="center"/>
            <w:hideMark/>
          </w:tcPr>
          <w:p w:rsidRPr="00FE48E2" w:rsidR="00D87E44" w:rsidRDefault="00D87E44" w14:paraId="15458A26"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865" w:type="dxa"/>
            <w:gridSpan w:val="3"/>
            <w:shd w:val="clear" w:color="auto" w:fill="BDD7EE"/>
            <w:vAlign w:val="center"/>
            <w:hideMark/>
          </w:tcPr>
          <w:p w:rsidRPr="00FE48E2" w:rsidR="00D87E44" w:rsidRDefault="00D87E44" w14:paraId="15458A27"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940" w:type="dxa"/>
            <w:gridSpan w:val="2"/>
            <w:shd w:val="clear" w:color="auto" w:fill="BDD7EE"/>
            <w:vAlign w:val="center"/>
            <w:hideMark/>
          </w:tcPr>
          <w:p w:rsidRPr="00FE48E2" w:rsidR="00D87E44" w:rsidRDefault="00D87E44" w14:paraId="15458A28"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699" w:type="dxa"/>
            <w:vMerge w:val="restart"/>
            <w:shd w:val="clear" w:color="auto" w:fill="BDD7EE"/>
            <w:vAlign w:val="center"/>
            <w:hideMark/>
          </w:tcPr>
          <w:p w:rsidRPr="00FE48E2" w:rsidR="00D87E44" w:rsidRDefault="00D87E44" w14:paraId="15458A29"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A36" w14:textId="77777777">
        <w:trPr>
          <w:trHeight w:val="458"/>
          <w:tblHeader/>
          <w:jc w:val="center"/>
        </w:trPr>
        <w:tc>
          <w:tcPr>
            <w:tcW w:w="704" w:type="dxa"/>
            <w:vMerge/>
            <w:vAlign w:val="center"/>
            <w:hideMark/>
          </w:tcPr>
          <w:p w:rsidRPr="00FE48E2" w:rsidR="00D87E44" w:rsidRDefault="00D87E44" w14:paraId="15458A2B" w14:textId="77777777">
            <w:pPr>
              <w:spacing w:before="0" w:after="0" w:line="240" w:lineRule="auto"/>
              <w:rPr>
                <w:rFonts w:eastAsia="Times New Roman"/>
                <w:b/>
                <w:noProof/>
                <w:sz w:val="18"/>
                <w:szCs w:val="18"/>
                <w:lang w:val="en-IE"/>
              </w:rPr>
            </w:pPr>
          </w:p>
        </w:tc>
        <w:tc>
          <w:tcPr>
            <w:tcW w:w="1787" w:type="dxa"/>
            <w:vMerge/>
            <w:vAlign w:val="center"/>
            <w:hideMark/>
          </w:tcPr>
          <w:p w:rsidRPr="00FE48E2" w:rsidR="00D87E44" w:rsidRDefault="00D87E44" w14:paraId="15458A2C" w14:textId="77777777">
            <w:pPr>
              <w:spacing w:before="0" w:after="0" w:line="240" w:lineRule="auto"/>
              <w:rPr>
                <w:rFonts w:eastAsia="Times New Roman"/>
                <w:b/>
                <w:noProof/>
                <w:sz w:val="18"/>
                <w:szCs w:val="18"/>
                <w:lang w:val="en-IE"/>
              </w:rPr>
            </w:pPr>
          </w:p>
        </w:tc>
        <w:tc>
          <w:tcPr>
            <w:tcW w:w="1095" w:type="dxa"/>
            <w:vMerge/>
            <w:vAlign w:val="center"/>
            <w:hideMark/>
          </w:tcPr>
          <w:p w:rsidRPr="00FE48E2" w:rsidR="00D87E44" w:rsidRDefault="00D87E44" w14:paraId="15458A2D" w14:textId="77777777">
            <w:pPr>
              <w:spacing w:before="0" w:after="0" w:line="240" w:lineRule="auto"/>
              <w:rPr>
                <w:rFonts w:eastAsia="Times New Roman"/>
                <w:b/>
                <w:noProof/>
                <w:sz w:val="18"/>
                <w:szCs w:val="18"/>
                <w:lang w:val="en-IE"/>
              </w:rPr>
            </w:pPr>
          </w:p>
        </w:tc>
        <w:tc>
          <w:tcPr>
            <w:tcW w:w="1489" w:type="dxa"/>
            <w:vMerge/>
            <w:vAlign w:val="center"/>
            <w:hideMark/>
          </w:tcPr>
          <w:p w:rsidRPr="00FE48E2" w:rsidR="00D87E44" w:rsidRDefault="00D87E44" w14:paraId="15458A2E" w14:textId="77777777">
            <w:pPr>
              <w:spacing w:before="0" w:after="0" w:line="240" w:lineRule="auto"/>
              <w:rPr>
                <w:rFonts w:eastAsia="Times New Roman"/>
                <w:b/>
                <w:noProof/>
                <w:sz w:val="18"/>
                <w:szCs w:val="18"/>
                <w:lang w:val="en-IE"/>
              </w:rPr>
            </w:pPr>
          </w:p>
        </w:tc>
        <w:tc>
          <w:tcPr>
            <w:tcW w:w="1731" w:type="dxa"/>
            <w:vMerge/>
            <w:vAlign w:val="center"/>
            <w:hideMark/>
          </w:tcPr>
          <w:p w:rsidRPr="00FE48E2" w:rsidR="00D87E44" w:rsidRDefault="00D87E44" w14:paraId="15458A2F" w14:textId="77777777">
            <w:pPr>
              <w:spacing w:before="0" w:after="0" w:line="240" w:lineRule="auto"/>
              <w:rPr>
                <w:rFonts w:eastAsia="Times New Roman"/>
                <w:b/>
                <w:noProof/>
                <w:sz w:val="18"/>
                <w:szCs w:val="18"/>
                <w:lang w:val="en-IE"/>
              </w:rPr>
            </w:pPr>
          </w:p>
        </w:tc>
        <w:tc>
          <w:tcPr>
            <w:tcW w:w="955" w:type="dxa"/>
            <w:shd w:val="clear" w:color="auto" w:fill="BDD7EE"/>
            <w:vAlign w:val="center"/>
            <w:hideMark/>
          </w:tcPr>
          <w:p w:rsidRPr="00FE48E2" w:rsidR="00D87E44" w:rsidRDefault="00D87E44" w14:paraId="15458A3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Unit of measure</w:t>
            </w:r>
          </w:p>
        </w:tc>
        <w:tc>
          <w:tcPr>
            <w:tcW w:w="955" w:type="dxa"/>
            <w:shd w:val="clear" w:color="auto" w:fill="BDD7EE"/>
            <w:vAlign w:val="center"/>
            <w:hideMark/>
          </w:tcPr>
          <w:p w:rsidRPr="00FE48E2" w:rsidR="00D87E44" w:rsidRDefault="00D87E44" w14:paraId="15458A3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Baseline </w:t>
            </w:r>
          </w:p>
        </w:tc>
        <w:tc>
          <w:tcPr>
            <w:tcW w:w="955" w:type="dxa"/>
            <w:shd w:val="clear" w:color="auto" w:fill="BDD7EE"/>
            <w:vAlign w:val="center"/>
            <w:hideMark/>
          </w:tcPr>
          <w:p w:rsidRPr="00FE48E2" w:rsidR="00D87E44" w:rsidRDefault="00D87E44" w14:paraId="15458A3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Goal </w:t>
            </w:r>
          </w:p>
        </w:tc>
        <w:tc>
          <w:tcPr>
            <w:tcW w:w="1040" w:type="dxa"/>
            <w:shd w:val="clear" w:color="auto" w:fill="BDD7EE"/>
            <w:vAlign w:val="center"/>
            <w:hideMark/>
          </w:tcPr>
          <w:p w:rsidRPr="00FE48E2" w:rsidR="00D87E44" w:rsidRDefault="00D87E44" w14:paraId="15458A3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Quarter</w:t>
            </w:r>
          </w:p>
        </w:tc>
        <w:tc>
          <w:tcPr>
            <w:tcW w:w="900" w:type="dxa"/>
            <w:shd w:val="clear" w:color="auto" w:fill="BDD7EE"/>
            <w:vAlign w:val="center"/>
            <w:hideMark/>
          </w:tcPr>
          <w:p w:rsidRPr="00FE48E2" w:rsidR="00D87E44" w:rsidRDefault="00D87E44" w14:paraId="15458A3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Year</w:t>
            </w:r>
          </w:p>
        </w:tc>
        <w:tc>
          <w:tcPr>
            <w:tcW w:w="3699" w:type="dxa"/>
            <w:vMerge/>
            <w:vAlign w:val="center"/>
            <w:hideMark/>
          </w:tcPr>
          <w:p w:rsidRPr="00FE48E2" w:rsidR="00D87E44" w:rsidRDefault="00D87E44" w14:paraId="15458A35" w14:textId="77777777">
            <w:pPr>
              <w:spacing w:before="0" w:after="0" w:line="240" w:lineRule="auto"/>
              <w:rPr>
                <w:rFonts w:eastAsia="Times New Roman"/>
                <w:b/>
                <w:noProof/>
                <w:sz w:val="18"/>
                <w:szCs w:val="18"/>
                <w:lang w:val="en-IE"/>
              </w:rPr>
            </w:pPr>
          </w:p>
        </w:tc>
      </w:tr>
      <w:tr w:rsidRPr="00FE48E2" w:rsidR="00E3458A" w14:paraId="15458A49" w14:textId="77777777">
        <w:trPr>
          <w:trHeight w:val="309"/>
          <w:jc w:val="center"/>
        </w:trPr>
        <w:tc>
          <w:tcPr>
            <w:tcW w:w="704" w:type="dxa"/>
            <w:shd w:val="clear" w:color="auto" w:fill="C6EFCE"/>
            <w:hideMark/>
          </w:tcPr>
          <w:p w:rsidRPr="00FE48E2" w:rsidR="00D87E44" w:rsidRDefault="00D87E44" w14:paraId="15458A37" w14:textId="77777777">
            <w:pPr>
              <w:spacing w:before="0" w:after="0" w:line="240" w:lineRule="auto"/>
              <w:rPr>
                <w:rFonts w:eastAsia="Times New Roman"/>
                <w:noProof/>
                <w:color w:val="004300"/>
                <w:sz w:val="18"/>
                <w:szCs w:val="18"/>
                <w:lang w:val="en-IE"/>
              </w:rPr>
            </w:pPr>
            <w:r w:rsidRPr="00461332">
              <w:rPr>
                <w:rFonts w:eastAsia="Times New Roman"/>
                <w:noProof/>
                <w:color w:val="004300"/>
                <w:sz w:val="18"/>
                <w:szCs w:val="18"/>
                <w:lang w:val="en-IE"/>
              </w:rPr>
              <w:t>309</w:t>
            </w:r>
          </w:p>
        </w:tc>
        <w:tc>
          <w:tcPr>
            <w:tcW w:w="1787" w:type="dxa"/>
            <w:shd w:val="clear" w:color="auto" w:fill="C6EFCE"/>
            <w:hideMark/>
          </w:tcPr>
          <w:p w:rsidRPr="00FE48E2" w:rsidR="00D87E44" w:rsidRDefault="00D87E44" w14:paraId="15458A38" w14:textId="77777777">
            <w:pPr>
              <w:spacing w:before="0" w:after="0" w:line="240" w:lineRule="auto"/>
              <w:rPr>
                <w:rFonts w:eastAsia="Times New Roman"/>
                <w:noProof/>
                <w:color w:val="006100"/>
                <w:sz w:val="18"/>
                <w:szCs w:val="18"/>
                <w:lang w:val="en-IE"/>
              </w:rPr>
            </w:pPr>
            <w:r w:rsidRPr="2C643E7E">
              <w:rPr>
                <w:rFonts w:eastAsia="Times New Roman"/>
                <w:noProof/>
                <w:color w:val="006100"/>
                <w:sz w:val="18"/>
                <w:szCs w:val="18"/>
                <w:lang w:val="en-IE"/>
              </w:rPr>
              <w:t>Reform 3</w:t>
            </w:r>
            <w:r>
              <w:rPr>
                <w:rFonts w:eastAsia="Times New Roman"/>
                <w:noProof/>
                <w:color w:val="006100"/>
                <w:sz w:val="18"/>
                <w:szCs w:val="18"/>
                <w:lang w:val="en-IE"/>
              </w:rPr>
              <w:t>:</w:t>
            </w:r>
            <w:r w:rsidRPr="2C643E7E">
              <w:rPr>
                <w:rFonts w:eastAsia="Times New Roman"/>
                <w:noProof/>
                <w:color w:val="006100"/>
                <w:sz w:val="18"/>
                <w:szCs w:val="18"/>
                <w:lang w:val="en-IE"/>
              </w:rPr>
              <w:t xml:space="preserve"> </w:t>
            </w:r>
            <w:r w:rsidRPr="00FE48E2">
              <w:rPr>
                <w:rFonts w:eastAsia="Times New Roman"/>
                <w:noProof/>
                <w:color w:val="006100"/>
                <w:sz w:val="18"/>
                <w:szCs w:val="18"/>
                <w:lang w:val="en-IE"/>
              </w:rPr>
              <w:t>Electricity Data Centre</w:t>
            </w:r>
          </w:p>
          <w:p w:rsidRPr="00FE48E2" w:rsidR="00D87E44" w:rsidRDefault="00D87E44" w14:paraId="15458A39" w14:textId="77777777">
            <w:pPr>
              <w:spacing w:before="0" w:after="0" w:line="240" w:lineRule="auto"/>
              <w:rPr>
                <w:rFonts w:eastAsia="Times New Roman"/>
                <w:noProof/>
                <w:color w:val="004300"/>
                <w:sz w:val="18"/>
                <w:szCs w:val="18"/>
                <w:lang w:val="en-IE"/>
              </w:rPr>
            </w:pPr>
          </w:p>
        </w:tc>
        <w:tc>
          <w:tcPr>
            <w:tcW w:w="1095" w:type="dxa"/>
            <w:shd w:val="clear" w:color="auto" w:fill="C6EFCE"/>
            <w:hideMark/>
          </w:tcPr>
          <w:p w:rsidRPr="00FE48E2" w:rsidR="00D87E44" w:rsidRDefault="00D87E44" w14:paraId="15458A3A"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Milestone</w:t>
            </w:r>
          </w:p>
        </w:tc>
        <w:tc>
          <w:tcPr>
            <w:tcW w:w="1489" w:type="dxa"/>
            <w:shd w:val="clear" w:color="auto" w:fill="C6EFCE"/>
            <w:hideMark/>
          </w:tcPr>
          <w:p w:rsidRPr="00FE48E2" w:rsidR="00D87E44" w:rsidRDefault="00D87E44" w14:paraId="15458A3B"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Entry into force of the legislation establishing the Electricity Data Centre</w:t>
            </w:r>
          </w:p>
        </w:tc>
        <w:tc>
          <w:tcPr>
            <w:tcW w:w="1731" w:type="dxa"/>
            <w:shd w:val="clear" w:color="auto" w:fill="C6EFCE"/>
            <w:hideMark/>
          </w:tcPr>
          <w:p w:rsidRPr="00FE48E2" w:rsidR="00D87E44" w:rsidRDefault="00D87E44" w14:paraId="15458A3C"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Provision in the law indicating the entry into force of Electricity Data Centre</w:t>
            </w:r>
          </w:p>
        </w:tc>
        <w:tc>
          <w:tcPr>
            <w:tcW w:w="955" w:type="dxa"/>
            <w:shd w:val="clear" w:color="auto" w:fill="C6EFCE"/>
          </w:tcPr>
          <w:p w:rsidRPr="00FE48E2" w:rsidR="00D87E44" w:rsidRDefault="00D87E44" w14:paraId="15458A3D" w14:textId="77777777">
            <w:pPr>
              <w:spacing w:before="0" w:after="0" w:line="240" w:lineRule="auto"/>
              <w:rPr>
                <w:rFonts w:eastAsia="Times New Roman"/>
                <w:noProof/>
                <w:color w:val="004300"/>
                <w:sz w:val="18"/>
                <w:szCs w:val="18"/>
                <w:lang w:val="en-IE"/>
              </w:rPr>
            </w:pPr>
          </w:p>
        </w:tc>
        <w:tc>
          <w:tcPr>
            <w:tcW w:w="955" w:type="dxa"/>
            <w:shd w:val="clear" w:color="auto" w:fill="C6EFCE"/>
          </w:tcPr>
          <w:p w:rsidRPr="00FE48E2" w:rsidR="00D87E44" w:rsidRDefault="00D87E44" w14:paraId="15458A3E" w14:textId="77777777">
            <w:pPr>
              <w:spacing w:before="0" w:after="0" w:line="240" w:lineRule="auto"/>
              <w:rPr>
                <w:rFonts w:eastAsia="Times New Roman"/>
                <w:noProof/>
                <w:color w:val="004300"/>
                <w:sz w:val="18"/>
                <w:szCs w:val="18"/>
                <w:lang w:val="en-IE"/>
              </w:rPr>
            </w:pPr>
          </w:p>
        </w:tc>
        <w:tc>
          <w:tcPr>
            <w:tcW w:w="955" w:type="dxa"/>
            <w:shd w:val="clear" w:color="auto" w:fill="C6EFCE"/>
          </w:tcPr>
          <w:p w:rsidRPr="00FE48E2" w:rsidR="00D87E44" w:rsidRDefault="00D87E44" w14:paraId="15458A3F" w14:textId="77777777">
            <w:pPr>
              <w:spacing w:before="0" w:after="0" w:line="240" w:lineRule="auto"/>
              <w:rPr>
                <w:rFonts w:eastAsia="Times New Roman"/>
                <w:noProof/>
                <w:color w:val="004300"/>
                <w:sz w:val="18"/>
                <w:szCs w:val="18"/>
                <w:lang w:val="en-IE"/>
              </w:rPr>
            </w:pPr>
          </w:p>
        </w:tc>
        <w:tc>
          <w:tcPr>
            <w:tcW w:w="1040" w:type="dxa"/>
            <w:shd w:val="clear" w:color="auto" w:fill="C6EFCE"/>
            <w:hideMark/>
          </w:tcPr>
          <w:p w:rsidRPr="00FE48E2" w:rsidR="00D87E44" w:rsidRDefault="00D87E44" w14:paraId="15458A40"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Q1 </w:t>
            </w:r>
          </w:p>
        </w:tc>
        <w:tc>
          <w:tcPr>
            <w:tcW w:w="900" w:type="dxa"/>
            <w:shd w:val="clear" w:color="auto" w:fill="C6EFCE"/>
            <w:hideMark/>
          </w:tcPr>
          <w:p w:rsidRPr="00FE48E2" w:rsidR="00D87E44" w:rsidRDefault="00D87E44" w14:paraId="15458A41"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2024</w:t>
            </w:r>
          </w:p>
        </w:tc>
        <w:tc>
          <w:tcPr>
            <w:tcW w:w="3699" w:type="dxa"/>
            <w:shd w:val="clear" w:color="auto" w:fill="C6EFCE"/>
            <w:hideMark/>
          </w:tcPr>
          <w:p w:rsidRPr="00FE48E2" w:rsidR="00D87E44" w:rsidRDefault="00D87E44" w14:paraId="15458A4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Electricity Data Centre is established by law and its functionalities and obligations are defined by the law. In particular</w:t>
            </w:r>
            <w:r>
              <w:rPr>
                <w:rFonts w:eastAsia="Times New Roman"/>
                <w:noProof/>
                <w:color w:val="006100"/>
                <w:sz w:val="18"/>
                <w:szCs w:val="18"/>
                <w:lang w:val="en-IE"/>
              </w:rPr>
              <w:t>,</w:t>
            </w:r>
            <w:r w:rsidRPr="00FE48E2">
              <w:rPr>
                <w:rFonts w:eastAsia="Times New Roman"/>
                <w:noProof/>
                <w:color w:val="006100"/>
                <w:sz w:val="18"/>
                <w:szCs w:val="18"/>
                <w:lang w:val="en-IE"/>
              </w:rPr>
              <w:t xml:space="preserve"> the EDC shall:</w:t>
            </w:r>
          </w:p>
          <w:p w:rsidRPr="00FE48E2" w:rsidR="00D87E44" w:rsidRDefault="00D87E44" w14:paraId="15458A43"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register, at the request of the market participant, the </w:t>
            </w:r>
            <w:r>
              <w:rPr>
                <w:rFonts w:eastAsia="Times New Roman"/>
                <w:noProof/>
                <w:color w:val="006100"/>
                <w:sz w:val="18"/>
                <w:szCs w:val="18"/>
                <w:lang w:val="en-IE"/>
              </w:rPr>
              <w:t xml:space="preserve">assignment of </w:t>
            </w:r>
            <w:r w:rsidRPr="00FE48E2">
              <w:rPr>
                <w:rFonts w:eastAsia="Times New Roman"/>
                <w:noProof/>
                <w:color w:val="006100"/>
                <w:sz w:val="18"/>
                <w:szCs w:val="18"/>
                <w:lang w:val="en-IE"/>
              </w:rPr>
              <w:t xml:space="preserve">transfer points involved in electricity sharing and transfer points involved in off-take at another off-take point in the data centre and transmit the registration information to the market operator, </w:t>
            </w:r>
          </w:p>
          <w:p w:rsidRPr="00FE48E2" w:rsidR="00D87E44" w:rsidRDefault="00D87E44" w14:paraId="15458A44"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allocate, at the request of the market participant, the share of electricity shared within the transfer points and allocate the share of own generated electricity at another market participant's point of consumption,   </w:t>
            </w:r>
          </w:p>
          <w:p w:rsidRPr="00FE48E2" w:rsidR="00D87E44" w:rsidRDefault="00D87E44" w14:paraId="15458A45"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 process electricity metering data for inclusion of electricity sharing in the deviation assessment and in the amount of electricity for which regulated and unregulated prices are paid in the electricity market,</w:t>
            </w:r>
          </w:p>
          <w:p w:rsidRPr="00FE48E2" w:rsidR="00D87E44" w:rsidRDefault="00D87E44" w14:paraId="15458A46"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provide traders with anonymised data recorded by the data centre with the transfer points of electricity consumption points and generation plants, including other data related to electricity sharing,  </w:t>
            </w:r>
          </w:p>
          <w:p w:rsidRPr="00FE48E2" w:rsidR="00D87E44" w:rsidRDefault="00D87E44" w14:paraId="15458A47"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 provide the market operators and the distribution system operators with metering data taking into account shared electricity.</w:t>
            </w:r>
          </w:p>
          <w:p w:rsidRPr="00FE48E2" w:rsidR="00D87E44" w:rsidRDefault="00D87E44" w14:paraId="15458A48"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The access to technical functionalities provided by of the EDC shall be non-discriminatory and be open to all market participants. Customers, distribution system operator, electricity suppliers and electricity market operators shall be able to </w:t>
            </w:r>
            <w:r w:rsidRPr="00FE48E2">
              <w:rPr>
                <w:rFonts w:eastAsia="Times New Roman"/>
                <w:noProof/>
                <w:color w:val="006100"/>
                <w:sz w:val="18"/>
                <w:szCs w:val="18"/>
                <w:lang w:val="en-IE"/>
              </w:rPr>
              <w:lastRenderedPageBreak/>
              <w:t>access data they are entitled to under the relevant applicable legislation.</w:t>
            </w:r>
          </w:p>
        </w:tc>
      </w:tr>
      <w:tr w:rsidRPr="00FE48E2" w:rsidR="00E3458A" w14:paraId="15458A56" w14:textId="77777777">
        <w:trPr>
          <w:trHeight w:val="309"/>
          <w:jc w:val="center"/>
        </w:trPr>
        <w:tc>
          <w:tcPr>
            <w:tcW w:w="704" w:type="dxa"/>
            <w:shd w:val="clear" w:color="auto" w:fill="C6EFCE"/>
          </w:tcPr>
          <w:p w:rsidRPr="00FE48E2" w:rsidR="00D87E44" w:rsidRDefault="00D87E44" w14:paraId="15458A4A" w14:textId="77777777">
            <w:pPr>
              <w:spacing w:before="0" w:after="0" w:line="240" w:lineRule="auto"/>
              <w:rPr>
                <w:rFonts w:eastAsia="Times New Roman"/>
                <w:noProof/>
                <w:color w:val="004300"/>
                <w:sz w:val="18"/>
                <w:szCs w:val="18"/>
                <w:lang w:val="en-IE"/>
              </w:rPr>
            </w:pPr>
            <w:r w:rsidRPr="00461332">
              <w:rPr>
                <w:rFonts w:eastAsia="Times New Roman"/>
                <w:noProof/>
                <w:color w:val="004300"/>
                <w:sz w:val="18"/>
                <w:szCs w:val="18"/>
                <w:lang w:val="en-IE"/>
              </w:rPr>
              <w:lastRenderedPageBreak/>
              <w:t>310</w:t>
            </w:r>
          </w:p>
        </w:tc>
        <w:tc>
          <w:tcPr>
            <w:tcW w:w="1787" w:type="dxa"/>
            <w:shd w:val="clear" w:color="auto" w:fill="C6EFCE"/>
          </w:tcPr>
          <w:p w:rsidRPr="00FE48E2" w:rsidR="00D87E44" w:rsidRDefault="00D87E44" w14:paraId="15458A4B" w14:textId="77777777">
            <w:pPr>
              <w:spacing w:before="0" w:after="0" w:line="240" w:lineRule="auto"/>
              <w:rPr>
                <w:rFonts w:eastAsia="Times New Roman"/>
                <w:noProof/>
                <w:color w:val="004300"/>
                <w:sz w:val="18"/>
                <w:szCs w:val="18"/>
                <w:lang w:val="en-IE"/>
              </w:rPr>
            </w:pPr>
            <w:r>
              <w:rPr>
                <w:rFonts w:eastAsia="Times New Roman"/>
                <w:noProof/>
                <w:color w:val="006100"/>
                <w:sz w:val="18"/>
                <w:szCs w:val="18"/>
                <w:lang w:val="en-IE"/>
              </w:rPr>
              <w:t>Reform 3</w:t>
            </w:r>
            <w:r w:rsidRPr="00FE48E2">
              <w:rPr>
                <w:rFonts w:eastAsia="Times New Roman"/>
                <w:noProof/>
                <w:color w:val="006100"/>
                <w:sz w:val="18"/>
                <w:szCs w:val="18"/>
                <w:lang w:val="en-IE"/>
              </w:rPr>
              <w:t xml:space="preserve">: </w:t>
            </w:r>
            <w:r w:rsidRPr="00FE48E2">
              <w:rPr>
                <w:rFonts w:eastAsia="Times New Roman"/>
                <w:noProof/>
                <w:color w:val="006100"/>
                <w:sz w:val="18"/>
                <w:szCs w:val="18"/>
                <w:lang w:val="en-IE"/>
              </w:rPr>
              <w:t>Electricity Data Centre</w:t>
            </w:r>
          </w:p>
        </w:tc>
        <w:tc>
          <w:tcPr>
            <w:tcW w:w="1095" w:type="dxa"/>
            <w:shd w:val="clear" w:color="auto" w:fill="C6EFCE"/>
          </w:tcPr>
          <w:p w:rsidRPr="00FE48E2" w:rsidR="00D87E44" w:rsidRDefault="00D87E44" w14:paraId="15458A4C"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4D"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Entry into operation of the Energy Data Centre</w:t>
            </w:r>
          </w:p>
        </w:tc>
        <w:tc>
          <w:tcPr>
            <w:tcW w:w="1731" w:type="dxa"/>
            <w:shd w:val="clear" w:color="auto" w:fill="C6EFCE"/>
          </w:tcPr>
          <w:p w:rsidRPr="00FE48E2" w:rsidR="00D87E44" w:rsidRDefault="00D87E44" w14:paraId="15458A4E"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Launch of the functionalities linked to energy sharing</w:t>
            </w:r>
          </w:p>
        </w:tc>
        <w:tc>
          <w:tcPr>
            <w:tcW w:w="955" w:type="dxa"/>
            <w:shd w:val="clear" w:color="auto" w:fill="C6EFCE"/>
          </w:tcPr>
          <w:p w:rsidRPr="00FE48E2" w:rsidR="00D87E44" w:rsidRDefault="00D87E44" w14:paraId="15458A4F"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00D87E44" w:rsidRDefault="00D87E44" w14:paraId="15458A5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p w:rsidRPr="00A936F5" w:rsidR="00D87E44" w:rsidRDefault="00D87E44" w14:paraId="15458A51" w14:textId="77777777">
            <w:pPr>
              <w:rPr>
                <w:rFonts w:eastAsia="Times New Roman"/>
                <w:noProof/>
                <w:sz w:val="18"/>
                <w:szCs w:val="18"/>
                <w:lang w:val="en-IE"/>
              </w:rPr>
            </w:pPr>
          </w:p>
        </w:tc>
        <w:tc>
          <w:tcPr>
            <w:tcW w:w="955" w:type="dxa"/>
            <w:shd w:val="clear" w:color="auto" w:fill="C6EFCE"/>
          </w:tcPr>
          <w:p w:rsidRPr="00FE48E2" w:rsidR="00D87E44" w:rsidRDefault="00D87E44" w14:paraId="15458A52"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 xml:space="preserve"> </w:t>
            </w:r>
          </w:p>
        </w:tc>
        <w:tc>
          <w:tcPr>
            <w:tcW w:w="1040" w:type="dxa"/>
            <w:shd w:val="clear" w:color="auto" w:fill="C6EFCE"/>
          </w:tcPr>
          <w:p w:rsidRPr="00FE48E2" w:rsidR="00D87E44" w:rsidRDefault="00D87E44" w14:paraId="15458A53"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Q3</w:t>
            </w:r>
          </w:p>
        </w:tc>
        <w:tc>
          <w:tcPr>
            <w:tcW w:w="900" w:type="dxa"/>
            <w:shd w:val="clear" w:color="auto" w:fill="C6EFCE"/>
          </w:tcPr>
          <w:p w:rsidRPr="00FE48E2" w:rsidR="00D87E44" w:rsidRDefault="00D87E44" w14:paraId="15458A54"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2024</w:t>
            </w:r>
          </w:p>
        </w:tc>
        <w:tc>
          <w:tcPr>
            <w:tcW w:w="3699" w:type="dxa"/>
            <w:shd w:val="clear" w:color="auto" w:fill="C6EFCE"/>
          </w:tcPr>
          <w:p w:rsidRPr="00FE48E2" w:rsidR="00D87E44" w:rsidRDefault="00D87E44" w14:paraId="15458A55" w14:textId="77777777">
            <w:pPr>
              <w:spacing w:before="0" w:after="0" w:line="240" w:lineRule="auto"/>
              <w:rPr>
                <w:rFonts w:eastAsia="Times New Roman"/>
                <w:noProof/>
                <w:color w:val="004300"/>
                <w:sz w:val="18"/>
                <w:szCs w:val="18"/>
                <w:lang w:val="en-IE"/>
              </w:rPr>
            </w:pPr>
            <w:r w:rsidRPr="00FE48E2">
              <w:rPr>
                <w:rFonts w:eastAsia="Times New Roman"/>
                <w:noProof/>
                <w:color w:val="006100"/>
                <w:sz w:val="18"/>
                <w:szCs w:val="18"/>
                <w:lang w:val="en-IE"/>
              </w:rPr>
              <w:t>The Electricity Data Centre shall start the operation of functionalities linked to energy sharing (</w:t>
            </w:r>
            <w:r w:rsidRPr="004C3836">
              <w:rPr>
                <w:rFonts w:eastAsia="Times New Roman"/>
                <w:noProof/>
                <w:color w:val="006100"/>
                <w:sz w:val="18"/>
                <w:szCs w:val="18"/>
                <w:lang w:val="en-IE"/>
              </w:rPr>
              <w:t xml:space="preserve">collection and provision of metering data, </w:t>
            </w:r>
            <w:r>
              <w:rPr>
                <w:rFonts w:eastAsia="Times New Roman"/>
                <w:noProof/>
                <w:color w:val="006100"/>
                <w:sz w:val="18"/>
                <w:szCs w:val="18"/>
                <w:lang w:val="en-IE"/>
              </w:rPr>
              <w:t xml:space="preserve">registration and </w:t>
            </w:r>
            <w:r w:rsidRPr="004C3836">
              <w:rPr>
                <w:rFonts w:eastAsia="Times New Roman"/>
                <w:noProof/>
                <w:color w:val="006100"/>
                <w:sz w:val="18"/>
                <w:szCs w:val="18"/>
                <w:lang w:val="en-IE"/>
              </w:rPr>
              <w:t xml:space="preserve">data evaluation for the purpose </w:t>
            </w:r>
            <w:r>
              <w:rPr>
                <w:rFonts w:eastAsia="Times New Roman"/>
                <w:noProof/>
                <w:color w:val="006100"/>
                <w:sz w:val="18"/>
                <w:szCs w:val="18"/>
                <w:lang w:val="en-IE"/>
              </w:rPr>
              <w:t>of energy sharing</w:t>
            </w:r>
            <w:r w:rsidRPr="00FE48E2">
              <w:rPr>
                <w:rFonts w:eastAsia="Times New Roman"/>
                <w:noProof/>
                <w:color w:val="006100"/>
                <w:sz w:val="18"/>
                <w:szCs w:val="18"/>
                <w:lang w:val="en-IE"/>
              </w:rPr>
              <w:t>)</w:t>
            </w:r>
            <w:r>
              <w:rPr>
                <w:rFonts w:eastAsia="Times New Roman"/>
                <w:noProof/>
                <w:color w:val="006100"/>
                <w:sz w:val="18"/>
                <w:szCs w:val="18"/>
                <w:lang w:val="en-IE"/>
              </w:rPr>
              <w:t>.</w:t>
            </w:r>
          </w:p>
        </w:tc>
      </w:tr>
      <w:tr w:rsidRPr="00FE48E2" w:rsidR="00E3458A" w14:paraId="15458A67" w14:textId="77777777">
        <w:trPr>
          <w:trHeight w:val="309"/>
          <w:jc w:val="center"/>
        </w:trPr>
        <w:tc>
          <w:tcPr>
            <w:tcW w:w="704" w:type="dxa"/>
            <w:shd w:val="clear" w:color="auto" w:fill="C6EFCE"/>
          </w:tcPr>
          <w:p w:rsidRPr="00FE48E2" w:rsidR="00D87E44" w:rsidRDefault="00D87E44" w14:paraId="15458A57" w14:textId="77777777">
            <w:pPr>
              <w:spacing w:before="0" w:after="0" w:line="240" w:lineRule="auto"/>
              <w:rPr>
                <w:rFonts w:eastAsia="Times New Roman"/>
                <w:noProof/>
                <w:color w:val="004300"/>
                <w:sz w:val="18"/>
                <w:szCs w:val="18"/>
                <w:lang w:val="en-IE"/>
              </w:rPr>
            </w:pPr>
            <w:r w:rsidRPr="1B282876">
              <w:rPr>
                <w:rFonts w:eastAsia="Times New Roman"/>
                <w:noProof/>
                <w:color w:val="004300"/>
                <w:sz w:val="18"/>
                <w:szCs w:val="18"/>
                <w:lang w:val="en-IE"/>
              </w:rPr>
              <w:t>311</w:t>
            </w:r>
          </w:p>
        </w:tc>
        <w:tc>
          <w:tcPr>
            <w:tcW w:w="1787" w:type="dxa"/>
            <w:shd w:val="clear" w:color="auto" w:fill="C6EFCE"/>
          </w:tcPr>
          <w:p w:rsidRPr="00FE48E2" w:rsidR="00D87E44" w:rsidRDefault="00D87E44" w14:paraId="15458A58"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Reform 3</w:t>
            </w:r>
            <w:r w:rsidRPr="00FE48E2">
              <w:rPr>
                <w:rFonts w:eastAsia="Times New Roman"/>
                <w:noProof/>
                <w:color w:val="006100"/>
                <w:sz w:val="18"/>
                <w:szCs w:val="18"/>
                <w:lang w:val="en-IE"/>
              </w:rPr>
              <w:t>: Electricity Data Centre</w:t>
            </w:r>
          </w:p>
          <w:p w:rsidRPr="00FE48E2" w:rsidR="00D87E44" w:rsidRDefault="00D87E44" w14:paraId="15458A5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95" w:type="dxa"/>
            <w:shd w:val="clear" w:color="auto" w:fill="C6EFCE"/>
          </w:tcPr>
          <w:p w:rsidRPr="00FE48E2" w:rsidR="00D87E44" w:rsidRDefault="00D87E44" w14:paraId="15458A5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5B"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Electricity Data Centre: </w:t>
            </w:r>
            <w:r w:rsidRPr="0E823E62">
              <w:rPr>
                <w:rFonts w:eastAsia="Times New Roman"/>
                <w:noProof/>
                <w:color w:val="006100"/>
                <w:sz w:val="18"/>
                <w:szCs w:val="18"/>
                <w:lang w:val="en-IE"/>
              </w:rPr>
              <w:t>technical flexibility</w:t>
            </w:r>
            <w:r w:rsidRPr="00FE48E2" w:rsidDel="00CF31D1">
              <w:rPr>
                <w:rFonts w:eastAsia="Times New Roman"/>
                <w:noProof/>
                <w:color w:val="006100"/>
                <w:sz w:val="18"/>
                <w:szCs w:val="18"/>
                <w:lang w:val="en-IE"/>
              </w:rPr>
              <w:t xml:space="preserve"> </w:t>
            </w:r>
            <w:r w:rsidRPr="0E823E62">
              <w:rPr>
                <w:rFonts w:eastAsia="Times New Roman"/>
                <w:noProof/>
                <w:color w:val="006100"/>
                <w:sz w:val="18"/>
                <w:szCs w:val="18"/>
                <w:lang w:val="en-IE"/>
              </w:rPr>
              <w:t>functionalities</w:t>
            </w:r>
            <w:r w:rsidRPr="00FE48E2">
              <w:rPr>
                <w:rFonts w:eastAsia="Times New Roman"/>
                <w:noProof/>
                <w:color w:val="006100"/>
                <w:sz w:val="18"/>
                <w:szCs w:val="18"/>
                <w:lang w:val="en-IE"/>
              </w:rPr>
              <w:t xml:space="preserve"> </w:t>
            </w:r>
          </w:p>
        </w:tc>
        <w:tc>
          <w:tcPr>
            <w:tcW w:w="1731" w:type="dxa"/>
            <w:shd w:val="clear" w:color="auto" w:fill="C6EFCE"/>
          </w:tcPr>
          <w:p w:rsidRPr="00FE48E2" w:rsidR="00D87E44" w:rsidRDefault="00D87E44" w14:paraId="15458A5C"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F</w:t>
            </w:r>
            <w:r w:rsidRPr="0E823E62">
              <w:rPr>
                <w:rFonts w:eastAsia="Times New Roman"/>
                <w:noProof/>
                <w:color w:val="006100"/>
                <w:sz w:val="18"/>
                <w:szCs w:val="18"/>
                <w:lang w:val="en-IE"/>
              </w:rPr>
              <w:t>unctionalities linked to technical flexibility</w:t>
            </w:r>
          </w:p>
        </w:tc>
        <w:tc>
          <w:tcPr>
            <w:tcW w:w="955" w:type="dxa"/>
            <w:shd w:val="clear" w:color="auto" w:fill="C6EFCE"/>
          </w:tcPr>
          <w:p w:rsidRPr="00FE48E2" w:rsidR="00D87E44" w:rsidRDefault="00D87E44" w14:paraId="15458A5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5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5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40" w:type="dxa"/>
            <w:shd w:val="clear" w:color="auto" w:fill="C6EFCE"/>
          </w:tcPr>
          <w:p w:rsidRPr="00FE48E2" w:rsidR="00D87E44" w:rsidRDefault="00D87E44" w14:paraId="15458A6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Q1</w:t>
            </w:r>
          </w:p>
        </w:tc>
        <w:tc>
          <w:tcPr>
            <w:tcW w:w="900" w:type="dxa"/>
            <w:shd w:val="clear" w:color="auto" w:fill="C6EFCE"/>
          </w:tcPr>
          <w:p w:rsidRPr="00FE48E2" w:rsidR="00D87E44" w:rsidRDefault="00D87E44" w14:paraId="15458A6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2026</w:t>
            </w:r>
          </w:p>
        </w:tc>
        <w:tc>
          <w:tcPr>
            <w:tcW w:w="3699" w:type="dxa"/>
            <w:shd w:val="clear" w:color="auto" w:fill="C6EFCE"/>
          </w:tcPr>
          <w:p w:rsidRPr="00FE48E2" w:rsidR="00D87E44" w:rsidRDefault="00D87E44" w14:paraId="15458A62"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T</w:t>
            </w:r>
            <w:r w:rsidRPr="0E823E62">
              <w:rPr>
                <w:rFonts w:eastAsia="Times New Roman"/>
                <w:noProof/>
                <w:color w:val="006100"/>
                <w:sz w:val="18"/>
                <w:szCs w:val="18"/>
                <w:lang w:val="en-IE"/>
              </w:rPr>
              <w:t xml:space="preserve">he Electricity Data Centre shall </w:t>
            </w:r>
            <w:r>
              <w:rPr>
                <w:rFonts w:eastAsia="Times New Roman"/>
                <w:noProof/>
                <w:color w:val="006100"/>
                <w:sz w:val="18"/>
                <w:szCs w:val="18"/>
                <w:lang w:val="en-IE"/>
              </w:rPr>
              <w:t xml:space="preserve">provide </w:t>
            </w:r>
            <w:r w:rsidRPr="0E823E62">
              <w:rPr>
                <w:rFonts w:eastAsia="Times New Roman"/>
                <w:noProof/>
                <w:color w:val="006100"/>
                <w:sz w:val="18"/>
                <w:szCs w:val="18"/>
                <w:lang w:val="en-IE"/>
              </w:rPr>
              <w:t>fun</w:t>
            </w:r>
            <w:r>
              <w:rPr>
                <w:rFonts w:eastAsia="Times New Roman"/>
                <w:noProof/>
                <w:color w:val="006100"/>
                <w:sz w:val="18"/>
                <w:szCs w:val="18"/>
                <w:lang w:val="en-IE"/>
              </w:rPr>
              <w:t>c</w:t>
            </w:r>
            <w:r w:rsidRPr="0E823E62">
              <w:rPr>
                <w:rFonts w:eastAsia="Times New Roman"/>
                <w:noProof/>
                <w:color w:val="006100"/>
                <w:sz w:val="18"/>
                <w:szCs w:val="18"/>
                <w:lang w:val="en-IE"/>
              </w:rPr>
              <w:t>tionalities linked to technical flexibility</w:t>
            </w:r>
            <w:r>
              <w:rPr>
                <w:rFonts w:eastAsia="Times New Roman"/>
                <w:noProof/>
                <w:color w:val="006100"/>
                <w:sz w:val="18"/>
                <w:szCs w:val="18"/>
                <w:lang w:val="en-IE"/>
              </w:rPr>
              <w:t>:</w:t>
            </w:r>
            <w:r w:rsidRPr="0E823E62">
              <w:rPr>
                <w:rFonts w:eastAsia="Times New Roman"/>
                <w:noProof/>
                <w:color w:val="006100"/>
                <w:sz w:val="18"/>
                <w:szCs w:val="18"/>
                <w:lang w:val="en-IE"/>
              </w:rPr>
              <w:t xml:space="preserve"> </w:t>
            </w:r>
          </w:p>
          <w:p w:rsidRPr="00FE48E2" w:rsidR="00D87E44" w:rsidRDefault="00D87E44" w14:paraId="15458A63"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w:t>
            </w:r>
            <w:r>
              <w:rPr>
                <w:rFonts w:eastAsia="Times New Roman"/>
                <w:noProof/>
                <w:color w:val="006100"/>
                <w:sz w:val="18"/>
                <w:szCs w:val="18"/>
                <w:lang w:val="en-IE"/>
              </w:rPr>
              <w:t xml:space="preserve"> </w:t>
            </w:r>
            <w:r w:rsidRPr="00FE48E2">
              <w:rPr>
                <w:rFonts w:eastAsia="Times New Roman"/>
                <w:noProof/>
                <w:color w:val="006100"/>
                <w:sz w:val="18"/>
                <w:szCs w:val="18"/>
                <w:lang w:val="en-IE"/>
              </w:rPr>
              <w:t>collection, provision and transmission of metering data</w:t>
            </w:r>
            <w:r>
              <w:rPr>
                <w:rFonts w:eastAsia="Times New Roman"/>
                <w:noProof/>
                <w:color w:val="006100"/>
                <w:sz w:val="18"/>
                <w:szCs w:val="18"/>
                <w:lang w:val="en-IE"/>
              </w:rPr>
              <w:t>,</w:t>
            </w:r>
          </w:p>
          <w:p w:rsidRPr="00FE48E2" w:rsidR="00D87E44" w:rsidRDefault="00D87E44" w14:paraId="15458A64" w14:textId="77777777">
            <w:pPr>
              <w:spacing w:after="0" w:line="240" w:lineRule="auto"/>
              <w:rPr>
                <w:rFonts w:eastAsia="Times New Roman"/>
                <w:noProof/>
                <w:color w:val="006100"/>
                <w:sz w:val="18"/>
                <w:szCs w:val="18"/>
                <w:lang w:val="en-IE"/>
              </w:rPr>
            </w:pPr>
            <w:r w:rsidRPr="097F8363">
              <w:rPr>
                <w:rFonts w:eastAsia="Times New Roman"/>
                <w:noProof/>
                <w:color w:val="006100"/>
                <w:sz w:val="18"/>
                <w:szCs w:val="18"/>
                <w:lang w:val="en-IE"/>
              </w:rPr>
              <w:t>- market and master data</w:t>
            </w:r>
            <w:r w:rsidRPr="00FE48E2">
              <w:rPr>
                <w:rFonts w:eastAsia="Times New Roman"/>
                <w:noProof/>
                <w:color w:val="006100"/>
                <w:sz w:val="18"/>
                <w:szCs w:val="18"/>
                <w:lang w:val="en-IE"/>
              </w:rPr>
              <w:t xml:space="preserve"> registration and data evaluation for the purpose of electricity storage, electricity sharing, </w:t>
            </w:r>
            <w:r>
              <w:rPr>
                <w:rFonts w:eastAsia="Times New Roman"/>
                <w:noProof/>
                <w:color w:val="006100"/>
                <w:sz w:val="18"/>
                <w:szCs w:val="18"/>
                <w:lang w:val="en-IE"/>
              </w:rPr>
              <w:t xml:space="preserve">provision and aggregation of technical </w:t>
            </w:r>
            <w:r w:rsidRPr="00FE48E2">
              <w:rPr>
                <w:rFonts w:eastAsia="Times New Roman"/>
                <w:noProof/>
                <w:color w:val="006100"/>
                <w:sz w:val="18"/>
                <w:szCs w:val="18"/>
                <w:lang w:val="en-IE"/>
              </w:rPr>
              <w:t xml:space="preserve">flexibility, </w:t>
            </w:r>
          </w:p>
          <w:p w:rsidRPr="00FE48E2" w:rsidR="00D87E44" w:rsidRDefault="00D87E44" w14:paraId="15458A65" w14:textId="77777777">
            <w:pPr>
              <w:spacing w:after="0" w:line="240" w:lineRule="auto"/>
              <w:rPr>
                <w:rFonts w:eastAsia="Times New Roman"/>
                <w:noProof/>
                <w:color w:val="006100"/>
                <w:sz w:val="18"/>
                <w:szCs w:val="18"/>
                <w:lang w:val="en-IE"/>
              </w:rPr>
            </w:pPr>
            <w:r w:rsidRPr="0E823E62">
              <w:rPr>
                <w:rFonts w:eastAsia="Times New Roman"/>
                <w:noProof/>
                <w:color w:val="006100"/>
                <w:sz w:val="18"/>
                <w:szCs w:val="18"/>
                <w:lang w:val="en-IE"/>
              </w:rPr>
              <w:t>-</w:t>
            </w:r>
            <w:r>
              <w:rPr>
                <w:rFonts w:eastAsia="Times New Roman"/>
                <w:noProof/>
                <w:color w:val="006100"/>
                <w:sz w:val="18"/>
                <w:szCs w:val="18"/>
                <w:lang w:val="en-IE"/>
              </w:rPr>
              <w:t xml:space="preserve"> </w:t>
            </w:r>
            <w:r w:rsidRPr="0E823E62">
              <w:rPr>
                <w:rFonts w:eastAsia="Times New Roman"/>
                <w:noProof/>
                <w:color w:val="006100"/>
                <w:sz w:val="18"/>
                <w:szCs w:val="18"/>
                <w:lang w:val="en-IE"/>
              </w:rPr>
              <w:t xml:space="preserve">collection and sharing data for balancing and </w:t>
            </w:r>
            <w:r w:rsidRPr="00BB1FED">
              <w:rPr>
                <w:rFonts w:eastAsia="Times New Roman"/>
                <w:noProof/>
                <w:color w:val="006100"/>
                <w:sz w:val="18"/>
                <w:szCs w:val="18"/>
                <w:lang w:val="en-IE"/>
              </w:rPr>
              <w:t>long-term</w:t>
            </w:r>
            <w:r w:rsidRPr="0E823E62">
              <w:rPr>
                <w:rFonts w:eastAsia="Times New Roman"/>
                <w:noProof/>
                <w:color w:val="006100"/>
                <w:sz w:val="18"/>
                <w:szCs w:val="18"/>
                <w:lang w:val="en-IE"/>
              </w:rPr>
              <w:t xml:space="preserve"> grid scheduling</w:t>
            </w:r>
            <w:r>
              <w:rPr>
                <w:rFonts w:eastAsia="Times New Roman"/>
                <w:noProof/>
                <w:color w:val="006100"/>
                <w:sz w:val="18"/>
                <w:szCs w:val="18"/>
                <w:lang w:val="en-IE"/>
              </w:rPr>
              <w:t>,</w:t>
            </w:r>
          </w:p>
          <w:p w:rsidRPr="00FE48E2" w:rsidR="00D87E44" w:rsidRDefault="00D87E44" w14:paraId="15458A66" w14:textId="77777777">
            <w:pPr>
              <w:spacing w:after="0" w:line="240" w:lineRule="auto"/>
              <w:rPr>
                <w:rFonts w:eastAsia="Times New Roman"/>
                <w:noProof/>
                <w:color w:val="006100"/>
                <w:sz w:val="18"/>
                <w:szCs w:val="18"/>
                <w:lang w:val="en-IE"/>
              </w:rPr>
            </w:pPr>
            <w:r w:rsidRPr="0E823E62">
              <w:rPr>
                <w:rFonts w:eastAsia="Times New Roman"/>
                <w:noProof/>
                <w:color w:val="006100"/>
                <w:sz w:val="18"/>
                <w:szCs w:val="18"/>
                <w:lang w:val="en-IE"/>
              </w:rPr>
              <w:t>- publi</w:t>
            </w:r>
            <w:r>
              <w:rPr>
                <w:rFonts w:eastAsia="Times New Roman"/>
                <w:noProof/>
                <w:color w:val="006100"/>
                <w:sz w:val="18"/>
                <w:szCs w:val="18"/>
                <w:lang w:val="en-IE"/>
              </w:rPr>
              <w:t xml:space="preserve">cation of </w:t>
            </w:r>
            <w:r w:rsidRPr="0E823E62">
              <w:rPr>
                <w:rFonts w:eastAsia="Times New Roman"/>
                <w:noProof/>
                <w:color w:val="006100"/>
                <w:sz w:val="18"/>
                <w:szCs w:val="18"/>
                <w:lang w:val="en-IE"/>
              </w:rPr>
              <w:t xml:space="preserve">information on the state of the grid </w:t>
            </w:r>
            <w:r>
              <w:rPr>
                <w:rFonts w:eastAsia="Times New Roman"/>
                <w:noProof/>
                <w:color w:val="006100"/>
                <w:sz w:val="18"/>
                <w:szCs w:val="18"/>
                <w:lang w:val="en-IE"/>
              </w:rPr>
              <w:t>through a network light traffic systems,</w:t>
            </w:r>
            <w:r w:rsidRPr="00850CD9">
              <w:rPr>
                <w:rFonts w:eastAsia="Times New Roman"/>
                <w:noProof/>
                <w:color w:val="006100"/>
                <w:sz w:val="18"/>
                <w:szCs w:val="18"/>
                <w:lang w:val="en-IE"/>
              </w:rPr>
              <w:t xml:space="preserve"> </w:t>
            </w:r>
            <w:r w:rsidRPr="0E823E62">
              <w:rPr>
                <w:rFonts w:eastAsia="Times New Roman"/>
                <w:noProof/>
                <w:color w:val="006100"/>
                <w:sz w:val="18"/>
                <w:szCs w:val="18"/>
                <w:lang w:val="en-IE"/>
              </w:rPr>
              <w:t>and possibilities for the activation of technical flexibility</w:t>
            </w:r>
            <w:r>
              <w:rPr>
                <w:rFonts w:eastAsia="Times New Roman"/>
                <w:noProof/>
                <w:color w:val="006100"/>
                <w:sz w:val="18"/>
                <w:szCs w:val="18"/>
                <w:lang w:val="en-IE"/>
              </w:rPr>
              <w:t>.</w:t>
            </w:r>
          </w:p>
        </w:tc>
      </w:tr>
      <w:tr w:rsidRPr="00FE48E2" w:rsidR="00E3458A" w14:paraId="15458A77" w14:textId="77777777">
        <w:trPr>
          <w:trHeight w:val="309"/>
          <w:jc w:val="center"/>
        </w:trPr>
        <w:tc>
          <w:tcPr>
            <w:tcW w:w="704" w:type="dxa"/>
            <w:shd w:val="clear" w:color="auto" w:fill="C6EFCE"/>
          </w:tcPr>
          <w:p w:rsidRPr="00FE48E2" w:rsidR="00D87E44" w:rsidRDefault="00D87E44" w14:paraId="15458A68" w14:textId="77777777">
            <w:pPr>
              <w:spacing w:before="0" w:after="0" w:line="240" w:lineRule="auto"/>
              <w:rPr>
                <w:rFonts w:eastAsia="Times New Roman"/>
                <w:noProof/>
                <w:color w:val="004300"/>
                <w:sz w:val="18"/>
                <w:szCs w:val="18"/>
                <w:lang w:val="en-IE"/>
              </w:rPr>
            </w:pPr>
            <w:r w:rsidRPr="00461332">
              <w:rPr>
                <w:rFonts w:eastAsia="Times New Roman"/>
                <w:noProof/>
                <w:color w:val="004300"/>
                <w:sz w:val="18"/>
                <w:szCs w:val="18"/>
                <w:lang w:val="en-IE"/>
              </w:rPr>
              <w:t>312</w:t>
            </w:r>
          </w:p>
        </w:tc>
        <w:tc>
          <w:tcPr>
            <w:tcW w:w="1787" w:type="dxa"/>
            <w:shd w:val="clear" w:color="auto" w:fill="C6EFCE"/>
          </w:tcPr>
          <w:p w:rsidRPr="00FE48E2" w:rsidR="00D87E44" w:rsidRDefault="00D87E44" w14:paraId="15458A6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Energy communities</w:t>
            </w:r>
          </w:p>
        </w:tc>
        <w:tc>
          <w:tcPr>
            <w:tcW w:w="1095" w:type="dxa"/>
            <w:shd w:val="clear" w:color="auto" w:fill="C6EFCE"/>
          </w:tcPr>
          <w:p w:rsidRPr="00FE48E2" w:rsidR="00D87E44" w:rsidRDefault="00D87E44" w14:paraId="15458A6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6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Entry into force of the amended legislation on energy communities</w:t>
            </w:r>
          </w:p>
          <w:p w:rsidRPr="00FE48E2" w:rsidR="00D87E44" w:rsidRDefault="00D87E44" w14:paraId="15458A6C" w14:textId="77777777">
            <w:pPr>
              <w:spacing w:before="0" w:after="0" w:line="240" w:lineRule="auto"/>
              <w:rPr>
                <w:rFonts w:eastAsia="Times New Roman"/>
                <w:noProof/>
                <w:color w:val="006100"/>
                <w:sz w:val="18"/>
                <w:szCs w:val="18"/>
                <w:lang w:val="en-IE"/>
              </w:rPr>
            </w:pPr>
          </w:p>
        </w:tc>
        <w:tc>
          <w:tcPr>
            <w:tcW w:w="1731" w:type="dxa"/>
            <w:shd w:val="clear" w:color="auto" w:fill="C6EFCE"/>
          </w:tcPr>
          <w:p w:rsidRPr="00FE48E2" w:rsidR="00D87E44" w:rsidRDefault="00D87E44" w14:paraId="15458A6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Provision in the law indicating the entry into force of the law</w:t>
            </w:r>
          </w:p>
        </w:tc>
        <w:tc>
          <w:tcPr>
            <w:tcW w:w="955" w:type="dxa"/>
            <w:shd w:val="clear" w:color="auto" w:fill="C6EFCE"/>
          </w:tcPr>
          <w:p w:rsidRPr="00FE48E2" w:rsidR="00D87E44" w:rsidRDefault="00D87E44" w14:paraId="15458A6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6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7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40" w:type="dxa"/>
            <w:shd w:val="clear" w:color="auto" w:fill="C6EFCE"/>
          </w:tcPr>
          <w:p w:rsidRPr="00FE48E2" w:rsidR="00D87E44" w:rsidRDefault="00D87E44" w14:paraId="15458A7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Q1</w:t>
            </w:r>
          </w:p>
        </w:tc>
        <w:tc>
          <w:tcPr>
            <w:tcW w:w="900" w:type="dxa"/>
            <w:shd w:val="clear" w:color="auto" w:fill="C6EFCE"/>
          </w:tcPr>
          <w:p w:rsidRPr="00FE48E2" w:rsidR="00D87E44" w:rsidRDefault="00D87E44" w14:paraId="15458A7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699" w:type="dxa"/>
            <w:shd w:val="clear" w:color="auto" w:fill="C6EFCE"/>
          </w:tcPr>
          <w:p w:rsidRPr="00FE48E2" w:rsidR="00D87E44" w:rsidRDefault="00D87E44" w14:paraId="15458A7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Entry into force of legislation establishing a regulatory framework for citizens and renewable energy communities. </w:t>
            </w:r>
          </w:p>
          <w:p w:rsidRPr="00FE48E2" w:rsidR="00D87E44" w:rsidRDefault="00D87E44" w14:paraId="15458A74"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reform shall introduce incentives for the development of energy communities and encourage collective production and consumption within the energy community framework. </w:t>
            </w:r>
          </w:p>
          <w:p w:rsidRPr="00FE48E2" w:rsidR="00D87E44" w:rsidRDefault="00D87E44" w14:paraId="15458A75"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reform shall implement the open participation principle, it shall not unduly restrict the collective self-consumption and production or introduce any kind of unjustified restrictions based on the size or geography. Renewable and Citizen Energy Communities shall also be allowed to operate also </w:t>
            </w:r>
            <w:r w:rsidRPr="00FE48E2">
              <w:rPr>
                <w:rFonts w:eastAsia="Times New Roman"/>
                <w:noProof/>
                <w:color w:val="006100"/>
                <w:sz w:val="18"/>
                <w:szCs w:val="18"/>
                <w:lang w:val="en-IE"/>
              </w:rPr>
              <w:lastRenderedPageBreak/>
              <w:t>in renewable heating, not only on the electricity market. The reform shall ensure every customer participating in energy sharing is  entitled to receive a smart meter.</w:t>
            </w:r>
          </w:p>
          <w:p w:rsidRPr="00FE48E2" w:rsidR="00D87E44" w:rsidRDefault="00D87E44" w14:paraId="15458A76"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Renewable and Citizen Energy Communities shall have the right to receive metering data on electricity supplies , metering data taking into account electricity shared within the energy community and evaluated data.</w:t>
            </w:r>
          </w:p>
        </w:tc>
      </w:tr>
      <w:tr w:rsidRPr="00FE48E2" w:rsidR="00E3458A" w14:paraId="15458A83" w14:textId="77777777">
        <w:trPr>
          <w:trHeight w:val="309"/>
          <w:jc w:val="center"/>
        </w:trPr>
        <w:tc>
          <w:tcPr>
            <w:tcW w:w="704" w:type="dxa"/>
            <w:shd w:val="clear" w:color="auto" w:fill="C6EFCE"/>
          </w:tcPr>
          <w:p w:rsidRPr="004F1648" w:rsidR="00D87E44" w:rsidRDefault="00D87E44" w14:paraId="15458A78" w14:textId="77777777">
            <w:pPr>
              <w:spacing w:before="0" w:after="0" w:line="240" w:lineRule="auto"/>
              <w:rPr>
                <w:rFonts w:eastAsia="Times New Roman"/>
                <w:noProof/>
                <w:color w:val="004300"/>
                <w:sz w:val="18"/>
                <w:szCs w:val="18"/>
                <w:lang w:val="en-IE"/>
              </w:rPr>
            </w:pPr>
            <w:r w:rsidRPr="00AF43D5">
              <w:rPr>
                <w:rFonts w:eastAsia="Times New Roman"/>
                <w:noProof/>
                <w:color w:val="004300"/>
                <w:sz w:val="18"/>
                <w:szCs w:val="18"/>
                <w:lang w:val="en-IE"/>
              </w:rPr>
              <w:lastRenderedPageBreak/>
              <w:t>313</w:t>
            </w:r>
          </w:p>
        </w:tc>
        <w:tc>
          <w:tcPr>
            <w:tcW w:w="1787" w:type="dxa"/>
            <w:shd w:val="clear" w:color="auto" w:fill="C6EFCE"/>
          </w:tcPr>
          <w:p w:rsidRPr="00FE48E2" w:rsidR="00D87E44" w:rsidRDefault="00D87E44" w14:paraId="15458A7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1: Energy communities </w:t>
            </w:r>
          </w:p>
        </w:tc>
        <w:tc>
          <w:tcPr>
            <w:tcW w:w="1095" w:type="dxa"/>
            <w:shd w:val="clear" w:color="auto" w:fill="C6EFCE"/>
          </w:tcPr>
          <w:p w:rsidRPr="00FE48E2" w:rsidR="00D87E44" w:rsidRDefault="00D87E44" w14:paraId="15458A7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7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Progress report on investment in IT infrastructure</w:t>
            </w:r>
          </w:p>
        </w:tc>
        <w:tc>
          <w:tcPr>
            <w:tcW w:w="1731" w:type="dxa"/>
            <w:shd w:val="clear" w:color="auto" w:fill="C6EFCE"/>
          </w:tcPr>
          <w:p w:rsidRPr="00FE48E2" w:rsidR="00D87E44" w:rsidRDefault="00D87E44" w14:paraId="15458A7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Publication of the report</w:t>
            </w:r>
          </w:p>
        </w:tc>
        <w:tc>
          <w:tcPr>
            <w:tcW w:w="955" w:type="dxa"/>
            <w:shd w:val="clear" w:color="auto" w:fill="C6EFCE"/>
          </w:tcPr>
          <w:p w:rsidRPr="00FE48E2" w:rsidR="00D87E44" w:rsidRDefault="00D87E44" w14:paraId="15458A7D"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7E"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7F"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FE48E2" w:rsidR="00D87E44" w:rsidRDefault="00D87E44" w14:paraId="15458A8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sidRPr="0A4DE686">
              <w:rPr>
                <w:rFonts w:eastAsia="Times New Roman"/>
                <w:noProof/>
                <w:color w:val="006100"/>
                <w:sz w:val="18"/>
                <w:szCs w:val="18"/>
                <w:lang w:val="en-IE"/>
              </w:rPr>
              <w:t>4</w:t>
            </w:r>
          </w:p>
        </w:tc>
        <w:tc>
          <w:tcPr>
            <w:tcW w:w="900" w:type="dxa"/>
            <w:shd w:val="clear" w:color="auto" w:fill="C6EFCE"/>
          </w:tcPr>
          <w:p w:rsidRPr="00FE48E2" w:rsidR="00D87E44" w:rsidRDefault="00D87E44" w14:paraId="15458A8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w:t>
            </w:r>
            <w:r w:rsidRPr="0A4DE686">
              <w:rPr>
                <w:rFonts w:eastAsia="Times New Roman"/>
                <w:noProof/>
                <w:color w:val="006100"/>
                <w:sz w:val="18"/>
                <w:szCs w:val="18"/>
                <w:lang w:val="en-IE"/>
              </w:rPr>
              <w:t>4</w:t>
            </w:r>
          </w:p>
        </w:tc>
        <w:tc>
          <w:tcPr>
            <w:tcW w:w="3699" w:type="dxa"/>
            <w:shd w:val="clear" w:color="auto" w:fill="C6EFCE"/>
          </w:tcPr>
          <w:p w:rsidRPr="00FE48E2" w:rsidR="00D87E44" w:rsidRDefault="00D87E44" w14:paraId="15458A82" w14:textId="77777777">
            <w:pPr>
              <w:spacing w:before="0" w:after="0" w:line="240" w:lineRule="auto"/>
              <w:rPr>
                <w:rFonts w:eastAsia="Times New Roman"/>
                <w:noProof/>
                <w:color w:val="006100"/>
                <w:sz w:val="18"/>
                <w:szCs w:val="18"/>
                <w:lang w:val="en-IE"/>
              </w:rPr>
            </w:pPr>
            <w:r w:rsidRPr="2693E75F">
              <w:rPr>
                <w:rFonts w:eastAsia="Times New Roman"/>
                <w:noProof/>
                <w:color w:val="006100"/>
                <w:sz w:val="18"/>
                <w:szCs w:val="18"/>
                <w:lang w:val="en-IE"/>
              </w:rPr>
              <w:t>Publication of  a report assessing the investments realized by DSOs in metering and billing systems, IT infrastructure as well as the gaps and future investment needs in view of ensuring energy sharing.  The report shall be established by an independent third party.</w:t>
            </w:r>
          </w:p>
        </w:tc>
      </w:tr>
      <w:tr w:rsidRPr="00FE48E2" w:rsidR="00E3458A" w14:paraId="15458A90" w14:textId="77777777">
        <w:trPr>
          <w:trHeight w:val="309"/>
          <w:jc w:val="center"/>
        </w:trPr>
        <w:tc>
          <w:tcPr>
            <w:tcW w:w="704" w:type="dxa"/>
            <w:shd w:val="clear" w:color="auto" w:fill="C6EFCE"/>
          </w:tcPr>
          <w:p w:rsidRPr="004F1648" w:rsidR="00D87E44" w:rsidRDefault="00D87E44" w14:paraId="15458A84" w14:textId="77777777">
            <w:pPr>
              <w:spacing w:before="0" w:after="0" w:line="240" w:lineRule="auto"/>
              <w:rPr>
                <w:rFonts w:eastAsia="Times New Roman"/>
                <w:noProof/>
                <w:color w:val="004300"/>
                <w:sz w:val="18"/>
                <w:szCs w:val="18"/>
                <w:lang w:val="en-IE"/>
              </w:rPr>
            </w:pPr>
            <w:r w:rsidRPr="004F1648">
              <w:rPr>
                <w:rFonts w:eastAsia="Times New Roman"/>
                <w:noProof/>
                <w:color w:val="004300"/>
                <w:sz w:val="18"/>
                <w:szCs w:val="18"/>
                <w:lang w:val="en-IE"/>
              </w:rPr>
              <w:t>314</w:t>
            </w:r>
          </w:p>
        </w:tc>
        <w:tc>
          <w:tcPr>
            <w:tcW w:w="1787" w:type="dxa"/>
            <w:shd w:val="clear" w:color="auto" w:fill="C6EFCE"/>
          </w:tcPr>
          <w:p w:rsidRPr="00FE48E2" w:rsidR="00D87E44" w:rsidRDefault="00D87E44" w14:paraId="15458A8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1: Energy communities</w:t>
            </w:r>
          </w:p>
        </w:tc>
        <w:tc>
          <w:tcPr>
            <w:tcW w:w="1095" w:type="dxa"/>
            <w:shd w:val="clear" w:color="auto" w:fill="C6EFCE"/>
          </w:tcPr>
          <w:p w:rsidRPr="00FE48E2" w:rsidR="00D87E44" w:rsidRDefault="00D87E44" w14:paraId="15458A8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8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Guidelines on energy communities</w:t>
            </w:r>
          </w:p>
          <w:p w:rsidRPr="00FE48E2" w:rsidR="00D87E44" w:rsidRDefault="00D87E44" w14:paraId="15458A88" w14:textId="77777777">
            <w:pPr>
              <w:spacing w:line="240" w:lineRule="auto"/>
              <w:rPr>
                <w:rFonts w:eastAsia="Times New Roman"/>
                <w:noProof/>
                <w:color w:val="006100"/>
                <w:sz w:val="18"/>
                <w:szCs w:val="18"/>
                <w:lang w:val="en-IE"/>
              </w:rPr>
            </w:pPr>
          </w:p>
        </w:tc>
        <w:tc>
          <w:tcPr>
            <w:tcW w:w="1731" w:type="dxa"/>
            <w:shd w:val="clear" w:color="auto" w:fill="C6EFCE"/>
          </w:tcPr>
          <w:p w:rsidRPr="00FE48E2" w:rsidR="00D87E44" w:rsidRDefault="00D87E44" w14:paraId="15458A89" w14:textId="77777777">
            <w:pPr>
              <w:spacing w:before="0" w:after="0" w:line="240" w:lineRule="auto"/>
              <w:rPr>
                <w:rFonts w:eastAsia="Times New Roman"/>
                <w:noProof/>
                <w:color w:val="006100"/>
                <w:sz w:val="18"/>
                <w:szCs w:val="18"/>
                <w:lang w:val="en-IE"/>
              </w:rPr>
            </w:pPr>
            <w:r w:rsidRPr="27B542D9">
              <w:rPr>
                <w:rFonts w:eastAsia="Times New Roman"/>
                <w:noProof/>
                <w:color w:val="006100"/>
                <w:sz w:val="18"/>
                <w:szCs w:val="18"/>
                <w:lang w:val="en-IE"/>
              </w:rPr>
              <w:t>Publication on ministerial website</w:t>
            </w:r>
          </w:p>
        </w:tc>
        <w:tc>
          <w:tcPr>
            <w:tcW w:w="955" w:type="dxa"/>
            <w:shd w:val="clear" w:color="auto" w:fill="C6EFCE"/>
          </w:tcPr>
          <w:p w:rsidRPr="00FE48E2" w:rsidR="00D87E44" w:rsidRDefault="00D87E44" w14:paraId="15458A8A"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8B"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8C"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FE48E2" w:rsidR="00D87E44" w:rsidRDefault="00D87E44" w14:paraId="15458A8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Q1</w:t>
            </w:r>
          </w:p>
        </w:tc>
        <w:tc>
          <w:tcPr>
            <w:tcW w:w="900" w:type="dxa"/>
            <w:shd w:val="clear" w:color="auto" w:fill="C6EFCE"/>
          </w:tcPr>
          <w:p w:rsidRPr="00FE48E2" w:rsidR="00D87E44" w:rsidRDefault="00D87E44" w14:paraId="15458A8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2026</w:t>
            </w:r>
          </w:p>
        </w:tc>
        <w:tc>
          <w:tcPr>
            <w:tcW w:w="3699" w:type="dxa"/>
            <w:shd w:val="clear" w:color="auto" w:fill="C6EFCE"/>
          </w:tcPr>
          <w:p w:rsidRPr="00FE48E2" w:rsidR="00D87E44" w:rsidRDefault="00D87E44" w14:paraId="15458A8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Guidelines and templated documents for the legal establishment of energy communities</w:t>
            </w:r>
            <w:r>
              <w:rPr>
                <w:rFonts w:eastAsia="Times New Roman"/>
                <w:noProof/>
                <w:color w:val="006100"/>
                <w:sz w:val="18"/>
                <w:szCs w:val="18"/>
                <w:lang w:val="en-IE"/>
              </w:rPr>
              <w:t xml:space="preserve"> </w:t>
            </w:r>
            <w:r w:rsidRPr="00FE48E2">
              <w:rPr>
                <w:rFonts w:eastAsia="Times New Roman"/>
                <w:noProof/>
                <w:color w:val="006100"/>
                <w:sz w:val="18"/>
                <w:szCs w:val="18"/>
                <w:lang w:val="en-IE"/>
              </w:rPr>
              <w:t xml:space="preserve">shall be published </w:t>
            </w:r>
            <w:r>
              <w:rPr>
                <w:rFonts w:eastAsia="Times New Roman"/>
                <w:noProof/>
                <w:color w:val="006100"/>
                <w:sz w:val="18"/>
                <w:szCs w:val="18"/>
                <w:lang w:val="en-IE"/>
              </w:rPr>
              <w:t>on a ministerial website.</w:t>
            </w:r>
            <w:r w:rsidRPr="00FE48E2">
              <w:rPr>
                <w:rFonts w:eastAsia="Times New Roman"/>
                <w:noProof/>
                <w:color w:val="006100"/>
                <w:sz w:val="18"/>
                <w:szCs w:val="18"/>
                <w:lang w:val="en-IE"/>
              </w:rPr>
              <w:t xml:space="preserve"> </w:t>
            </w:r>
          </w:p>
        </w:tc>
      </w:tr>
      <w:tr w:rsidRPr="00FE48E2" w:rsidR="00E3458A" w14:paraId="15458A9F" w14:textId="77777777">
        <w:trPr>
          <w:trHeight w:val="309"/>
          <w:jc w:val="center"/>
        </w:trPr>
        <w:tc>
          <w:tcPr>
            <w:tcW w:w="704" w:type="dxa"/>
            <w:shd w:val="clear" w:color="auto" w:fill="C6EFCE"/>
          </w:tcPr>
          <w:p w:rsidRPr="004F1648" w:rsidR="00D87E44" w:rsidRDefault="00D87E44" w14:paraId="15458A91" w14:textId="77777777">
            <w:pPr>
              <w:spacing w:before="0" w:after="0" w:line="240" w:lineRule="auto"/>
              <w:rPr>
                <w:rFonts w:eastAsia="Times New Roman"/>
                <w:noProof/>
                <w:color w:val="004300"/>
                <w:sz w:val="18"/>
                <w:szCs w:val="18"/>
                <w:lang w:val="en-IE"/>
              </w:rPr>
            </w:pPr>
            <w:r w:rsidRPr="00AF43D5">
              <w:rPr>
                <w:rFonts w:eastAsia="Times New Roman"/>
                <w:noProof/>
                <w:color w:val="004300"/>
                <w:sz w:val="18"/>
                <w:szCs w:val="18"/>
                <w:lang w:val="en-IE"/>
              </w:rPr>
              <w:t>315</w:t>
            </w:r>
          </w:p>
        </w:tc>
        <w:tc>
          <w:tcPr>
            <w:tcW w:w="1787" w:type="dxa"/>
            <w:shd w:val="clear" w:color="auto" w:fill="C6EFCE"/>
          </w:tcPr>
          <w:p w:rsidRPr="00FE48E2" w:rsidR="00D87E44" w:rsidRDefault="00D87E44" w14:paraId="15458A9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2 : </w:t>
            </w:r>
          </w:p>
          <w:p w:rsidRPr="00FE48E2" w:rsidR="00D87E44" w:rsidRDefault="00D87E44" w14:paraId="15458A9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Energy Storage and Non fossil flexibility framework</w:t>
            </w:r>
          </w:p>
          <w:p w:rsidRPr="00FE48E2" w:rsidR="00D87E44" w:rsidRDefault="00D87E44" w14:paraId="15458A94"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95" w:type="dxa"/>
            <w:shd w:val="clear" w:color="auto" w:fill="C6EFCE"/>
          </w:tcPr>
          <w:p w:rsidRPr="00FE48E2" w:rsidR="00D87E44" w:rsidRDefault="00D87E44" w14:paraId="15458A9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9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Report on the need for non- fossil  flexibility</w:t>
            </w:r>
          </w:p>
        </w:tc>
        <w:tc>
          <w:tcPr>
            <w:tcW w:w="1731" w:type="dxa"/>
            <w:shd w:val="clear" w:color="auto" w:fill="C6EFCE"/>
          </w:tcPr>
          <w:p w:rsidRPr="00FE48E2" w:rsidR="00D87E44" w:rsidRDefault="00D87E44" w14:paraId="15458A97"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Publication of the report on the website of the Ministry of Industry</w:t>
            </w:r>
          </w:p>
        </w:tc>
        <w:tc>
          <w:tcPr>
            <w:tcW w:w="955" w:type="dxa"/>
            <w:shd w:val="clear" w:color="auto" w:fill="C6EFCE"/>
          </w:tcPr>
          <w:p w:rsidRPr="00FE48E2" w:rsidR="00D87E44" w:rsidRDefault="00D87E44" w14:paraId="15458A98"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99"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9A"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FE48E2" w:rsidR="00D87E44" w:rsidRDefault="00D87E44" w14:paraId="15458A9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Q3</w:t>
            </w:r>
          </w:p>
        </w:tc>
        <w:tc>
          <w:tcPr>
            <w:tcW w:w="900" w:type="dxa"/>
            <w:shd w:val="clear" w:color="auto" w:fill="C6EFCE"/>
          </w:tcPr>
          <w:p w:rsidRPr="00FE48E2" w:rsidR="00D87E44" w:rsidRDefault="00D87E44" w14:paraId="15458A9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699" w:type="dxa"/>
            <w:shd w:val="clear" w:color="auto" w:fill="C6EFCE"/>
          </w:tcPr>
          <w:p w:rsidRPr="00FE48E2" w:rsidR="00D87E44" w:rsidRDefault="00D87E44" w14:paraId="15458A9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Publication of a forward-looking report on system flexibility need assessment and potential, covering a 5-year period. The report shall evaluate and identify barriers for non-fossil flexibility in the market and propose relevant mitigation actions. The report shall also identify relevant financing instruments and sources to support the uptake of non-fossil flexibility via public or private sources.</w:t>
            </w:r>
          </w:p>
          <w:p w:rsidRPr="00FE48E2" w:rsidR="00D87E44" w:rsidRDefault="00D87E44" w14:paraId="15458A9E"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The report shall be established by an independent third party.</w:t>
            </w:r>
          </w:p>
        </w:tc>
      </w:tr>
      <w:tr w:rsidRPr="00FE48E2" w:rsidR="00E3458A" w14:paraId="15458AB5" w14:textId="77777777">
        <w:trPr>
          <w:trHeight w:val="309"/>
          <w:jc w:val="center"/>
        </w:trPr>
        <w:tc>
          <w:tcPr>
            <w:tcW w:w="704" w:type="dxa"/>
            <w:shd w:val="clear" w:color="auto" w:fill="C6EFCE"/>
          </w:tcPr>
          <w:p w:rsidRPr="004F1648" w:rsidR="00D87E44" w:rsidRDefault="00D87E44" w14:paraId="15458AA0" w14:textId="77777777">
            <w:pPr>
              <w:spacing w:before="0" w:after="0" w:line="240" w:lineRule="auto"/>
              <w:rPr>
                <w:rFonts w:eastAsia="Times New Roman"/>
                <w:noProof/>
                <w:color w:val="004300"/>
                <w:sz w:val="18"/>
                <w:szCs w:val="18"/>
                <w:lang w:val="en-IE"/>
              </w:rPr>
            </w:pPr>
            <w:r w:rsidRPr="00AF43D5">
              <w:rPr>
                <w:rFonts w:eastAsia="Times New Roman"/>
                <w:noProof/>
                <w:color w:val="004300"/>
                <w:sz w:val="18"/>
                <w:szCs w:val="18"/>
                <w:lang w:val="en-IE"/>
              </w:rPr>
              <w:t>316</w:t>
            </w:r>
          </w:p>
        </w:tc>
        <w:tc>
          <w:tcPr>
            <w:tcW w:w="1787" w:type="dxa"/>
            <w:shd w:val="clear" w:color="auto" w:fill="C6EFCE"/>
          </w:tcPr>
          <w:p w:rsidRPr="00FE48E2" w:rsidR="00D87E44" w:rsidRDefault="00D87E44" w14:paraId="15458AA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2 : </w:t>
            </w:r>
          </w:p>
          <w:p w:rsidRPr="00FE48E2" w:rsidR="00D87E44" w:rsidRDefault="00D87E44" w14:paraId="15458AA2"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Energy Storage and Non </w:t>
            </w:r>
            <w:r w:rsidRPr="00FE48E2">
              <w:rPr>
                <w:rFonts w:eastAsia="Times New Roman"/>
                <w:noProof/>
                <w:color w:val="006100"/>
                <w:sz w:val="18"/>
                <w:szCs w:val="18"/>
                <w:lang w:val="en-IE"/>
              </w:rPr>
              <w:t>fossil flexibility framework</w:t>
            </w:r>
          </w:p>
          <w:p w:rsidRPr="00FE48E2" w:rsidR="00D87E44" w:rsidRDefault="00D87E44" w14:paraId="15458AA3"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 xml:space="preserve"> </w:t>
            </w:r>
          </w:p>
        </w:tc>
        <w:tc>
          <w:tcPr>
            <w:tcW w:w="1095" w:type="dxa"/>
            <w:shd w:val="clear" w:color="auto" w:fill="C6EFCE"/>
          </w:tcPr>
          <w:p w:rsidRPr="00FE48E2" w:rsidR="00D87E44" w:rsidRDefault="00D87E44" w14:paraId="15458AA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lastRenderedPageBreak/>
              <w:t>Milestone</w:t>
            </w:r>
          </w:p>
        </w:tc>
        <w:tc>
          <w:tcPr>
            <w:tcW w:w="1489" w:type="dxa"/>
            <w:shd w:val="clear" w:color="auto" w:fill="C6EFCE"/>
          </w:tcPr>
          <w:p w:rsidRPr="00FE48E2" w:rsidR="00D87E44" w:rsidRDefault="00D87E44" w14:paraId="15458AA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Entry into force of the legislative changes</w:t>
            </w:r>
          </w:p>
        </w:tc>
        <w:tc>
          <w:tcPr>
            <w:tcW w:w="1731" w:type="dxa"/>
            <w:shd w:val="clear" w:color="auto" w:fill="C6EFCE"/>
          </w:tcPr>
          <w:p w:rsidRPr="00FE48E2" w:rsidR="00D87E44" w:rsidRDefault="00D87E44" w14:paraId="15458AA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Provision in the law indicating the entry into force </w:t>
            </w:r>
          </w:p>
        </w:tc>
        <w:tc>
          <w:tcPr>
            <w:tcW w:w="955" w:type="dxa"/>
            <w:shd w:val="clear" w:color="auto" w:fill="C6EFCE"/>
          </w:tcPr>
          <w:p w:rsidRPr="00FE48E2" w:rsidR="00D87E44" w:rsidRDefault="00D87E44" w14:paraId="15458AA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A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55" w:type="dxa"/>
            <w:shd w:val="clear" w:color="auto" w:fill="C6EFCE"/>
          </w:tcPr>
          <w:p w:rsidRPr="00FE48E2" w:rsidR="00D87E44" w:rsidRDefault="00D87E44" w14:paraId="15458AA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40" w:type="dxa"/>
            <w:shd w:val="clear" w:color="auto" w:fill="C6EFCE"/>
          </w:tcPr>
          <w:p w:rsidRPr="00FE48E2" w:rsidR="00D87E44" w:rsidRDefault="00D87E44" w14:paraId="15458AA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Q4</w:t>
            </w:r>
          </w:p>
        </w:tc>
        <w:tc>
          <w:tcPr>
            <w:tcW w:w="900" w:type="dxa"/>
            <w:shd w:val="clear" w:color="auto" w:fill="C6EFCE"/>
          </w:tcPr>
          <w:p w:rsidRPr="00FE48E2" w:rsidR="00D87E44" w:rsidRDefault="00D87E44" w14:paraId="15458AA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699" w:type="dxa"/>
            <w:shd w:val="clear" w:color="auto" w:fill="C6EFCE"/>
          </w:tcPr>
          <w:p w:rsidRPr="0087306A" w:rsidR="00D87E44" w:rsidRDefault="00D87E44" w14:paraId="15458AAC" w14:textId="77777777">
            <w:pPr>
              <w:spacing w:before="0" w:after="0" w:line="240" w:lineRule="auto"/>
              <w:rPr>
                <w:rFonts w:eastAsia="Times New Roman"/>
                <w:noProof/>
                <w:color w:val="006100"/>
                <w:sz w:val="18"/>
                <w:szCs w:val="18"/>
                <w:lang w:val="en-IE"/>
              </w:rPr>
            </w:pPr>
            <w:r w:rsidRPr="0087306A">
              <w:rPr>
                <w:rFonts w:eastAsia="Times New Roman"/>
                <w:noProof/>
                <w:color w:val="006100"/>
                <w:sz w:val="18"/>
                <w:szCs w:val="18"/>
                <w:lang w:val="en-IE"/>
              </w:rPr>
              <w:t xml:space="preserve">Entry into force of legislation establishing a regulatory framework on energy storage, </w:t>
            </w:r>
            <w:r w:rsidRPr="0087306A">
              <w:rPr>
                <w:rFonts w:eastAsia="Times New Roman"/>
                <w:noProof/>
                <w:color w:val="006100"/>
                <w:sz w:val="18"/>
                <w:szCs w:val="18"/>
                <w:lang w:val="en-IE"/>
              </w:rPr>
              <w:t>aggregation, active customers, participation of industrial demand response participants to the energy market.</w:t>
            </w:r>
          </w:p>
          <w:p w:rsidRPr="0087306A" w:rsidR="00D87E44" w:rsidRDefault="00D87E44" w14:paraId="15458AAD" w14:textId="77777777">
            <w:pPr>
              <w:spacing w:line="240" w:lineRule="auto"/>
              <w:rPr>
                <w:rFonts w:eastAsia="Times New Roman"/>
                <w:noProof/>
                <w:color w:val="006100"/>
                <w:sz w:val="18"/>
                <w:szCs w:val="18"/>
                <w:lang w:val="en-IE"/>
              </w:rPr>
            </w:pPr>
            <w:r w:rsidRPr="0087306A">
              <w:rPr>
                <w:rFonts w:eastAsia="Times New Roman"/>
                <w:noProof/>
                <w:color w:val="006100"/>
                <w:sz w:val="18"/>
                <w:szCs w:val="18"/>
                <w:lang w:val="en-IE"/>
              </w:rPr>
              <w:lastRenderedPageBreak/>
              <w:t>The amended legislation shall include :</w:t>
            </w:r>
          </w:p>
          <w:p w:rsidRPr="003613C3" w:rsidR="00D87E44" w:rsidP="00FF1320" w:rsidRDefault="00D87E44" w14:paraId="15458AAE" w14:textId="77777777">
            <w:pPr>
              <w:pStyle w:val="ListParagraph"/>
              <w:numPr>
                <w:ilvl w:val="0"/>
                <w:numId w:val="87"/>
              </w:numPr>
              <w:spacing w:after="160" w:line="240" w:lineRule="auto"/>
              <w:rPr>
                <w:rFonts w:eastAsia="Times New Roman"/>
                <w:noProof/>
                <w:color w:val="006100"/>
                <w:lang w:val="en-IE"/>
              </w:rPr>
            </w:pPr>
            <w:r w:rsidRPr="00E3458A">
              <w:rPr>
                <w:color w:val="006100"/>
                <w:sz w:val="18"/>
                <w:lang w:val="en-IE"/>
              </w:rPr>
              <w:t xml:space="preserve">Concept of flexibility which allows services for </w:t>
            </w:r>
            <w:proofErr w:type="spellStart"/>
            <w:r w:rsidRPr="00E3458A">
              <w:rPr>
                <w:color w:val="006100"/>
                <w:sz w:val="18"/>
                <w:lang w:val="en-IE"/>
              </w:rPr>
              <w:t>exmaple</w:t>
            </w:r>
            <w:proofErr w:type="spellEnd"/>
            <w:r w:rsidRPr="00E3458A">
              <w:rPr>
                <w:color w:val="006100"/>
                <w:sz w:val="18"/>
                <w:lang w:val="en-IE"/>
              </w:rPr>
              <w:t xml:space="preserve"> storage, demand </w:t>
            </w:r>
            <w:proofErr w:type="spellStart"/>
            <w:r w:rsidRPr="00E3458A">
              <w:rPr>
                <w:color w:val="006100"/>
                <w:sz w:val="18"/>
                <w:lang w:val="en-IE"/>
              </w:rPr>
              <w:t>aggregationand</w:t>
            </w:r>
            <w:proofErr w:type="spellEnd"/>
            <w:r w:rsidRPr="00E3458A">
              <w:rPr>
                <w:color w:val="006100"/>
                <w:sz w:val="18"/>
                <w:lang w:val="en-IE"/>
              </w:rPr>
              <w:t xml:space="preserve"> demand response;</w:t>
            </w:r>
          </w:p>
          <w:p w:rsidRPr="00E6515D" w:rsidR="00D87E44" w:rsidP="00FF1320" w:rsidRDefault="00D87E44" w14:paraId="15458AAF" w14:textId="77777777">
            <w:pPr>
              <w:pStyle w:val="ListParagraph"/>
              <w:numPr>
                <w:ilvl w:val="0"/>
                <w:numId w:val="87"/>
              </w:numPr>
              <w:spacing w:after="160" w:line="240" w:lineRule="auto"/>
              <w:rPr>
                <w:rFonts w:eastAsia="Times New Roman"/>
                <w:noProof/>
                <w:color w:val="006100"/>
                <w:sz w:val="18"/>
                <w:szCs w:val="18"/>
                <w:lang w:val="en-IE"/>
              </w:rPr>
            </w:pPr>
            <w:r w:rsidRPr="00E3458A">
              <w:rPr>
                <w:color w:val="006100"/>
                <w:sz w:val="18"/>
                <w:lang w:val="en-IE"/>
              </w:rPr>
              <w:t>A  trading license for energy storage assets operators and aggregators for participating on energy  market;</w:t>
            </w:r>
          </w:p>
          <w:p w:rsidRPr="00E6515D" w:rsidR="00D87E44" w:rsidP="00FF1320" w:rsidRDefault="00D87E44" w14:paraId="15458AB0" w14:textId="77777777">
            <w:pPr>
              <w:pStyle w:val="ListParagraph"/>
              <w:numPr>
                <w:ilvl w:val="0"/>
                <w:numId w:val="87"/>
              </w:numPr>
              <w:spacing w:after="160" w:line="240" w:lineRule="auto"/>
              <w:rPr>
                <w:rFonts w:eastAsia="Times New Roman"/>
                <w:noProof/>
                <w:color w:val="006100"/>
                <w:sz w:val="18"/>
                <w:szCs w:val="18"/>
                <w:lang w:val="en-IE"/>
              </w:rPr>
            </w:pPr>
            <w:r w:rsidRPr="00E3458A">
              <w:rPr>
                <w:color w:val="006100"/>
                <w:sz w:val="18"/>
                <w:lang w:val="en-IE"/>
              </w:rPr>
              <w:t>Definition of the rights and obligations of the operator of the energy storage assets and the demand aggregator in relation with other market participants;</w:t>
            </w:r>
          </w:p>
          <w:p w:rsidRPr="00E3458A" w:rsidR="00D87E44" w:rsidP="00FF1320" w:rsidRDefault="00D87E44" w14:paraId="15458AB1" w14:textId="77777777">
            <w:pPr>
              <w:pStyle w:val="ListParagraph"/>
              <w:numPr>
                <w:ilvl w:val="0"/>
                <w:numId w:val="87"/>
              </w:numPr>
              <w:spacing w:after="160" w:line="240" w:lineRule="auto"/>
              <w:rPr>
                <w:color w:val="006100"/>
                <w:sz w:val="18"/>
                <w:lang w:val="en-IE"/>
              </w:rPr>
            </w:pPr>
            <w:r w:rsidRPr="00E3458A">
              <w:rPr>
                <w:color w:val="006100"/>
                <w:sz w:val="18"/>
                <w:lang w:val="en-IE"/>
              </w:rPr>
              <w:t>The right and rules for an active consumer to operate a storage asset;</w:t>
            </w:r>
          </w:p>
          <w:p w:rsidRPr="00E3458A" w:rsidR="00D87E44" w:rsidP="00FF1320" w:rsidRDefault="00D87E44" w14:paraId="15458AB2" w14:textId="77777777">
            <w:pPr>
              <w:pStyle w:val="ListParagraph"/>
              <w:numPr>
                <w:ilvl w:val="0"/>
                <w:numId w:val="87"/>
              </w:numPr>
              <w:spacing w:after="160" w:line="240" w:lineRule="auto"/>
              <w:rPr>
                <w:color w:val="006100"/>
                <w:sz w:val="18"/>
                <w:lang w:val="en-IE"/>
              </w:rPr>
            </w:pPr>
            <w:r w:rsidRPr="00E3458A">
              <w:rPr>
                <w:color w:val="006100"/>
                <w:sz w:val="18"/>
                <w:lang w:val="en-IE"/>
              </w:rPr>
              <w:t>Provisions of contracts on aggregation and operating the energy storage assets;</w:t>
            </w:r>
          </w:p>
          <w:p w:rsidRPr="00E3458A" w:rsidR="00D87E44" w:rsidP="00FF1320" w:rsidRDefault="00D87E44" w14:paraId="15458AB3" w14:textId="77777777">
            <w:pPr>
              <w:pStyle w:val="ListParagraph"/>
              <w:numPr>
                <w:ilvl w:val="0"/>
                <w:numId w:val="87"/>
              </w:numPr>
              <w:spacing w:after="160" w:line="240" w:lineRule="auto"/>
              <w:rPr>
                <w:color w:val="006100"/>
                <w:sz w:val="18"/>
                <w:lang w:val="en-IE"/>
              </w:rPr>
            </w:pPr>
            <w:r w:rsidRPr="00E3458A">
              <w:rPr>
                <w:color w:val="006100"/>
                <w:sz w:val="18"/>
                <w:lang w:val="en-IE"/>
              </w:rPr>
              <w:t>Exclusion of double charging (concerning the electricity from the grid, then delivered back to the grid and consumed by the final customer).</w:t>
            </w:r>
          </w:p>
          <w:p w:rsidRPr="00E3458A" w:rsidR="00D87E44" w:rsidP="00FF1320" w:rsidRDefault="00D87E44" w14:paraId="15458AB4" w14:textId="77777777">
            <w:pPr>
              <w:pStyle w:val="ListParagraph"/>
              <w:numPr>
                <w:ilvl w:val="0"/>
                <w:numId w:val="87"/>
              </w:numPr>
              <w:spacing w:after="160" w:line="240" w:lineRule="auto"/>
              <w:rPr>
                <w:color w:val="006100"/>
                <w:sz w:val="18"/>
                <w:lang w:val="en-IE"/>
              </w:rPr>
            </w:pPr>
            <w:r w:rsidRPr="00E3458A">
              <w:rPr>
                <w:color w:val="006100"/>
                <w:sz w:val="18"/>
                <w:lang w:val="en-IE"/>
              </w:rPr>
              <w:t>The conditions for energy communities and collective self-consumers to participate to aggregation, storage, electricity distribution, electricity production activities.</w:t>
            </w:r>
          </w:p>
        </w:tc>
      </w:tr>
      <w:tr w:rsidRPr="00FE48E2" w:rsidR="00E3458A" w14:paraId="15458AC5" w14:textId="77777777">
        <w:trPr>
          <w:trHeight w:val="309"/>
          <w:jc w:val="center"/>
        </w:trPr>
        <w:tc>
          <w:tcPr>
            <w:tcW w:w="704" w:type="dxa"/>
            <w:shd w:val="clear" w:color="auto" w:fill="C6EFCE"/>
          </w:tcPr>
          <w:p w:rsidRPr="004F1648" w:rsidR="00D87E44" w:rsidRDefault="00D87E44" w14:paraId="15458AB6" w14:textId="77777777">
            <w:pPr>
              <w:spacing w:before="0" w:after="0" w:line="240" w:lineRule="auto"/>
              <w:rPr>
                <w:rFonts w:eastAsia="Times New Roman"/>
                <w:noProof/>
                <w:color w:val="004300"/>
                <w:sz w:val="18"/>
                <w:szCs w:val="18"/>
                <w:lang w:val="en-IE"/>
              </w:rPr>
            </w:pPr>
            <w:r w:rsidRPr="00AF43D5">
              <w:rPr>
                <w:rFonts w:eastAsia="Times New Roman"/>
                <w:noProof/>
                <w:color w:val="004300"/>
                <w:sz w:val="18"/>
                <w:szCs w:val="18"/>
                <w:lang w:val="en-IE"/>
              </w:rPr>
              <w:lastRenderedPageBreak/>
              <w:t>317</w:t>
            </w:r>
          </w:p>
        </w:tc>
        <w:tc>
          <w:tcPr>
            <w:tcW w:w="1787" w:type="dxa"/>
            <w:shd w:val="clear" w:color="auto" w:fill="C6EFCE"/>
          </w:tcPr>
          <w:p w:rsidRPr="00FE48E2" w:rsidR="00D87E44" w:rsidRDefault="00D87E44" w14:paraId="15458AB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2 : </w:t>
            </w:r>
          </w:p>
          <w:p w:rsidRPr="00FE48E2" w:rsidR="00D87E44" w:rsidRDefault="00D87E44" w14:paraId="15458AB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Energy Storage and Non fossil flexibility framework</w:t>
            </w:r>
          </w:p>
          <w:p w:rsidRPr="00FE48E2" w:rsidR="00D87E44" w:rsidRDefault="00D87E44" w14:paraId="15458AB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1095" w:type="dxa"/>
            <w:shd w:val="clear" w:color="auto" w:fill="C6EFCE"/>
          </w:tcPr>
          <w:p w:rsidRPr="00FE48E2" w:rsidR="00D87E44" w:rsidRDefault="00D87E44" w14:paraId="15458AB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89" w:type="dxa"/>
            <w:shd w:val="clear" w:color="auto" w:fill="C6EFCE"/>
          </w:tcPr>
          <w:p w:rsidRPr="00FE48E2" w:rsidR="00D87E44" w:rsidRDefault="00D87E44" w14:paraId="15458AB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Publication of the Flexibility Action Plan </w:t>
            </w:r>
          </w:p>
        </w:tc>
        <w:tc>
          <w:tcPr>
            <w:tcW w:w="1731" w:type="dxa"/>
            <w:shd w:val="clear" w:color="auto" w:fill="C6EFCE"/>
          </w:tcPr>
          <w:p w:rsidRPr="00FE48E2" w:rsidR="00D87E44" w:rsidRDefault="00D87E44" w14:paraId="15458AB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Adoption by the government of the Action Plan</w:t>
            </w:r>
          </w:p>
          <w:p w:rsidRPr="00FE48E2" w:rsidR="00D87E44" w:rsidRDefault="00D87E44" w14:paraId="15458ABD"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BE"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BF" w14:textId="77777777">
            <w:pPr>
              <w:spacing w:before="0" w:after="0" w:line="240" w:lineRule="auto"/>
              <w:rPr>
                <w:rFonts w:eastAsia="Times New Roman"/>
                <w:noProof/>
                <w:color w:val="006100"/>
                <w:sz w:val="18"/>
                <w:szCs w:val="18"/>
                <w:lang w:val="en-IE"/>
              </w:rPr>
            </w:pPr>
          </w:p>
        </w:tc>
        <w:tc>
          <w:tcPr>
            <w:tcW w:w="955" w:type="dxa"/>
            <w:shd w:val="clear" w:color="auto" w:fill="C6EFCE"/>
          </w:tcPr>
          <w:p w:rsidRPr="00FE48E2" w:rsidR="00D87E44" w:rsidRDefault="00D87E44" w14:paraId="15458AC0" w14:textId="77777777">
            <w:pPr>
              <w:spacing w:before="0" w:after="0" w:line="240" w:lineRule="auto"/>
              <w:rPr>
                <w:rFonts w:eastAsia="Times New Roman"/>
                <w:noProof/>
                <w:color w:val="006100"/>
                <w:sz w:val="18"/>
                <w:szCs w:val="18"/>
                <w:lang w:val="en-IE"/>
              </w:rPr>
            </w:pPr>
          </w:p>
        </w:tc>
        <w:tc>
          <w:tcPr>
            <w:tcW w:w="1040" w:type="dxa"/>
            <w:shd w:val="clear" w:color="auto" w:fill="C6EFCE"/>
          </w:tcPr>
          <w:p w:rsidRPr="00FE48E2" w:rsidR="00D87E44" w:rsidRDefault="00D87E44" w14:paraId="15458AC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sidRPr="0A4DE686">
              <w:rPr>
                <w:rFonts w:eastAsia="Times New Roman"/>
                <w:noProof/>
                <w:color w:val="006100"/>
                <w:sz w:val="18"/>
                <w:szCs w:val="18"/>
                <w:lang w:val="en-IE"/>
              </w:rPr>
              <w:t>4</w:t>
            </w:r>
          </w:p>
        </w:tc>
        <w:tc>
          <w:tcPr>
            <w:tcW w:w="900" w:type="dxa"/>
            <w:shd w:val="clear" w:color="auto" w:fill="C6EFCE"/>
          </w:tcPr>
          <w:p w:rsidRPr="00FE48E2" w:rsidR="00D87E44" w:rsidRDefault="00D87E44" w14:paraId="15458AC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w:t>
            </w:r>
            <w:r w:rsidRPr="0A4DE686">
              <w:rPr>
                <w:rFonts w:eastAsia="Times New Roman"/>
                <w:noProof/>
                <w:color w:val="006100"/>
                <w:sz w:val="18"/>
                <w:szCs w:val="18"/>
                <w:lang w:val="en-IE"/>
              </w:rPr>
              <w:t>4</w:t>
            </w:r>
          </w:p>
        </w:tc>
        <w:tc>
          <w:tcPr>
            <w:tcW w:w="3699" w:type="dxa"/>
            <w:shd w:val="clear" w:color="auto" w:fill="C6EFCE"/>
          </w:tcPr>
          <w:p w:rsidRPr="00FE48E2" w:rsidR="00D87E44" w:rsidRDefault="00D87E44" w14:paraId="15458AC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The Action Plan shall define priorities of the developing of non-fossil flexibility and define a target for non-fossil flexibility, including demand response and energy storage for the next ten years.</w:t>
            </w:r>
          </w:p>
          <w:p w:rsidRPr="00FE48E2" w:rsidR="00D87E44" w:rsidRDefault="00D87E44" w14:paraId="15458AC4"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The Action Plan shall provide an investment trajectory to reach the identified potential and set out public financing and identify suitable private financing sources for supporting flexibility and storage technologies including timelines.</w:t>
            </w:r>
          </w:p>
        </w:tc>
      </w:tr>
    </w:tbl>
    <w:p w:rsidRPr="00FE48E2" w:rsidR="00D87E44" w:rsidP="00D226F4" w:rsidRDefault="00D87E44" w14:paraId="15458AC6" w14:textId="77777777">
      <w:pPr>
        <w:spacing w:after="0" w:line="259" w:lineRule="auto"/>
        <w:jc w:val="both"/>
        <w:rPr>
          <w:rFonts w:eastAsia="Times New Roman"/>
          <w:b/>
          <w:noProof/>
          <w:color w:val="000000" w:themeColor="text1"/>
          <w:szCs w:val="24"/>
          <w:u w:val="single"/>
          <w:lang w:val="en-IE"/>
        </w:rPr>
      </w:pPr>
    </w:p>
    <w:p w:rsidRPr="00FE48E2" w:rsidR="00D87E44" w:rsidP="00D226F4" w:rsidRDefault="00D87E44" w14:paraId="15458AC7" w14:textId="77777777">
      <w:pPr>
        <w:spacing w:after="0" w:line="259" w:lineRule="auto"/>
        <w:jc w:val="both"/>
        <w:rPr>
          <w:rFonts w:eastAsia="Times New Roman"/>
          <w:b/>
          <w:noProof/>
          <w:color w:val="000000" w:themeColor="text1"/>
          <w:szCs w:val="24"/>
          <w:u w:val="single"/>
          <w:lang w:val="en-IE"/>
        </w:rPr>
        <w:sectPr w:rsidRPr="00FE48E2" w:rsidR="00C16C1F" w:rsidSect="00D226F4">
          <w:headerReference w:type="even" r:id="R42512f952e0f40f9"/>
          <w:headerReference w:type="default" r:id="R4d6b50012439428f"/>
          <w:footerReference w:type="even" r:id="R3a32a6ba76ea4571"/>
          <w:footerReference w:type="default" r:id="R7a00cd9f920b4d6d"/>
          <w:headerReference w:type="first" r:id="Rabbdf11827954703"/>
          <w:footerReference w:type="first" r:id="Reaf7c8850cab4453"/>
          <w:pgSz w:w="16839" w:h="11907" w:orient="landscape"/>
          <w:pgMar w:top="1134" w:right="1134" w:bottom="1134" w:left="1134" w:header="567" w:footer="567" w:gutter="0"/>
          <w:cols w:space="720"/>
          <w:docGrid w:linePitch="360"/>
        </w:sectPr>
      </w:pPr>
    </w:p>
    <w:p w:rsidRPr="00FE48E2" w:rsidR="00D87E44" w:rsidP="00D226F4" w:rsidRDefault="00D87E44" w14:paraId="15458AC8"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GG. COMPONENT 7.3: Comprehensive reform of the Renovation Wave Advice in the Czech Republic (REPOWER EU)</w:t>
      </w:r>
    </w:p>
    <w:p w:rsidRPr="00FE48E2" w:rsidR="00D87E44" w:rsidP="00D226F4" w:rsidRDefault="00D87E44" w14:paraId="15458AC9" w14:textId="77777777">
      <w:pPr>
        <w:spacing w:line="240" w:lineRule="auto"/>
        <w:jc w:val="both"/>
        <w:rPr>
          <w:noProof/>
          <w:szCs w:val="24"/>
          <w:lang w:val="en-IE"/>
        </w:rPr>
      </w:pPr>
      <w:r w:rsidRPr="00FE48E2">
        <w:rPr>
          <w:noProof/>
          <w:szCs w:val="24"/>
          <w:lang w:val="en-IE"/>
        </w:rPr>
        <w:t xml:space="preserve">This component of the Czech plan aims to </w:t>
      </w:r>
      <w:r w:rsidRPr="00FE48E2">
        <w:rPr>
          <w:rFonts w:eastAsia="Times New Roman"/>
          <w:noProof/>
          <w:szCs w:val="24"/>
          <w:lang w:val="en-IE"/>
        </w:rPr>
        <w:t xml:space="preserve">streamline the process of renovation project preparation, increase the expertise and capacity in the area of energy efficiency renovations, raise awareness of energy poverty and available solutions, and </w:t>
      </w:r>
      <w:r w:rsidRPr="00FE48E2">
        <w:rPr>
          <w:rFonts w:eastAsia="Times New Roman"/>
          <w:noProof/>
          <w:szCs w:val="24"/>
          <w:lang w:val="en-IE"/>
        </w:rPr>
        <w:t>increase the number and quality of residential renovation projects.</w:t>
      </w:r>
    </w:p>
    <w:p w:rsidRPr="00FE48E2" w:rsidR="00D87E44" w:rsidP="00D226F4" w:rsidRDefault="00D87E44" w14:paraId="15458ACA" w14:textId="77777777">
      <w:pPr>
        <w:tabs>
          <w:tab w:val="left" w:pos="993"/>
        </w:tabs>
        <w:spacing w:line="240" w:lineRule="auto"/>
        <w:jc w:val="both"/>
        <w:rPr>
          <w:noProof/>
          <w:lang w:val="en-IE"/>
        </w:rPr>
      </w:pPr>
      <w:r w:rsidRPr="00FE48E2">
        <w:rPr>
          <w:rFonts w:eastAsia="Times New Roman"/>
          <w:noProof/>
          <w:lang w:val="en-IE"/>
        </w:rPr>
        <w:t>The component supports addressing the country specific recommendation to increase the energy efficiency of district heating systems and of the building stock by incentivising deep renovations and renewable heat sources</w:t>
      </w:r>
      <w:r w:rsidRPr="00FE48E2">
        <w:rPr>
          <w:noProof/>
          <w:lang w:val="en-IE"/>
        </w:rPr>
        <w:t xml:space="preserve"> (Country Specific Recommendation 4 202</w:t>
      </w:r>
      <w:r>
        <w:rPr>
          <w:noProof/>
          <w:lang w:val="en-IE"/>
        </w:rPr>
        <w:t>2</w:t>
      </w:r>
      <w:r w:rsidRPr="00FE48E2">
        <w:rPr>
          <w:noProof/>
          <w:lang w:val="en-IE"/>
        </w:rPr>
        <w:t>).</w:t>
      </w:r>
    </w:p>
    <w:p w:rsidRPr="00FE48E2" w:rsidR="00D87E44" w:rsidDel="00B35BA6" w:rsidP="00D226F4" w:rsidRDefault="00D87E44" w14:paraId="15458ACB" w14:textId="77777777">
      <w:pPr>
        <w:spacing w:before="0" w:after="160" w:line="259" w:lineRule="auto"/>
        <w:rPr>
          <w:noProof/>
          <w:szCs w:val="24"/>
          <w:lang w:val="en-IE"/>
        </w:rPr>
      </w:pPr>
    </w:p>
    <w:p w:rsidRPr="00FE48E2" w:rsidR="00D87E44" w:rsidDel="00B35BA6" w:rsidP="00D226F4" w:rsidRDefault="00D87E44" w14:paraId="15458ACC" w14:textId="77777777">
      <w:pPr>
        <w:spacing w:line="240" w:lineRule="auto"/>
        <w:jc w:val="both"/>
        <w:rPr>
          <w:rFonts w:eastAsia="Times New Roman"/>
          <w:b/>
          <w:bCs/>
          <w:noProof/>
          <w:u w:val="single"/>
          <w:lang w:val="en-IE" w:eastAsia="cs-CZ"/>
        </w:rPr>
      </w:pPr>
      <w:r w:rsidRPr="1B282876">
        <w:rPr>
          <w:rFonts w:eastAsia="Times New Roman"/>
          <w:b/>
          <w:bCs/>
          <w:noProof/>
          <w:u w:val="single"/>
          <w:lang w:val="en-IE" w:eastAsia="cs-CZ"/>
        </w:rPr>
        <w:t>GG.1. Description of the reforms and investments for non-repayable financial support</w:t>
      </w:r>
    </w:p>
    <w:p w:rsidRPr="00FE48E2" w:rsidR="00D87E44" w:rsidP="00D226F4" w:rsidRDefault="00D87E44" w14:paraId="15458ACD" w14:textId="77777777">
      <w:pPr>
        <w:spacing w:line="240" w:lineRule="auto"/>
        <w:jc w:val="both"/>
        <w:rPr>
          <w:b/>
          <w:noProof/>
          <w:lang w:val="en-IE"/>
        </w:rPr>
      </w:pPr>
      <w:r w:rsidRPr="00FE48E2">
        <w:rPr>
          <w:b/>
          <w:noProof/>
          <w:lang w:val="en-IE"/>
        </w:rPr>
        <w:t>Reform 1: One-stop-shops for energy communities and energy efficiency renovations</w:t>
      </w:r>
    </w:p>
    <w:p w:rsidRPr="00FE48E2" w:rsidR="00D87E44" w:rsidP="00D226F4" w:rsidRDefault="00D87E44" w14:paraId="15458ACE" w14:textId="77777777">
      <w:pPr>
        <w:spacing w:line="240" w:lineRule="auto"/>
        <w:jc w:val="both"/>
        <w:rPr>
          <w:noProof/>
          <w:lang w:val="en-IE"/>
        </w:rPr>
      </w:pPr>
      <w:r w:rsidRPr="00FE48E2">
        <w:rPr>
          <w:noProof/>
          <w:lang w:val="en-IE"/>
        </w:rPr>
        <w:t xml:space="preserve">The </w:t>
      </w:r>
      <w:r>
        <w:rPr>
          <w:noProof/>
          <w:lang w:val="en-IE"/>
        </w:rPr>
        <w:t>objective of the measure is to</w:t>
      </w:r>
      <w:r w:rsidRPr="00FE48E2">
        <w:rPr>
          <w:noProof/>
          <w:lang w:val="en-IE"/>
        </w:rPr>
        <w:t xml:space="preserve"> conduct an evaluation of the pilot operation of three regional one-stop-shops which provide households, enterprises and the public sector with advice on energy efficiency renovations. The</w:t>
      </w:r>
      <w:r>
        <w:rPr>
          <w:noProof/>
          <w:lang w:val="en-IE"/>
        </w:rPr>
        <w:t xml:space="preserve"> reform consists of a</w:t>
      </w:r>
      <w:r w:rsidRPr="00FE48E2">
        <w:rPr>
          <w:noProof/>
          <w:lang w:val="en-IE"/>
        </w:rPr>
        <w:t xml:space="preserve"> study which draws lessons learned and recommends </w:t>
      </w:r>
      <w:r>
        <w:rPr>
          <w:noProof/>
          <w:lang w:val="en-IE"/>
        </w:rPr>
        <w:t xml:space="preserve">follow-up </w:t>
      </w:r>
      <w:r w:rsidRPr="00FE48E2">
        <w:rPr>
          <w:noProof/>
          <w:lang w:val="en-IE"/>
        </w:rPr>
        <w:t>actions for the operation of regional one-stop-shops.</w:t>
      </w:r>
    </w:p>
    <w:p w:rsidRPr="00FE48E2" w:rsidR="00D87E44" w:rsidP="00D226F4" w:rsidRDefault="00D87E44" w14:paraId="15458ACF" w14:textId="77777777">
      <w:pPr>
        <w:spacing w:line="240" w:lineRule="auto"/>
        <w:jc w:val="both"/>
        <w:rPr>
          <w:b/>
          <w:noProof/>
          <w:lang w:val="en-IE"/>
        </w:rPr>
      </w:pPr>
      <w:r w:rsidRPr="00FE48E2">
        <w:rPr>
          <w:b/>
          <w:noProof/>
          <w:lang w:val="en-IE"/>
        </w:rPr>
        <w:t xml:space="preserve">Reform 2: Data and methodological guidance </w:t>
      </w:r>
      <w:r w:rsidRPr="0070162F">
        <w:rPr>
          <w:b/>
          <w:noProof/>
          <w:lang w:val="en-IE"/>
        </w:rPr>
        <w:t>and trainings</w:t>
      </w:r>
      <w:r>
        <w:rPr>
          <w:b/>
          <w:noProof/>
          <w:lang w:val="en-IE"/>
        </w:rPr>
        <w:t xml:space="preserve"> </w:t>
      </w:r>
      <w:r w:rsidRPr="00FE48E2">
        <w:rPr>
          <w:b/>
          <w:noProof/>
          <w:lang w:val="en-IE"/>
        </w:rPr>
        <w:t>for the advisory system</w:t>
      </w:r>
    </w:p>
    <w:p w:rsidRPr="00FE48E2" w:rsidR="00D87E44" w:rsidP="00D226F4" w:rsidRDefault="00D87E44" w14:paraId="15458AD0" w14:textId="77777777">
      <w:pPr>
        <w:spacing w:line="240" w:lineRule="auto"/>
        <w:jc w:val="both"/>
        <w:rPr>
          <w:noProof/>
          <w:lang w:val="en-IE"/>
        </w:rPr>
      </w:pPr>
      <w:r w:rsidRPr="00FE48E2">
        <w:rPr>
          <w:noProof/>
          <w:lang w:val="en-IE"/>
        </w:rPr>
        <w:t xml:space="preserve">The </w:t>
      </w:r>
      <w:r>
        <w:rPr>
          <w:noProof/>
          <w:lang w:val="en-IE"/>
        </w:rPr>
        <w:t>objective of the measure is to</w:t>
      </w:r>
      <w:r w:rsidRPr="00FE48E2">
        <w:rPr>
          <w:noProof/>
          <w:lang w:val="en-IE"/>
        </w:rPr>
        <w:t xml:space="preserve"> build capacity </w:t>
      </w:r>
      <w:r>
        <w:rPr>
          <w:noProof/>
          <w:lang w:val="en-IE"/>
        </w:rPr>
        <w:t>for preparing good quality</w:t>
      </w:r>
      <w:r w:rsidRPr="00FE48E2">
        <w:rPr>
          <w:noProof/>
          <w:lang w:val="en-IE"/>
        </w:rPr>
        <w:t xml:space="preserve"> energy efficiency renovation</w:t>
      </w:r>
      <w:r>
        <w:rPr>
          <w:noProof/>
          <w:lang w:val="en-IE"/>
        </w:rPr>
        <w:t xml:space="preserve"> projects.</w:t>
      </w:r>
      <w:r w:rsidRPr="00FE48E2">
        <w:rPr>
          <w:noProof/>
          <w:lang w:val="en-IE"/>
        </w:rPr>
        <w:t xml:space="preserve"> </w:t>
      </w:r>
      <w:r>
        <w:rPr>
          <w:noProof/>
          <w:lang w:val="en-IE"/>
        </w:rPr>
        <w:t>The reforms consists of</w:t>
      </w:r>
      <w:r w:rsidRPr="00FE48E2">
        <w:rPr>
          <w:noProof/>
          <w:lang w:val="en-IE"/>
        </w:rPr>
        <w:t xml:space="preserve"> preparing data and methodological guidance </w:t>
      </w:r>
      <w:r>
        <w:rPr>
          <w:noProof/>
          <w:lang w:val="en-IE"/>
        </w:rPr>
        <w:t>for</w:t>
      </w:r>
      <w:r w:rsidRPr="00FE48E2">
        <w:rPr>
          <w:noProof/>
          <w:lang w:val="en-IE"/>
        </w:rPr>
        <w:t xml:space="preserve"> advisory services</w:t>
      </w:r>
      <w:r w:rsidRPr="66E9A18D">
        <w:rPr>
          <w:noProof/>
          <w:lang w:val="en-IE"/>
        </w:rPr>
        <w:t xml:space="preserve"> on energy renovations</w:t>
      </w:r>
      <w:r w:rsidRPr="00FE48E2">
        <w:rPr>
          <w:noProof/>
          <w:lang w:val="en-IE"/>
        </w:rPr>
        <w:t xml:space="preserve">, and </w:t>
      </w:r>
      <w:r>
        <w:rPr>
          <w:noProof/>
          <w:lang w:val="en-IE"/>
        </w:rPr>
        <w:t xml:space="preserve">of </w:t>
      </w:r>
      <w:r w:rsidRPr="00FE48E2">
        <w:rPr>
          <w:noProof/>
          <w:lang w:val="en-IE"/>
        </w:rPr>
        <w:t xml:space="preserve">conducting trainings for professionals for </w:t>
      </w:r>
      <w:r>
        <w:rPr>
          <w:noProof/>
          <w:lang w:val="en-IE"/>
        </w:rPr>
        <w:t>energy efficiency renovations</w:t>
      </w:r>
      <w:r w:rsidRPr="00FE48E2">
        <w:rPr>
          <w:noProof/>
          <w:lang w:val="en-IE"/>
        </w:rPr>
        <w:t xml:space="preserve">. </w:t>
      </w:r>
    </w:p>
    <w:p w:rsidRPr="00FE48E2" w:rsidR="00D87E44" w:rsidP="00D226F4" w:rsidRDefault="00D87E44" w14:paraId="15458AD1" w14:textId="77777777">
      <w:pPr>
        <w:spacing w:line="240" w:lineRule="auto"/>
        <w:jc w:val="both"/>
        <w:rPr>
          <w:b/>
          <w:noProof/>
          <w:lang w:val="en-IE"/>
        </w:rPr>
      </w:pPr>
      <w:r w:rsidRPr="00FE48E2">
        <w:rPr>
          <w:b/>
          <w:noProof/>
          <w:lang w:val="en-IE"/>
        </w:rPr>
        <w:t>Investment 1: Provision of advisory services to households</w:t>
      </w:r>
      <w:r>
        <w:rPr>
          <w:b/>
          <w:noProof/>
          <w:lang w:val="en-IE"/>
        </w:rPr>
        <w:t>, enterprises and the public sector</w:t>
      </w:r>
    </w:p>
    <w:p w:rsidRPr="00FE48E2" w:rsidR="00D87E44" w:rsidP="00D226F4" w:rsidRDefault="00D87E44" w14:paraId="15458AD2" w14:textId="77777777">
      <w:pPr>
        <w:spacing w:line="240" w:lineRule="auto"/>
        <w:jc w:val="both"/>
        <w:rPr>
          <w:noProof/>
          <w:lang w:val="en-IE"/>
        </w:rPr>
      </w:pPr>
      <w:r w:rsidRPr="0E69D517">
        <w:rPr>
          <w:noProof/>
          <w:lang w:val="en-IE"/>
        </w:rPr>
        <w:t>The objective of the measure is to increase the number and quality of energy efficient renovation projects for households. The investment consists of, but is not limited to, providing advisory support, proposing energy management systems and developing the local energy concepts, to at least 109,000 household, enterprise, and public sector</w:t>
      </w:r>
      <w:r>
        <w:rPr>
          <w:noProof/>
          <w:lang w:val="en-IE"/>
        </w:rPr>
        <w:t xml:space="preserve"> projects</w:t>
      </w:r>
      <w:r w:rsidRPr="0E69D517">
        <w:rPr>
          <w:noProof/>
          <w:lang w:val="en-IE"/>
        </w:rPr>
        <w:t xml:space="preserve">. </w:t>
      </w:r>
    </w:p>
    <w:p w:rsidRPr="004B2887" w:rsidR="00D87E44" w:rsidP="00D226F4" w:rsidRDefault="00D87E44" w14:paraId="15458AD3" w14:textId="77777777">
      <w:pPr>
        <w:pBdr>
          <w:top w:val="nil"/>
          <w:left w:val="nil"/>
          <w:bottom w:val="nil"/>
          <w:right w:val="nil"/>
          <w:between w:val="nil"/>
        </w:pBdr>
        <w:tabs>
          <w:tab w:val="left" w:pos="993"/>
        </w:tabs>
        <w:spacing w:line="240" w:lineRule="auto"/>
        <w:jc w:val="both"/>
        <w:rPr>
          <w:b/>
          <w:noProof/>
          <w:lang w:val="en-IE"/>
        </w:rPr>
      </w:pPr>
      <w:r w:rsidRPr="004B2887">
        <w:rPr>
          <w:b/>
          <w:noProof/>
          <w:lang w:val="en-IE"/>
        </w:rPr>
        <w:t xml:space="preserve">Investment 2: Improvement of </w:t>
      </w:r>
      <w:r w:rsidRPr="00FF1320">
        <w:rPr>
          <w:b/>
          <w:lang w:val="en-IE"/>
        </w:rPr>
        <w:t xml:space="preserve">energy </w:t>
      </w:r>
      <w:r w:rsidRPr="004B2887">
        <w:rPr>
          <w:b/>
          <w:noProof/>
          <w:lang w:val="en-IE"/>
        </w:rPr>
        <w:t>performance in residential housing</w:t>
      </w:r>
    </w:p>
    <w:p w:rsidRPr="004B2887" w:rsidR="00D87E44" w:rsidP="00D226F4" w:rsidRDefault="00D87E44" w14:paraId="15458AD4" w14:textId="77777777">
      <w:pPr>
        <w:pBdr>
          <w:top w:val="nil"/>
          <w:left w:val="nil"/>
          <w:bottom w:val="nil"/>
          <w:right w:val="nil"/>
          <w:between w:val="nil"/>
        </w:pBdr>
        <w:tabs>
          <w:tab w:val="left" w:pos="993"/>
        </w:tabs>
        <w:spacing w:line="240" w:lineRule="auto"/>
        <w:jc w:val="both"/>
        <w:rPr>
          <w:noProof/>
          <w:lang w:val="en-IE"/>
        </w:rPr>
      </w:pPr>
      <w:r w:rsidRPr="004B2887">
        <w:rPr>
          <w:noProof/>
          <w:lang w:val="en-IE"/>
        </w:rPr>
        <w:t xml:space="preserve">The objective of this measure is to scale up Investment 1: Renovation and revitalisation of buildings for energy savings in Component 2.5 (Renovation of buildings and air protection). </w:t>
      </w:r>
    </w:p>
    <w:p w:rsidRPr="004B2887" w:rsidR="00D87E44" w:rsidP="00F825FF" w:rsidRDefault="00D87E44" w14:paraId="15458AD5" w14:textId="77777777">
      <w:pPr>
        <w:pBdr>
          <w:top w:val="nil"/>
          <w:left w:val="nil"/>
          <w:bottom w:val="nil"/>
          <w:right w:val="nil"/>
          <w:between w:val="nil"/>
        </w:pBdr>
        <w:tabs>
          <w:tab w:val="left" w:pos="993"/>
        </w:tabs>
        <w:spacing w:line="240" w:lineRule="auto"/>
        <w:rPr>
          <w:noProof/>
          <w:lang w:val="en-IE"/>
        </w:rPr>
        <w:sectPr w:rsidRPr="004B2887" w:rsidR="00C16C1F" w:rsidSect="00D226F4">
          <w:headerReference w:type="even" r:id="R2dfe1afb78ca405e"/>
          <w:headerReference w:type="default" r:id="R35e7e1865d6c49b0"/>
          <w:footerReference w:type="even" r:id="Rdf51e650a2534225"/>
          <w:footerReference w:type="default" r:id="R316d6cf043ec48e9"/>
          <w:headerReference w:type="first" r:id="Ra68db46d045647f1"/>
          <w:footerReference w:type="first" r:id="Rd71ba144eddd4c7f"/>
          <w:pgSz w:w="11907" w:h="16839"/>
          <w:pgMar w:top="1134" w:right="1134" w:bottom="1134" w:left="1134" w:header="567" w:footer="567" w:gutter="0"/>
          <w:cols w:space="720"/>
          <w:docGrid w:linePitch="360"/>
        </w:sectPr>
      </w:pPr>
      <w:r w:rsidRPr="004B2887">
        <w:rPr>
          <w:noProof/>
          <w:lang w:val="en-IE"/>
        </w:rPr>
        <w:t xml:space="preserve">The investment consists of projects for reduction of consumption in households. </w:t>
      </w:r>
    </w:p>
    <w:p w:rsidRPr="00FE48E2" w:rsidR="00D87E44" w:rsidP="00D226F4" w:rsidRDefault="00D87E44" w14:paraId="15458AD6" w14:textId="77777777">
      <w:pPr>
        <w:pBdr>
          <w:top w:val="nil"/>
          <w:left w:val="nil"/>
          <w:bottom w:val="nil"/>
          <w:right w:val="nil"/>
          <w:between w:val="nil"/>
        </w:pBdr>
        <w:tabs>
          <w:tab w:val="left" w:pos="993"/>
        </w:tabs>
        <w:spacing w:line="240" w:lineRule="auto"/>
        <w:jc w:val="both"/>
        <w:rPr>
          <w:b/>
          <w:bCs/>
          <w:noProof/>
          <w:color w:val="000000"/>
          <w:u w:val="single"/>
          <w:lang w:val="en-IE"/>
        </w:rPr>
      </w:pPr>
      <w:r w:rsidRPr="1B282876">
        <w:rPr>
          <w:b/>
          <w:bCs/>
          <w:noProof/>
          <w:color w:val="000000" w:themeColor="text1"/>
          <w:u w:val="single"/>
          <w:lang w:val="en-IE"/>
        </w:rPr>
        <w:lastRenderedPageBreak/>
        <w:t>GG.2. Milestones, targets, indicators, and timetable for monitoring and implementation for non-repayable financial support</w:t>
      </w:r>
    </w:p>
    <w:tbl>
      <w:tblPr>
        <w:tblW w:w="15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6"/>
        <w:gridCol w:w="850"/>
        <w:gridCol w:w="1650"/>
        <w:gridCol w:w="1098"/>
        <w:gridCol w:w="1494"/>
        <w:gridCol w:w="1736"/>
        <w:gridCol w:w="956"/>
        <w:gridCol w:w="1274"/>
        <w:gridCol w:w="850"/>
        <w:gridCol w:w="991"/>
        <w:gridCol w:w="708"/>
        <w:gridCol w:w="3692"/>
        <w:gridCol w:w="10"/>
      </w:tblGrid>
      <w:tr w:rsidRPr="00FE48E2" w:rsidR="00E3458A" w:rsidTr="4A45BCA2" w14:paraId="15458ADF" w14:textId="77777777">
        <w:trPr>
          <w:gridAfter w:val="1"/>
          <w:wAfter w:w="10" w:type="dxa"/>
          <w:trHeight w:val="672"/>
          <w:tblHeader/>
          <w:jc w:val="center"/>
        </w:trPr>
        <w:tc>
          <w:tcPr>
            <w:tcW w:w="851" w:type="dxa"/>
            <w:gridSpan w:val="2"/>
            <w:vMerge w:val="restart"/>
            <w:shd w:val="clear" w:color="auto" w:fill="BDD7EE"/>
            <w:vAlign w:val="center"/>
            <w:hideMark/>
          </w:tcPr>
          <w:p w:rsidRPr="00FE48E2" w:rsidR="00D87E44" w:rsidRDefault="00D87E44" w14:paraId="15458AD7"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652" w:type="dxa"/>
            <w:vMerge w:val="restart"/>
            <w:shd w:val="clear" w:color="auto" w:fill="BDD7EE"/>
            <w:vAlign w:val="center"/>
            <w:hideMark/>
          </w:tcPr>
          <w:p w:rsidRPr="00FE48E2" w:rsidR="00D87E44" w:rsidRDefault="00D87E44" w14:paraId="15458AD8"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Related Measure (Reform or </w:t>
            </w:r>
            <w:r w:rsidRPr="00FE48E2">
              <w:rPr>
                <w:rFonts w:eastAsia="Times New Roman"/>
                <w:b/>
                <w:noProof/>
                <w:sz w:val="18"/>
                <w:szCs w:val="18"/>
                <w:lang w:val="en-IE"/>
              </w:rPr>
              <w:t>Investment)</w:t>
            </w:r>
          </w:p>
        </w:tc>
        <w:tc>
          <w:tcPr>
            <w:tcW w:w="1099" w:type="dxa"/>
            <w:vMerge w:val="restart"/>
            <w:shd w:val="clear" w:color="auto" w:fill="BDD7EE"/>
            <w:vAlign w:val="center"/>
            <w:hideMark/>
          </w:tcPr>
          <w:p w:rsidRPr="00FE48E2" w:rsidR="00D87E44" w:rsidRDefault="00D87E44" w14:paraId="15458AD9"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495" w:type="dxa"/>
            <w:vMerge w:val="restart"/>
            <w:shd w:val="clear" w:color="auto" w:fill="BDD7EE"/>
            <w:vAlign w:val="center"/>
            <w:hideMark/>
          </w:tcPr>
          <w:p w:rsidRPr="00FE48E2" w:rsidR="00D87E44" w:rsidRDefault="00D87E44" w14:paraId="15458ADA"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38" w:type="dxa"/>
            <w:vMerge w:val="restart"/>
            <w:shd w:val="clear" w:color="auto" w:fill="BDD7EE"/>
            <w:vAlign w:val="center"/>
            <w:hideMark/>
          </w:tcPr>
          <w:p w:rsidRPr="00FE48E2" w:rsidR="00D87E44" w:rsidRDefault="00D87E44" w14:paraId="15458ADB"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3083" w:type="dxa"/>
            <w:gridSpan w:val="3"/>
            <w:shd w:val="clear" w:color="auto" w:fill="BDD7EE"/>
            <w:vAlign w:val="center"/>
            <w:hideMark/>
          </w:tcPr>
          <w:p w:rsidRPr="00FE48E2" w:rsidR="00D87E44" w:rsidRDefault="00D87E44" w14:paraId="15458ADC"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701" w:type="dxa"/>
            <w:gridSpan w:val="2"/>
            <w:shd w:val="clear" w:color="auto" w:fill="BDD7EE"/>
            <w:vAlign w:val="center"/>
            <w:hideMark/>
          </w:tcPr>
          <w:p w:rsidRPr="00FE48E2" w:rsidR="00D87E44" w:rsidRDefault="00D87E44" w14:paraId="15458AD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696" w:type="dxa"/>
            <w:vMerge w:val="restart"/>
            <w:shd w:val="clear" w:color="auto" w:fill="BDD7EE"/>
            <w:vAlign w:val="center"/>
            <w:hideMark/>
          </w:tcPr>
          <w:p w:rsidRPr="00FE48E2" w:rsidR="00D87E44" w:rsidRDefault="00D87E44" w14:paraId="15458AD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rsidTr="4A45BCA2" w14:paraId="15458AEB" w14:textId="77777777">
        <w:tblPrEx>
          <w:tblCellMar>
            <w:left w:w="108" w:type="dxa"/>
            <w:right w:w="108" w:type="dxa"/>
          </w:tblCellMar>
        </w:tblPrEx>
        <w:trPr>
          <w:gridAfter w:val="1"/>
          <w:wAfter w:w="10" w:type="dxa"/>
          <w:trHeight w:val="458"/>
          <w:tblHeader/>
          <w:jc w:val="center"/>
        </w:trPr>
        <w:tc>
          <w:tcPr>
            <w:tcW w:w="851" w:type="dxa"/>
            <w:gridSpan w:val="2"/>
            <w:vMerge/>
            <w:vAlign w:val="center"/>
            <w:hideMark/>
          </w:tcPr>
          <w:p w:rsidRPr="00FE48E2" w:rsidR="00D87E44" w:rsidRDefault="00D87E44" w14:paraId="15458AE0" w14:textId="77777777">
            <w:pPr>
              <w:spacing w:before="0" w:after="0" w:line="240" w:lineRule="auto"/>
              <w:rPr>
                <w:rFonts w:eastAsia="Times New Roman"/>
                <w:b/>
                <w:noProof/>
                <w:sz w:val="18"/>
                <w:szCs w:val="18"/>
                <w:lang w:val="en-IE"/>
              </w:rPr>
            </w:pPr>
          </w:p>
        </w:tc>
        <w:tc>
          <w:tcPr>
            <w:tcW w:w="1652" w:type="dxa"/>
            <w:vMerge/>
            <w:vAlign w:val="center"/>
            <w:hideMark/>
          </w:tcPr>
          <w:p w:rsidRPr="00FE48E2" w:rsidR="00D87E44" w:rsidRDefault="00D87E44" w14:paraId="15458AE1" w14:textId="77777777">
            <w:pPr>
              <w:spacing w:before="0" w:after="0" w:line="240" w:lineRule="auto"/>
              <w:rPr>
                <w:rFonts w:eastAsia="Times New Roman"/>
                <w:b/>
                <w:noProof/>
                <w:sz w:val="18"/>
                <w:szCs w:val="18"/>
                <w:lang w:val="en-IE"/>
              </w:rPr>
            </w:pPr>
          </w:p>
        </w:tc>
        <w:tc>
          <w:tcPr>
            <w:tcW w:w="1099" w:type="dxa"/>
            <w:vMerge/>
            <w:vAlign w:val="center"/>
            <w:hideMark/>
          </w:tcPr>
          <w:p w:rsidRPr="00FE48E2" w:rsidR="00D87E44" w:rsidRDefault="00D87E44" w14:paraId="15458AE2" w14:textId="77777777">
            <w:pPr>
              <w:spacing w:before="0" w:after="0" w:line="240" w:lineRule="auto"/>
              <w:rPr>
                <w:rFonts w:eastAsia="Times New Roman"/>
                <w:b/>
                <w:noProof/>
                <w:sz w:val="18"/>
                <w:szCs w:val="18"/>
                <w:lang w:val="en-IE"/>
              </w:rPr>
            </w:pPr>
          </w:p>
        </w:tc>
        <w:tc>
          <w:tcPr>
            <w:tcW w:w="1495" w:type="dxa"/>
            <w:vMerge/>
            <w:vAlign w:val="center"/>
            <w:hideMark/>
          </w:tcPr>
          <w:p w:rsidRPr="00FE48E2" w:rsidR="00D87E44" w:rsidRDefault="00D87E44" w14:paraId="15458AE3" w14:textId="77777777">
            <w:pPr>
              <w:spacing w:before="0" w:after="0" w:line="240" w:lineRule="auto"/>
              <w:rPr>
                <w:rFonts w:eastAsia="Times New Roman"/>
                <w:b/>
                <w:noProof/>
                <w:sz w:val="18"/>
                <w:szCs w:val="18"/>
                <w:lang w:val="en-IE"/>
              </w:rPr>
            </w:pPr>
          </w:p>
        </w:tc>
        <w:tc>
          <w:tcPr>
            <w:tcW w:w="1738" w:type="dxa"/>
            <w:vMerge/>
            <w:vAlign w:val="center"/>
            <w:hideMark/>
          </w:tcPr>
          <w:p w:rsidRPr="00FE48E2" w:rsidR="00D87E44" w:rsidRDefault="00D87E44" w14:paraId="15458AE4" w14:textId="77777777">
            <w:pPr>
              <w:spacing w:before="0" w:after="0" w:line="240" w:lineRule="auto"/>
              <w:rPr>
                <w:rFonts w:eastAsia="Times New Roman"/>
                <w:b/>
                <w:noProof/>
                <w:sz w:val="18"/>
                <w:szCs w:val="18"/>
                <w:lang w:val="en-IE"/>
              </w:rPr>
            </w:pPr>
          </w:p>
        </w:tc>
        <w:tc>
          <w:tcPr>
            <w:tcW w:w="957" w:type="dxa"/>
            <w:shd w:val="clear" w:color="auto" w:fill="BDD7EE"/>
            <w:vAlign w:val="center"/>
            <w:hideMark/>
          </w:tcPr>
          <w:p w:rsidRPr="00174567" w:rsidR="00D87E44" w:rsidRDefault="00D87E44" w14:paraId="15458AE5"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Unit of measure</w:t>
            </w:r>
          </w:p>
        </w:tc>
        <w:tc>
          <w:tcPr>
            <w:tcW w:w="1275" w:type="dxa"/>
            <w:shd w:val="clear" w:color="auto" w:fill="BDD7EE"/>
            <w:vAlign w:val="center"/>
            <w:hideMark/>
          </w:tcPr>
          <w:p w:rsidRPr="00174567" w:rsidR="00D87E44" w:rsidRDefault="00D87E44" w14:paraId="15458AE6"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Baseline </w:t>
            </w:r>
          </w:p>
        </w:tc>
        <w:tc>
          <w:tcPr>
            <w:tcW w:w="851" w:type="dxa"/>
            <w:shd w:val="clear" w:color="auto" w:fill="BDD7EE"/>
            <w:vAlign w:val="center"/>
            <w:hideMark/>
          </w:tcPr>
          <w:p w:rsidRPr="00174567" w:rsidR="00D87E44" w:rsidRDefault="00D87E44" w14:paraId="15458AE7"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Goal </w:t>
            </w:r>
          </w:p>
        </w:tc>
        <w:tc>
          <w:tcPr>
            <w:tcW w:w="992" w:type="dxa"/>
            <w:shd w:val="clear" w:color="auto" w:fill="BDD7EE"/>
            <w:vAlign w:val="center"/>
            <w:hideMark/>
          </w:tcPr>
          <w:p w:rsidRPr="00174567" w:rsidR="00D87E44" w:rsidRDefault="00D87E44" w14:paraId="15458AE8"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Quarter</w:t>
            </w:r>
          </w:p>
        </w:tc>
        <w:tc>
          <w:tcPr>
            <w:tcW w:w="709" w:type="dxa"/>
            <w:shd w:val="clear" w:color="auto" w:fill="BDD7EE"/>
            <w:vAlign w:val="center"/>
            <w:hideMark/>
          </w:tcPr>
          <w:p w:rsidRPr="00174567" w:rsidR="00D87E44" w:rsidRDefault="00D87E44" w14:paraId="15458AE9"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Year</w:t>
            </w:r>
          </w:p>
        </w:tc>
        <w:tc>
          <w:tcPr>
            <w:tcW w:w="3696" w:type="dxa"/>
            <w:vMerge/>
            <w:vAlign w:val="center"/>
            <w:hideMark/>
          </w:tcPr>
          <w:p w:rsidRPr="00FE48E2" w:rsidR="00D87E44" w:rsidRDefault="00D87E44" w14:paraId="15458AEA" w14:textId="77777777">
            <w:pPr>
              <w:spacing w:before="0" w:after="0" w:line="240" w:lineRule="auto"/>
              <w:rPr>
                <w:rFonts w:eastAsia="Times New Roman"/>
                <w:b/>
                <w:noProof/>
                <w:sz w:val="18"/>
                <w:szCs w:val="18"/>
                <w:lang w:val="en-IE"/>
              </w:rPr>
            </w:pPr>
          </w:p>
        </w:tc>
      </w:tr>
      <w:tr w:rsidRPr="00FE48E2" w:rsidR="00E3458A" w:rsidDel="001B0D4B" w:rsidTr="4A45BCA2" w14:paraId="15458AFA" w14:textId="77777777">
        <w:tblPrEx>
          <w:tblCellMar>
            <w:left w:w="108" w:type="dxa"/>
            <w:right w:w="108" w:type="dxa"/>
          </w:tblCellMar>
        </w:tblPrEx>
        <w:trPr>
          <w:gridAfter w:val="1"/>
          <w:wAfter w:w="10" w:type="dxa"/>
          <w:trHeight w:val="309"/>
          <w:jc w:val="center"/>
        </w:trPr>
        <w:tc>
          <w:tcPr>
            <w:tcW w:w="851" w:type="dxa"/>
            <w:gridSpan w:val="2"/>
            <w:shd w:val="clear" w:color="auto" w:fill="C6EFCE"/>
            <w:hideMark/>
          </w:tcPr>
          <w:p w:rsidRPr="00FE48E2" w:rsidR="00D87E44" w:rsidDel="001B0D4B" w:rsidRDefault="00D87E44" w14:paraId="15458AEC" w14:textId="77777777">
            <w:pPr>
              <w:spacing w:before="0" w:after="0" w:line="240" w:lineRule="auto"/>
              <w:rPr>
                <w:noProof/>
              </w:rPr>
            </w:pPr>
            <w:r w:rsidRPr="00F538D6">
              <w:rPr>
                <w:rFonts w:eastAsia="Times New Roman"/>
                <w:noProof/>
                <w:color w:val="006100"/>
                <w:sz w:val="18"/>
                <w:szCs w:val="18"/>
                <w:lang w:val="en-IE"/>
              </w:rPr>
              <w:t>318</w:t>
            </w:r>
          </w:p>
        </w:tc>
        <w:tc>
          <w:tcPr>
            <w:tcW w:w="1652" w:type="dxa"/>
            <w:shd w:val="clear" w:color="auto" w:fill="C6EFCE"/>
            <w:hideMark/>
          </w:tcPr>
          <w:p w:rsidRPr="00FE48E2" w:rsidR="00D87E44" w:rsidDel="001B0D4B" w:rsidRDefault="00D87E44" w14:paraId="15458AED"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Reform 1: One-stop-shops</w:t>
            </w:r>
            <w:r>
              <w:rPr>
                <w:rFonts w:eastAsia="Times New Roman"/>
                <w:noProof/>
                <w:color w:val="006100"/>
                <w:sz w:val="18"/>
                <w:szCs w:val="18"/>
                <w:lang w:val="en-IE"/>
              </w:rPr>
              <w:t xml:space="preserve"> for energy communities and energy efficiency renovations</w:t>
            </w:r>
          </w:p>
          <w:p w:rsidRPr="00FE48E2" w:rsidR="00D87E44" w:rsidDel="001B0D4B" w:rsidRDefault="00D87E44" w14:paraId="15458AEE" w14:textId="77777777">
            <w:pPr>
              <w:spacing w:before="0" w:after="0" w:line="240" w:lineRule="auto"/>
              <w:rPr>
                <w:rFonts w:eastAsia="Times New Roman"/>
                <w:noProof/>
                <w:color w:val="006100"/>
                <w:sz w:val="18"/>
                <w:szCs w:val="18"/>
                <w:lang w:val="en-IE"/>
              </w:rPr>
            </w:pPr>
          </w:p>
        </w:tc>
        <w:tc>
          <w:tcPr>
            <w:tcW w:w="1099" w:type="dxa"/>
            <w:shd w:val="clear" w:color="auto" w:fill="C6EFCE"/>
            <w:hideMark/>
          </w:tcPr>
          <w:p w:rsidRPr="00FE48E2" w:rsidR="00D87E44" w:rsidDel="001B0D4B" w:rsidRDefault="00D87E44" w14:paraId="15458AEF"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Milestone</w:t>
            </w:r>
          </w:p>
        </w:tc>
        <w:tc>
          <w:tcPr>
            <w:tcW w:w="1495" w:type="dxa"/>
            <w:shd w:val="clear" w:color="auto" w:fill="C6EFCE"/>
            <w:hideMark/>
          </w:tcPr>
          <w:p w:rsidRPr="00FE48E2" w:rsidR="00D87E44" w:rsidDel="001B0D4B" w:rsidRDefault="00D87E44" w14:paraId="15458AF0"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One</w:t>
            </w:r>
            <w:r>
              <w:rPr>
                <w:rFonts w:eastAsia="Times New Roman"/>
                <w:noProof/>
                <w:color w:val="006100"/>
                <w:sz w:val="18"/>
                <w:szCs w:val="18"/>
                <w:lang w:val="en-IE"/>
              </w:rPr>
              <w:t>-</w:t>
            </w:r>
            <w:r w:rsidRPr="00FE48E2" w:rsidDel="001B0D4B">
              <w:rPr>
                <w:rFonts w:eastAsia="Times New Roman"/>
                <w:noProof/>
                <w:color w:val="006100"/>
                <w:sz w:val="18"/>
                <w:szCs w:val="18"/>
                <w:lang w:val="en-IE"/>
              </w:rPr>
              <w:t>stop shop for energy</w:t>
            </w:r>
          </w:p>
        </w:tc>
        <w:tc>
          <w:tcPr>
            <w:tcW w:w="1738" w:type="dxa"/>
            <w:shd w:val="clear" w:color="auto" w:fill="C6EFCE"/>
            <w:hideMark/>
          </w:tcPr>
          <w:p w:rsidRPr="00FE48E2" w:rsidR="00D87E44" w:rsidDel="001B0D4B" w:rsidRDefault="00D87E44" w14:paraId="15458AF1"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Start of operation of the one stop shop</w:t>
            </w:r>
          </w:p>
        </w:tc>
        <w:tc>
          <w:tcPr>
            <w:tcW w:w="957" w:type="dxa"/>
            <w:shd w:val="clear" w:color="auto" w:fill="C6EFCE"/>
          </w:tcPr>
          <w:p w:rsidRPr="00FE48E2" w:rsidR="00D87E44" w:rsidDel="001B0D4B" w:rsidRDefault="00D87E44" w14:paraId="15458AF2" w14:textId="77777777">
            <w:pPr>
              <w:spacing w:before="0" w:after="0" w:line="240" w:lineRule="auto"/>
              <w:rPr>
                <w:rFonts w:eastAsia="Times New Roman"/>
                <w:noProof/>
                <w:color w:val="006100"/>
                <w:sz w:val="18"/>
                <w:szCs w:val="18"/>
                <w:lang w:val="en-IE"/>
              </w:rPr>
            </w:pPr>
          </w:p>
        </w:tc>
        <w:tc>
          <w:tcPr>
            <w:tcW w:w="1275" w:type="dxa"/>
            <w:shd w:val="clear" w:color="auto" w:fill="C6EFCE"/>
          </w:tcPr>
          <w:p w:rsidRPr="00FE48E2" w:rsidR="00D87E44" w:rsidDel="001B0D4B" w:rsidRDefault="00D87E44" w14:paraId="15458AF3"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FE48E2" w:rsidR="00D87E44" w:rsidDel="001B0D4B" w:rsidRDefault="00D87E44" w14:paraId="15458AF4" w14:textId="77777777">
            <w:pPr>
              <w:spacing w:before="0" w:after="0" w:line="240" w:lineRule="auto"/>
              <w:rPr>
                <w:rFonts w:eastAsia="Times New Roman"/>
                <w:noProof/>
                <w:color w:val="006100"/>
                <w:sz w:val="18"/>
                <w:szCs w:val="18"/>
                <w:lang w:val="en-IE"/>
              </w:rPr>
            </w:pPr>
          </w:p>
        </w:tc>
        <w:tc>
          <w:tcPr>
            <w:tcW w:w="992" w:type="dxa"/>
            <w:shd w:val="clear" w:color="auto" w:fill="C6EFCE"/>
            <w:hideMark/>
          </w:tcPr>
          <w:p w:rsidRPr="00FE48E2" w:rsidR="00D87E44" w:rsidDel="001B0D4B" w:rsidRDefault="00D87E44" w14:paraId="15458AF5"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 xml:space="preserve">Q4 </w:t>
            </w:r>
          </w:p>
        </w:tc>
        <w:tc>
          <w:tcPr>
            <w:tcW w:w="709" w:type="dxa"/>
            <w:shd w:val="clear" w:color="auto" w:fill="C6EFCE"/>
            <w:hideMark/>
          </w:tcPr>
          <w:p w:rsidRPr="00FE48E2" w:rsidR="00D87E44" w:rsidDel="001B0D4B" w:rsidRDefault="00D87E44" w14:paraId="15458AF6" w14:textId="77777777">
            <w:pPr>
              <w:spacing w:before="0" w:after="0" w:line="240" w:lineRule="auto"/>
              <w:rPr>
                <w:rFonts w:eastAsia="Times New Roman"/>
                <w:noProof/>
                <w:color w:val="006100"/>
                <w:sz w:val="18"/>
                <w:szCs w:val="18"/>
                <w:lang w:val="en-IE"/>
              </w:rPr>
            </w:pPr>
            <w:r w:rsidRPr="00FE48E2" w:rsidDel="001B0D4B">
              <w:rPr>
                <w:rFonts w:eastAsia="Times New Roman"/>
                <w:noProof/>
                <w:color w:val="006100"/>
                <w:sz w:val="18"/>
                <w:szCs w:val="18"/>
                <w:lang w:val="en-IE"/>
              </w:rPr>
              <w:t>2024</w:t>
            </w:r>
          </w:p>
        </w:tc>
        <w:tc>
          <w:tcPr>
            <w:tcW w:w="3696" w:type="dxa"/>
            <w:shd w:val="clear" w:color="auto" w:fill="C6EFCE"/>
            <w:hideMark/>
          </w:tcPr>
          <w:p w:rsidRPr="00FE48E2" w:rsidR="00D87E44" w:rsidRDefault="00D87E44" w14:paraId="15458AF7" w14:textId="77777777">
            <w:pPr>
              <w:spacing w:before="0" w:after="0" w:line="240" w:lineRule="auto"/>
              <w:rPr>
                <w:rFonts w:eastAsia="Times New Roman"/>
                <w:noProof/>
                <w:color w:val="006100"/>
                <w:sz w:val="18"/>
                <w:szCs w:val="18"/>
                <w:lang w:val="en-IE"/>
              </w:rPr>
            </w:pPr>
            <w:r w:rsidRPr="00FE48E2" w:rsidDel="0022719E">
              <w:rPr>
                <w:rFonts w:eastAsia="Times New Roman"/>
                <w:noProof/>
                <w:color w:val="006100"/>
                <w:sz w:val="18"/>
                <w:szCs w:val="18"/>
                <w:lang w:val="en-IE"/>
              </w:rPr>
              <w:t xml:space="preserve">Set up of </w:t>
            </w:r>
            <w:r w:rsidRPr="00FE48E2">
              <w:rPr>
                <w:rFonts w:eastAsia="Times New Roman"/>
                <w:noProof/>
                <w:color w:val="006100"/>
                <w:sz w:val="18"/>
                <w:szCs w:val="18"/>
                <w:lang w:val="en-IE"/>
              </w:rPr>
              <w:t>and entry into operation of</w:t>
            </w:r>
            <w:r w:rsidRPr="00FE48E2" w:rsidDel="0022719E">
              <w:rPr>
                <w:rFonts w:eastAsia="Times New Roman"/>
                <w:noProof/>
                <w:color w:val="006100"/>
                <w:sz w:val="18"/>
                <w:szCs w:val="18"/>
                <w:lang w:val="en-IE"/>
              </w:rPr>
              <w:t xml:space="preserve"> one stop shop (OSS) that provide</w:t>
            </w:r>
            <w:r>
              <w:rPr>
                <w:rFonts w:eastAsia="Times New Roman"/>
                <w:noProof/>
                <w:color w:val="006100"/>
                <w:sz w:val="18"/>
                <w:szCs w:val="18"/>
                <w:lang w:val="en-IE"/>
              </w:rPr>
              <w:t>s</w:t>
            </w:r>
            <w:r w:rsidRPr="00FE48E2" w:rsidDel="0022719E">
              <w:rPr>
                <w:rFonts w:eastAsia="Times New Roman"/>
                <w:noProof/>
                <w:color w:val="006100"/>
                <w:sz w:val="18"/>
                <w:szCs w:val="18"/>
                <w:lang w:val="en-IE"/>
              </w:rPr>
              <w:t xml:space="preserve"> technical support, facilitates access to early</w:t>
            </w:r>
            <w:r w:rsidRPr="00FE48E2" w:rsidDel="00A31662">
              <w:rPr>
                <w:rFonts w:eastAsia="Times New Roman"/>
                <w:noProof/>
                <w:color w:val="006100"/>
                <w:sz w:val="18"/>
                <w:szCs w:val="18"/>
                <w:lang w:val="en-IE"/>
              </w:rPr>
              <w:t xml:space="preserve"> on</w:t>
            </w:r>
            <w:r w:rsidRPr="00FE48E2" w:rsidDel="0022719E">
              <w:rPr>
                <w:rFonts w:eastAsia="Times New Roman"/>
                <w:noProof/>
                <w:color w:val="006100"/>
                <w:sz w:val="18"/>
                <w:szCs w:val="18"/>
                <w:lang w:val="en-IE"/>
              </w:rPr>
              <w:t xml:space="preserve"> finance (to contract services or invest in equipment) and information to set up an energy community. </w:t>
            </w:r>
          </w:p>
          <w:p w:rsidRPr="00FE48E2" w:rsidR="00D87E44" w:rsidDel="0022719E" w:rsidRDefault="00D87E44" w14:paraId="15458AF8"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OSS </w:t>
            </w:r>
            <w:r>
              <w:rPr>
                <w:rFonts w:eastAsia="Times New Roman"/>
                <w:noProof/>
                <w:color w:val="006100"/>
                <w:sz w:val="18"/>
                <w:szCs w:val="18"/>
                <w:lang w:val="en-IE"/>
              </w:rPr>
              <w:t xml:space="preserve">shall </w:t>
            </w:r>
            <w:r w:rsidRPr="00FE48E2">
              <w:rPr>
                <w:rFonts w:eastAsia="Times New Roman"/>
                <w:noProof/>
                <w:color w:val="006100"/>
                <w:sz w:val="18"/>
                <w:szCs w:val="18"/>
                <w:lang w:val="en-IE"/>
              </w:rPr>
              <w:t xml:space="preserve">provide guidelines on legislative </w:t>
            </w:r>
            <w:r w:rsidRPr="00FE48E2">
              <w:rPr>
                <w:rFonts w:eastAsia="Times New Roman"/>
                <w:noProof/>
                <w:color w:val="006100"/>
                <w:sz w:val="18"/>
                <w:szCs w:val="18"/>
                <w:lang w:val="en-IE"/>
              </w:rPr>
              <w:t>requirements and template documents to help with the licensing and permitting procedures.</w:t>
            </w:r>
          </w:p>
          <w:p w:rsidRPr="00FE48E2" w:rsidR="00D87E44" w:rsidDel="001B0D4B" w:rsidP="00E3458A" w:rsidRDefault="00D87E44" w14:paraId="15458AF9"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The OSS shall provide support and advice on energy efficiency renovations to households, enterprises, and the public sector</w:t>
            </w:r>
            <w:r>
              <w:rPr>
                <w:rFonts w:eastAsia="Times New Roman"/>
                <w:noProof/>
                <w:color w:val="006100"/>
                <w:sz w:val="18"/>
                <w:szCs w:val="18"/>
                <w:lang w:val="en-IE"/>
              </w:rPr>
              <w:t>.</w:t>
            </w:r>
          </w:p>
        </w:tc>
      </w:tr>
      <w:tr w:rsidRPr="00FE48E2" w:rsidR="00E3458A" w:rsidTr="4A45BCA2" w14:paraId="15458B06" w14:textId="77777777">
        <w:trPr>
          <w:gridAfter w:val="1"/>
          <w:wAfter w:w="10" w:type="dxa"/>
          <w:trHeight w:val="1125"/>
          <w:jc w:val="center"/>
        </w:trPr>
        <w:tc>
          <w:tcPr>
            <w:tcW w:w="851" w:type="dxa"/>
            <w:gridSpan w:val="2"/>
            <w:tcBorders>
              <w:top w:val="single" w:color="auto" w:sz="4" w:space="0"/>
              <w:left w:val="single" w:color="auto" w:sz="4" w:space="0"/>
              <w:bottom w:val="single" w:color="auto" w:sz="4" w:space="0"/>
              <w:right w:val="single" w:color="auto" w:sz="4" w:space="0"/>
            </w:tcBorders>
            <w:shd w:val="clear" w:color="auto" w:fill="C6EFCE"/>
          </w:tcPr>
          <w:p w:rsidRPr="00FF1320" w:rsidR="00D87E44" w:rsidP="00EE0DB1" w:rsidRDefault="00D87E44" w14:paraId="15458AFB" w14:textId="77777777">
            <w:pPr>
              <w:spacing w:before="0" w:after="0" w:line="240" w:lineRule="auto"/>
              <w:rPr>
                <w:color w:val="006100"/>
                <w:sz w:val="18"/>
                <w:lang w:val="en-IE"/>
              </w:rPr>
            </w:pPr>
            <w:r>
              <w:rPr>
                <w:rFonts w:eastAsia="Times New Roman"/>
                <w:noProof/>
                <w:color w:val="006100"/>
                <w:sz w:val="18"/>
                <w:szCs w:val="18"/>
                <w:lang w:val="en-IE"/>
              </w:rPr>
              <w:t>319</w:t>
            </w:r>
          </w:p>
        </w:tc>
        <w:tc>
          <w:tcPr>
            <w:tcW w:w="165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AFC"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Reform 1: </w:t>
            </w:r>
            <w:r w:rsidRPr="00FE48E2">
              <w:rPr>
                <w:rFonts w:eastAsia="Times New Roman"/>
                <w:noProof/>
                <w:color w:val="006100"/>
                <w:sz w:val="18"/>
                <w:szCs w:val="18"/>
                <w:lang w:val="en-IE"/>
              </w:rPr>
              <w:t>One-stop-shops</w:t>
            </w:r>
            <w:r>
              <w:rPr>
                <w:rFonts w:eastAsia="Times New Roman"/>
                <w:noProof/>
                <w:color w:val="006100"/>
                <w:sz w:val="18"/>
                <w:szCs w:val="18"/>
                <w:lang w:val="en-IE"/>
              </w:rPr>
              <w:t xml:space="preserve"> for energy communities and energy efficiency renovations</w:t>
            </w:r>
          </w:p>
        </w:tc>
        <w:tc>
          <w:tcPr>
            <w:tcW w:w="109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AFD"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9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AFE"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Evaluation </w:t>
            </w:r>
            <w:r>
              <w:rPr>
                <w:rFonts w:eastAsia="Times New Roman"/>
                <w:noProof/>
                <w:color w:val="006100"/>
                <w:sz w:val="18"/>
                <w:szCs w:val="18"/>
                <w:lang w:val="en-IE"/>
              </w:rPr>
              <w:t xml:space="preserve">study </w:t>
            </w:r>
          </w:p>
        </w:tc>
        <w:tc>
          <w:tcPr>
            <w:tcW w:w="1738"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AF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Evaluation study </w:t>
            </w:r>
          </w:p>
        </w:tc>
        <w:tc>
          <w:tcPr>
            <w:tcW w:w="957"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0" w14:textId="77777777">
            <w:pPr>
              <w:spacing w:before="0" w:after="0" w:line="240" w:lineRule="auto"/>
              <w:rPr>
                <w:rFonts w:eastAsia="Times New Roman"/>
                <w:noProof/>
                <w:color w:val="006100"/>
                <w:sz w:val="18"/>
                <w:szCs w:val="18"/>
                <w:lang w:val="en-IE"/>
              </w:rPr>
            </w:pPr>
          </w:p>
        </w:tc>
        <w:tc>
          <w:tcPr>
            <w:tcW w:w="127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1" w14:textId="77777777">
            <w:pPr>
              <w:spacing w:before="0" w:after="0" w:line="240" w:lineRule="auto"/>
              <w:rPr>
                <w:rFonts w:eastAsia="Times New Roman"/>
                <w:noProof/>
                <w:color w:val="006100"/>
                <w:sz w:val="18"/>
                <w:szCs w:val="18"/>
                <w:lang w:val="en-IE"/>
              </w:rPr>
            </w:pPr>
          </w:p>
        </w:tc>
        <w:tc>
          <w:tcPr>
            <w:tcW w:w="85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2" w14:textId="77777777">
            <w:pPr>
              <w:spacing w:before="0" w:after="0" w:line="240" w:lineRule="auto"/>
              <w:rPr>
                <w:rFonts w:eastAsia="Times New Roman"/>
                <w:noProof/>
                <w:color w:val="0061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3"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Q4</w:t>
            </w:r>
          </w:p>
        </w:tc>
        <w:tc>
          <w:tcPr>
            <w:tcW w:w="709"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2025</w:t>
            </w:r>
          </w:p>
        </w:tc>
        <w:tc>
          <w:tcPr>
            <w:tcW w:w="3696"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05"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 xml:space="preserve">Submission of </w:t>
            </w:r>
            <w:r w:rsidRPr="00FE48E2">
              <w:rPr>
                <w:rFonts w:eastAsia="Times New Roman"/>
                <w:noProof/>
                <w:color w:val="006100"/>
                <w:sz w:val="18"/>
                <w:szCs w:val="18"/>
                <w:lang w:val="en-IE"/>
              </w:rPr>
              <w:t xml:space="preserve">an evaluation </w:t>
            </w:r>
            <w:r>
              <w:rPr>
                <w:rFonts w:eastAsia="Times New Roman"/>
                <w:noProof/>
                <w:color w:val="006100"/>
                <w:sz w:val="18"/>
                <w:szCs w:val="18"/>
                <w:lang w:val="en-IE"/>
              </w:rPr>
              <w:t xml:space="preserve">study </w:t>
            </w:r>
            <w:r w:rsidRPr="00FE48E2">
              <w:rPr>
                <w:rFonts w:eastAsia="Times New Roman"/>
                <w:noProof/>
                <w:color w:val="006100"/>
                <w:sz w:val="18"/>
                <w:szCs w:val="18"/>
                <w:lang w:val="en-IE"/>
              </w:rPr>
              <w:t>of the pilot operation of three regional One-stop-shops</w:t>
            </w:r>
            <w:r>
              <w:rPr>
                <w:rFonts w:eastAsia="Times New Roman"/>
                <w:noProof/>
                <w:color w:val="006100"/>
                <w:sz w:val="18"/>
                <w:szCs w:val="18"/>
                <w:lang w:val="en-IE"/>
              </w:rPr>
              <w:t>.</w:t>
            </w:r>
            <w:r w:rsidRPr="00FE48E2">
              <w:rPr>
                <w:rFonts w:eastAsia="Times New Roman"/>
                <w:noProof/>
                <w:color w:val="006100"/>
                <w:sz w:val="18"/>
                <w:szCs w:val="18"/>
                <w:lang w:val="en-IE"/>
              </w:rPr>
              <w:t xml:space="preserve"> </w:t>
            </w:r>
          </w:p>
        </w:tc>
      </w:tr>
      <w:tr w:rsidRPr="00FE48E2" w:rsidR="00E3458A" w:rsidTr="4A45BCA2" w14:paraId="15458B12" w14:textId="77777777">
        <w:tblPrEx>
          <w:tblCellMar>
            <w:left w:w="108" w:type="dxa"/>
            <w:right w:w="108" w:type="dxa"/>
          </w:tblCellMar>
        </w:tblPrEx>
        <w:trPr>
          <w:gridAfter w:val="1"/>
          <w:wAfter w:w="10" w:type="dxa"/>
          <w:trHeight w:val="309"/>
          <w:jc w:val="center"/>
        </w:trPr>
        <w:tc>
          <w:tcPr>
            <w:tcW w:w="851" w:type="dxa"/>
            <w:gridSpan w:val="2"/>
            <w:shd w:val="clear" w:color="auto" w:fill="C6EFCE"/>
          </w:tcPr>
          <w:p w:rsidRPr="00FE48E2" w:rsidR="00D87E44" w:rsidP="00EE0DB1" w:rsidRDefault="00D87E44" w14:paraId="15458B07" w14:textId="77777777">
            <w:pPr>
              <w:spacing w:before="0" w:after="0" w:line="240" w:lineRule="auto"/>
              <w:rPr>
                <w:rFonts w:eastAsia="Times New Roman"/>
                <w:noProof/>
                <w:color w:val="006100"/>
                <w:sz w:val="18"/>
                <w:szCs w:val="18"/>
                <w:lang w:val="en-IE"/>
              </w:rPr>
            </w:pPr>
            <w:r w:rsidRPr="1B282876">
              <w:rPr>
                <w:rFonts w:eastAsia="Times New Roman"/>
                <w:noProof/>
                <w:color w:val="006100"/>
                <w:sz w:val="18"/>
                <w:szCs w:val="18"/>
                <w:lang w:val="en-IE"/>
              </w:rPr>
              <w:t>320</w:t>
            </w:r>
          </w:p>
        </w:tc>
        <w:tc>
          <w:tcPr>
            <w:tcW w:w="1652" w:type="dxa"/>
            <w:shd w:val="clear" w:color="auto" w:fill="C6EFCE"/>
          </w:tcPr>
          <w:p w:rsidRPr="00FE48E2" w:rsidR="00D87E44" w:rsidRDefault="00D87E44" w14:paraId="15458B0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2: Data</w:t>
            </w:r>
            <w:r>
              <w:rPr>
                <w:rFonts w:eastAsia="Times New Roman"/>
                <w:noProof/>
                <w:color w:val="006100"/>
                <w:sz w:val="18"/>
                <w:szCs w:val="18"/>
                <w:lang w:val="en-IE"/>
              </w:rPr>
              <w:t xml:space="preserve"> </w:t>
            </w:r>
            <w:r w:rsidRPr="0070162F">
              <w:rPr>
                <w:rFonts w:eastAsia="Times New Roman"/>
                <w:noProof/>
                <w:color w:val="006100"/>
                <w:sz w:val="18"/>
                <w:szCs w:val="18"/>
                <w:lang w:val="en-IE"/>
              </w:rPr>
              <w:t xml:space="preserve">and </w:t>
            </w:r>
            <w:r w:rsidRPr="0070162F">
              <w:rPr>
                <w:rFonts w:eastAsia="Times New Roman"/>
                <w:noProof/>
                <w:color w:val="006100"/>
                <w:sz w:val="18"/>
                <w:szCs w:val="18"/>
                <w:lang w:val="en-IE"/>
              </w:rPr>
              <w:t>methodological guidance and trainings for the</w:t>
            </w:r>
            <w:r>
              <w:rPr>
                <w:rFonts w:eastAsia="Times New Roman"/>
                <w:noProof/>
                <w:color w:val="006100"/>
                <w:sz w:val="18"/>
                <w:szCs w:val="18"/>
                <w:lang w:val="en-IE"/>
              </w:rPr>
              <w:t xml:space="preserve"> </w:t>
            </w:r>
            <w:r w:rsidRPr="00FE48E2">
              <w:rPr>
                <w:rFonts w:eastAsia="Times New Roman"/>
                <w:noProof/>
                <w:color w:val="006100"/>
                <w:sz w:val="18"/>
                <w:szCs w:val="18"/>
                <w:lang w:val="en-IE"/>
              </w:rPr>
              <w:t>advisory system</w:t>
            </w:r>
          </w:p>
        </w:tc>
        <w:tc>
          <w:tcPr>
            <w:tcW w:w="1099" w:type="dxa"/>
            <w:shd w:val="clear" w:color="auto" w:fill="C6EFCE"/>
          </w:tcPr>
          <w:p w:rsidRPr="00FE48E2" w:rsidR="00D87E44" w:rsidRDefault="00D87E44" w14:paraId="15458B0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495" w:type="dxa"/>
            <w:shd w:val="clear" w:color="auto" w:fill="C6EFCE"/>
          </w:tcPr>
          <w:p w:rsidRPr="00FE48E2" w:rsidR="00D87E44" w:rsidRDefault="00D87E44" w14:paraId="15458B0A" w14:textId="77777777">
            <w:pPr>
              <w:spacing w:before="0" w:after="0" w:line="240" w:lineRule="auto"/>
              <w:rPr>
                <w:rFonts w:eastAsia="Times New Roman"/>
                <w:noProof/>
                <w:color w:val="006100"/>
                <w:sz w:val="18"/>
                <w:szCs w:val="18"/>
                <w:lang w:val="en-IE"/>
              </w:rPr>
            </w:pPr>
            <w:r w:rsidRPr="437ED5C6">
              <w:rPr>
                <w:rFonts w:eastAsia="Times New Roman"/>
                <w:noProof/>
                <w:color w:val="006100"/>
                <w:sz w:val="18"/>
                <w:szCs w:val="18"/>
                <w:lang w:val="en-IE"/>
              </w:rPr>
              <w:t xml:space="preserve">Calculation </w:t>
            </w:r>
            <w:r w:rsidRPr="752CE4E1">
              <w:rPr>
                <w:rFonts w:eastAsia="Times New Roman"/>
                <w:noProof/>
                <w:color w:val="006100"/>
                <w:sz w:val="18"/>
                <w:szCs w:val="18"/>
                <w:lang w:val="en-IE"/>
              </w:rPr>
              <w:t>tool</w:t>
            </w:r>
            <w:r w:rsidRPr="437ED5C6">
              <w:rPr>
                <w:rFonts w:eastAsia="Times New Roman"/>
                <w:noProof/>
                <w:color w:val="006100"/>
                <w:sz w:val="18"/>
                <w:szCs w:val="18"/>
                <w:lang w:val="en-IE"/>
              </w:rPr>
              <w:t xml:space="preserve"> and </w:t>
            </w:r>
            <w:r w:rsidRPr="00FE48E2">
              <w:rPr>
                <w:rFonts w:eastAsia="Times New Roman"/>
                <w:noProof/>
                <w:color w:val="006100"/>
                <w:sz w:val="18"/>
                <w:szCs w:val="18"/>
                <w:lang w:val="en-IE"/>
              </w:rPr>
              <w:t xml:space="preserve">methodological guidance </w:t>
            </w:r>
            <w:r w:rsidRPr="437ED5C6">
              <w:rPr>
                <w:rFonts w:eastAsia="Times New Roman"/>
                <w:noProof/>
                <w:color w:val="006100"/>
                <w:sz w:val="18"/>
                <w:szCs w:val="18"/>
                <w:lang w:val="en-IE"/>
              </w:rPr>
              <w:t>prepared</w:t>
            </w:r>
          </w:p>
        </w:tc>
        <w:tc>
          <w:tcPr>
            <w:tcW w:w="1738" w:type="dxa"/>
            <w:shd w:val="clear" w:color="auto" w:fill="C6EFCE"/>
          </w:tcPr>
          <w:p w:rsidRPr="00FE48E2" w:rsidR="00D87E44" w:rsidRDefault="00D87E44" w14:paraId="15458B0B" w14:textId="77777777">
            <w:pPr>
              <w:spacing w:before="0" w:after="0" w:line="240" w:lineRule="auto"/>
              <w:rPr>
                <w:rFonts w:eastAsia="Times New Roman"/>
                <w:noProof/>
                <w:color w:val="006100"/>
                <w:sz w:val="18"/>
                <w:szCs w:val="18"/>
                <w:lang w:val="en-IE"/>
              </w:rPr>
            </w:pPr>
            <w:r w:rsidRPr="4A45BCA2">
              <w:rPr>
                <w:rFonts w:eastAsia="Times New Roman"/>
                <w:noProof/>
                <w:color w:val="006100"/>
                <w:sz w:val="18"/>
                <w:szCs w:val="18"/>
                <w:lang w:val="en-IE"/>
              </w:rPr>
              <w:t xml:space="preserve">Calculation tool and methodological guidance </w:t>
            </w:r>
          </w:p>
        </w:tc>
        <w:tc>
          <w:tcPr>
            <w:tcW w:w="957" w:type="dxa"/>
            <w:shd w:val="clear" w:color="auto" w:fill="C6EFCE"/>
          </w:tcPr>
          <w:p w:rsidRPr="00FE48E2" w:rsidR="00D87E44" w:rsidRDefault="00D87E44" w14:paraId="15458B0C" w14:textId="77777777">
            <w:pPr>
              <w:spacing w:before="0" w:after="0" w:line="240" w:lineRule="auto"/>
              <w:rPr>
                <w:rFonts w:eastAsia="Times New Roman"/>
                <w:noProof/>
                <w:color w:val="006100"/>
                <w:sz w:val="18"/>
                <w:szCs w:val="18"/>
                <w:lang w:val="en-IE"/>
              </w:rPr>
            </w:pPr>
          </w:p>
        </w:tc>
        <w:tc>
          <w:tcPr>
            <w:tcW w:w="1275" w:type="dxa"/>
            <w:shd w:val="clear" w:color="auto" w:fill="C6EFCE"/>
          </w:tcPr>
          <w:p w:rsidRPr="00FE48E2" w:rsidR="00D87E44" w:rsidRDefault="00D87E44" w14:paraId="15458B0D" w14:textId="77777777">
            <w:pPr>
              <w:spacing w:before="0" w:after="0" w:line="240" w:lineRule="auto"/>
              <w:rPr>
                <w:rFonts w:eastAsia="Times New Roman"/>
                <w:noProof/>
                <w:color w:val="006100"/>
                <w:sz w:val="18"/>
                <w:szCs w:val="18"/>
                <w:lang w:val="en-IE"/>
              </w:rPr>
            </w:pPr>
          </w:p>
        </w:tc>
        <w:tc>
          <w:tcPr>
            <w:tcW w:w="851" w:type="dxa"/>
            <w:shd w:val="clear" w:color="auto" w:fill="C6EFCE"/>
          </w:tcPr>
          <w:p w:rsidRPr="00FE48E2" w:rsidR="00D87E44" w:rsidRDefault="00D87E44" w14:paraId="15458B0E" w14:textId="77777777">
            <w:pPr>
              <w:spacing w:before="0" w:after="0" w:line="240" w:lineRule="auto"/>
              <w:rPr>
                <w:rFonts w:eastAsia="Times New Roman"/>
                <w:noProof/>
                <w:color w:val="006100"/>
                <w:sz w:val="18"/>
                <w:szCs w:val="18"/>
                <w:lang w:val="en-IE"/>
              </w:rPr>
            </w:pPr>
          </w:p>
        </w:tc>
        <w:tc>
          <w:tcPr>
            <w:tcW w:w="992" w:type="dxa"/>
            <w:shd w:val="clear" w:color="auto" w:fill="C6EFCE"/>
          </w:tcPr>
          <w:p w:rsidRPr="00FE48E2" w:rsidR="00D87E44" w:rsidRDefault="00D87E44" w14:paraId="15458B0F"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Q2</w:t>
            </w:r>
          </w:p>
        </w:tc>
        <w:tc>
          <w:tcPr>
            <w:tcW w:w="709" w:type="dxa"/>
            <w:shd w:val="clear" w:color="auto" w:fill="C6EFCE"/>
          </w:tcPr>
          <w:p w:rsidRPr="00FE48E2" w:rsidR="00D87E44" w:rsidRDefault="00D87E44" w14:paraId="15458B1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2025</w:t>
            </w:r>
          </w:p>
        </w:tc>
        <w:tc>
          <w:tcPr>
            <w:tcW w:w="3696" w:type="dxa"/>
            <w:shd w:val="clear" w:color="auto" w:fill="C6EFCE"/>
          </w:tcPr>
          <w:p w:rsidRPr="00FE48E2" w:rsidR="00D87E44" w:rsidP="00F825FF" w:rsidRDefault="00D87E44" w14:paraId="15458B11" w14:textId="77777777">
            <w:pPr>
              <w:spacing w:before="0" w:after="0" w:line="240" w:lineRule="auto"/>
              <w:rPr>
                <w:rFonts w:eastAsia="Times New Roman"/>
                <w:noProof/>
                <w:color w:val="006100"/>
                <w:sz w:val="18"/>
                <w:szCs w:val="18"/>
                <w:lang w:val="en-IE"/>
              </w:rPr>
            </w:pPr>
            <w:r w:rsidRPr="255DCDB5">
              <w:rPr>
                <w:rFonts w:eastAsia="Times New Roman"/>
                <w:noProof/>
                <w:color w:val="006100"/>
                <w:sz w:val="18"/>
                <w:szCs w:val="18"/>
                <w:lang w:val="en-IE"/>
              </w:rPr>
              <w:t xml:space="preserve">Calculation </w:t>
            </w:r>
            <w:r w:rsidRPr="7C45F229">
              <w:rPr>
                <w:rFonts w:eastAsia="Times New Roman"/>
                <w:noProof/>
                <w:color w:val="006100"/>
                <w:sz w:val="18"/>
                <w:szCs w:val="18"/>
                <w:lang w:val="en-IE"/>
              </w:rPr>
              <w:t>tool(s)</w:t>
            </w:r>
            <w:r w:rsidRPr="00FE48E2">
              <w:rPr>
                <w:rFonts w:eastAsia="Times New Roman"/>
                <w:noProof/>
                <w:color w:val="006100"/>
                <w:sz w:val="18"/>
                <w:szCs w:val="18"/>
                <w:lang w:val="en-IE"/>
              </w:rPr>
              <w:t xml:space="preserve"> and methodological guidance </w:t>
            </w:r>
            <w:r w:rsidRPr="5200409E">
              <w:rPr>
                <w:rFonts w:eastAsia="Times New Roman"/>
                <w:noProof/>
                <w:color w:val="006100"/>
                <w:sz w:val="18"/>
                <w:szCs w:val="18"/>
                <w:lang w:val="en-IE"/>
              </w:rPr>
              <w:t>for</w:t>
            </w:r>
            <w:r w:rsidRPr="00FE48E2">
              <w:rPr>
                <w:rFonts w:eastAsia="Times New Roman"/>
                <w:noProof/>
                <w:color w:val="006100"/>
                <w:sz w:val="18"/>
                <w:szCs w:val="18"/>
                <w:lang w:val="en-IE"/>
              </w:rPr>
              <w:t xml:space="preserve"> </w:t>
            </w:r>
            <w:r w:rsidRPr="7C45F229">
              <w:rPr>
                <w:rFonts w:eastAsia="Times New Roman"/>
                <w:noProof/>
                <w:color w:val="006100"/>
                <w:sz w:val="18"/>
                <w:szCs w:val="18"/>
                <w:lang w:val="en-IE"/>
              </w:rPr>
              <w:t xml:space="preserve">energy renovations </w:t>
            </w:r>
            <w:r>
              <w:rPr>
                <w:rFonts w:eastAsia="Times New Roman"/>
                <w:noProof/>
                <w:color w:val="006100"/>
                <w:sz w:val="18"/>
                <w:szCs w:val="18"/>
                <w:lang w:val="en-IE"/>
              </w:rPr>
              <w:t xml:space="preserve">shall be prepared. </w:t>
            </w:r>
            <w:r w:rsidRPr="00075B1A">
              <w:rPr>
                <w:rFonts w:eastAsia="Times New Roman"/>
                <w:noProof/>
                <w:color w:val="006100"/>
                <w:sz w:val="18"/>
                <w:szCs w:val="18"/>
                <w:lang w:val="en-IE"/>
              </w:rPr>
              <w:t xml:space="preserve">The methodological guidance </w:t>
            </w:r>
            <w:r w:rsidRPr="00A10B72">
              <w:rPr>
                <w:rFonts w:eastAsia="Times New Roman"/>
                <w:noProof/>
                <w:color w:val="006100"/>
                <w:sz w:val="18"/>
                <w:szCs w:val="18"/>
                <w:lang w:val="en-IE"/>
              </w:rPr>
              <w:t>shall include a module on energy poverty</w:t>
            </w:r>
            <w:r w:rsidRPr="00075B1A">
              <w:rPr>
                <w:rFonts w:eastAsia="Times New Roman"/>
                <w:noProof/>
                <w:color w:val="006100"/>
                <w:sz w:val="18"/>
                <w:szCs w:val="18"/>
                <w:lang w:val="en-IE"/>
              </w:rPr>
              <w:t xml:space="preserve"> and how to advise vulnerable households.</w:t>
            </w:r>
          </w:p>
        </w:tc>
      </w:tr>
      <w:tr w:rsidRPr="00FE48E2" w:rsidR="00E3458A" w:rsidTr="4A45BCA2" w14:paraId="15458B1E" w14:textId="77777777">
        <w:tblPrEx>
          <w:tblCellMar>
            <w:left w:w="108" w:type="dxa"/>
            <w:right w:w="108" w:type="dxa"/>
          </w:tblCellMar>
        </w:tblPrEx>
        <w:trPr>
          <w:gridAfter w:val="1"/>
          <w:wAfter w:w="10" w:type="dxa"/>
          <w:trHeight w:val="309"/>
          <w:jc w:val="center"/>
        </w:trPr>
        <w:tc>
          <w:tcPr>
            <w:tcW w:w="851" w:type="dxa"/>
            <w:gridSpan w:val="2"/>
            <w:shd w:val="clear" w:color="auto" w:fill="C6EFCE"/>
          </w:tcPr>
          <w:p w:rsidRPr="00FE48E2" w:rsidR="00D87E44" w:rsidRDefault="00D87E44" w14:paraId="15458B13" w14:textId="77777777">
            <w:pPr>
              <w:spacing w:before="0" w:after="0" w:line="240" w:lineRule="auto"/>
              <w:rPr>
                <w:noProof/>
              </w:rPr>
            </w:pPr>
            <w:r w:rsidRPr="1B282876">
              <w:rPr>
                <w:rFonts w:eastAsia="Times New Roman"/>
                <w:noProof/>
                <w:color w:val="006100"/>
                <w:sz w:val="18"/>
                <w:szCs w:val="18"/>
                <w:lang w:val="en-IE"/>
              </w:rPr>
              <w:t>321</w:t>
            </w:r>
          </w:p>
        </w:tc>
        <w:tc>
          <w:tcPr>
            <w:tcW w:w="1652" w:type="dxa"/>
            <w:shd w:val="clear" w:color="auto" w:fill="C6EFCE"/>
          </w:tcPr>
          <w:p w:rsidRPr="00FE48E2" w:rsidR="00D87E44" w:rsidRDefault="00D87E44" w14:paraId="15458B1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Reform 2: Data</w:t>
            </w:r>
            <w:r>
              <w:rPr>
                <w:rFonts w:eastAsia="Times New Roman"/>
                <w:noProof/>
                <w:color w:val="006100"/>
                <w:sz w:val="18"/>
                <w:szCs w:val="18"/>
                <w:lang w:val="en-IE"/>
              </w:rPr>
              <w:t xml:space="preserve"> </w:t>
            </w:r>
            <w:r w:rsidRPr="0070162F">
              <w:rPr>
                <w:rFonts w:eastAsia="Times New Roman"/>
                <w:noProof/>
                <w:color w:val="006100"/>
                <w:sz w:val="18"/>
                <w:szCs w:val="18"/>
                <w:lang w:val="en-IE"/>
              </w:rPr>
              <w:t>and methodological guidance and trainings for the</w:t>
            </w:r>
            <w:r>
              <w:rPr>
                <w:rFonts w:eastAsia="Times New Roman"/>
                <w:noProof/>
                <w:color w:val="006100"/>
                <w:sz w:val="18"/>
                <w:szCs w:val="18"/>
                <w:lang w:val="en-IE"/>
              </w:rPr>
              <w:t xml:space="preserve"> </w:t>
            </w:r>
            <w:r w:rsidRPr="00FE48E2">
              <w:rPr>
                <w:rFonts w:eastAsia="Times New Roman"/>
                <w:noProof/>
                <w:color w:val="006100"/>
                <w:sz w:val="18"/>
                <w:szCs w:val="18"/>
                <w:lang w:val="en-IE"/>
              </w:rPr>
              <w:t>advisory system</w:t>
            </w:r>
          </w:p>
        </w:tc>
        <w:tc>
          <w:tcPr>
            <w:tcW w:w="1099" w:type="dxa"/>
            <w:shd w:val="clear" w:color="auto" w:fill="C6EFCE"/>
          </w:tcPr>
          <w:p w:rsidRPr="00FE48E2" w:rsidR="00D87E44" w:rsidRDefault="00D87E44" w14:paraId="15458B1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495" w:type="dxa"/>
            <w:shd w:val="clear" w:color="auto" w:fill="C6EFCE"/>
          </w:tcPr>
          <w:p w:rsidRPr="00FE48E2" w:rsidR="00D87E44" w:rsidRDefault="00D87E44" w14:paraId="15458B16"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Number of </w:t>
            </w:r>
            <w:r>
              <w:rPr>
                <w:rFonts w:eastAsia="Times New Roman"/>
                <w:noProof/>
                <w:color w:val="006100"/>
                <w:sz w:val="18"/>
                <w:szCs w:val="18"/>
                <w:lang w:val="en-IE"/>
              </w:rPr>
              <w:t>trained professionals</w:t>
            </w:r>
          </w:p>
        </w:tc>
        <w:tc>
          <w:tcPr>
            <w:tcW w:w="1738" w:type="dxa"/>
            <w:shd w:val="clear" w:color="auto" w:fill="C6EFCE"/>
          </w:tcPr>
          <w:p w:rsidRPr="00FE48E2" w:rsidR="00D87E44" w:rsidRDefault="00D87E44" w14:paraId="15458B17" w14:textId="77777777">
            <w:pPr>
              <w:spacing w:before="0" w:after="0" w:line="240" w:lineRule="auto"/>
              <w:rPr>
                <w:rFonts w:eastAsia="Times New Roman"/>
                <w:noProof/>
                <w:color w:val="006100"/>
                <w:sz w:val="18"/>
                <w:szCs w:val="18"/>
                <w:lang w:val="en-IE"/>
              </w:rPr>
            </w:pPr>
          </w:p>
        </w:tc>
        <w:tc>
          <w:tcPr>
            <w:tcW w:w="957" w:type="dxa"/>
            <w:shd w:val="clear" w:color="auto" w:fill="C6EFCE"/>
          </w:tcPr>
          <w:p w:rsidRPr="00FE48E2" w:rsidR="00D87E44" w:rsidRDefault="00D87E44" w14:paraId="15458B18"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Number of trained professionals</w:t>
            </w:r>
          </w:p>
        </w:tc>
        <w:tc>
          <w:tcPr>
            <w:tcW w:w="1275" w:type="dxa"/>
            <w:shd w:val="clear" w:color="auto" w:fill="C6EFCE"/>
          </w:tcPr>
          <w:p w:rsidRPr="00FE48E2" w:rsidR="00D87E44" w:rsidRDefault="00D87E44" w14:paraId="15458B19"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0</w:t>
            </w:r>
          </w:p>
        </w:tc>
        <w:tc>
          <w:tcPr>
            <w:tcW w:w="851" w:type="dxa"/>
            <w:shd w:val="clear" w:color="auto" w:fill="C6EFCE"/>
          </w:tcPr>
          <w:p w:rsidRPr="00FE48E2" w:rsidR="00D87E44" w:rsidRDefault="00D87E44" w14:paraId="15458B1A"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100</w:t>
            </w:r>
          </w:p>
        </w:tc>
        <w:tc>
          <w:tcPr>
            <w:tcW w:w="992" w:type="dxa"/>
            <w:shd w:val="clear" w:color="auto" w:fill="C6EFCE"/>
          </w:tcPr>
          <w:p w:rsidRPr="00FE48E2" w:rsidR="00D87E44" w:rsidRDefault="00D87E44" w14:paraId="15458B1B"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Q2</w:t>
            </w:r>
          </w:p>
        </w:tc>
        <w:tc>
          <w:tcPr>
            <w:tcW w:w="709" w:type="dxa"/>
            <w:shd w:val="clear" w:color="auto" w:fill="C6EFCE"/>
          </w:tcPr>
          <w:p w:rsidRPr="00FE48E2" w:rsidR="00D87E44" w:rsidRDefault="00D87E44" w14:paraId="15458B1C"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2025</w:t>
            </w:r>
          </w:p>
        </w:tc>
        <w:tc>
          <w:tcPr>
            <w:tcW w:w="3696" w:type="dxa"/>
            <w:shd w:val="clear" w:color="auto" w:fill="C6EFCE"/>
          </w:tcPr>
          <w:p w:rsidRPr="00FE48E2" w:rsidR="00D87E44" w:rsidRDefault="00D87E44" w14:paraId="15458B1D" w14:textId="77777777">
            <w:pPr>
              <w:spacing w:before="0" w:after="0" w:line="240" w:lineRule="auto"/>
              <w:rPr>
                <w:rFonts w:eastAsia="Times New Roman"/>
                <w:noProof/>
                <w:color w:val="006100"/>
                <w:sz w:val="18"/>
                <w:szCs w:val="18"/>
                <w:lang w:val="en-IE"/>
              </w:rPr>
            </w:pPr>
            <w:r>
              <w:rPr>
                <w:rFonts w:eastAsia="Times New Roman"/>
                <w:noProof/>
                <w:color w:val="006100"/>
                <w:sz w:val="18"/>
                <w:szCs w:val="18"/>
                <w:lang w:val="en-IE"/>
              </w:rPr>
              <w:t>A</w:t>
            </w:r>
            <w:r w:rsidRPr="006A4D6D">
              <w:rPr>
                <w:rFonts w:eastAsia="Times New Roman"/>
                <w:noProof/>
                <w:color w:val="006100"/>
                <w:sz w:val="18"/>
                <w:szCs w:val="18"/>
                <w:lang w:val="en-IE"/>
              </w:rPr>
              <w:t xml:space="preserve">t least 100 professionals </w:t>
            </w:r>
            <w:r>
              <w:rPr>
                <w:rFonts w:eastAsia="Times New Roman"/>
                <w:noProof/>
                <w:color w:val="006100"/>
                <w:sz w:val="18"/>
                <w:szCs w:val="18"/>
                <w:lang w:val="en-IE"/>
              </w:rPr>
              <w:t>shall be trained</w:t>
            </w:r>
            <w:r w:rsidRPr="006A4D6D">
              <w:rPr>
                <w:rFonts w:eastAsia="Times New Roman"/>
                <w:noProof/>
                <w:color w:val="006100"/>
                <w:sz w:val="18"/>
                <w:szCs w:val="18"/>
                <w:lang w:val="en-IE"/>
              </w:rPr>
              <w:t xml:space="preserve"> for </w:t>
            </w:r>
            <w:r>
              <w:rPr>
                <w:rFonts w:eastAsia="Times New Roman"/>
                <w:noProof/>
                <w:color w:val="006100"/>
                <w:sz w:val="18"/>
                <w:szCs w:val="18"/>
                <w:lang w:val="en-IE"/>
              </w:rPr>
              <w:t>energy efficiency renovations.</w:t>
            </w:r>
            <w:r w:rsidRPr="00FE48E2">
              <w:rPr>
                <w:rFonts w:eastAsia="Times New Roman"/>
                <w:noProof/>
                <w:color w:val="006100"/>
                <w:sz w:val="18"/>
                <w:szCs w:val="18"/>
                <w:lang w:val="en-IE"/>
              </w:rPr>
              <w:t xml:space="preserve"> </w:t>
            </w:r>
          </w:p>
        </w:tc>
      </w:tr>
      <w:tr w:rsidRPr="00FE48E2" w:rsidR="00E3458A" w:rsidTr="4A45BCA2" w14:paraId="15458B2A" w14:textId="77777777">
        <w:tblPrEx>
          <w:tblCellMar>
            <w:left w:w="108" w:type="dxa"/>
            <w:right w:w="108" w:type="dxa"/>
          </w:tblCellMar>
        </w:tblPrEx>
        <w:trPr>
          <w:gridAfter w:val="1"/>
          <w:wAfter w:w="10" w:type="dxa"/>
          <w:trHeight w:val="309"/>
          <w:jc w:val="center"/>
        </w:trPr>
        <w:tc>
          <w:tcPr>
            <w:tcW w:w="851" w:type="dxa"/>
            <w:gridSpan w:val="2"/>
            <w:shd w:val="clear" w:color="auto" w:fill="C6EFCE"/>
          </w:tcPr>
          <w:p w:rsidRPr="00FE48E2" w:rsidR="00D87E44" w:rsidRDefault="00D87E44" w14:paraId="15458B1F" w14:textId="77777777">
            <w:pPr>
              <w:spacing w:before="0" w:after="0" w:line="240" w:lineRule="auto"/>
              <w:rPr>
                <w:noProof/>
              </w:rPr>
            </w:pPr>
            <w:r w:rsidRPr="1B282876">
              <w:rPr>
                <w:rFonts w:eastAsia="Times New Roman"/>
                <w:noProof/>
                <w:color w:val="006100"/>
                <w:sz w:val="18"/>
                <w:szCs w:val="18"/>
                <w:lang w:val="en-IE"/>
              </w:rPr>
              <w:t>322</w:t>
            </w:r>
          </w:p>
        </w:tc>
        <w:tc>
          <w:tcPr>
            <w:tcW w:w="1652" w:type="dxa"/>
            <w:shd w:val="clear" w:color="auto" w:fill="C6EFCE"/>
          </w:tcPr>
          <w:p w:rsidRPr="00FE48E2" w:rsidR="00D87E44" w:rsidRDefault="00D87E44" w14:paraId="15458B20"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Investment 1: Provision of advisory services to households, enterprises and the public sector</w:t>
            </w:r>
          </w:p>
        </w:tc>
        <w:tc>
          <w:tcPr>
            <w:tcW w:w="1099" w:type="dxa"/>
            <w:shd w:val="clear" w:color="auto" w:fill="C6EFCE"/>
          </w:tcPr>
          <w:p w:rsidRPr="00FE48E2" w:rsidR="00D87E44" w:rsidRDefault="00D87E44" w14:paraId="15458B21"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495" w:type="dxa"/>
            <w:shd w:val="clear" w:color="auto" w:fill="C6EFCE"/>
          </w:tcPr>
          <w:p w:rsidRPr="00FE48E2" w:rsidR="00D87E44" w:rsidRDefault="00D87E44" w14:paraId="15458B22"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Provision of advisory services to households, enterprises and the public sector</w:t>
            </w:r>
          </w:p>
        </w:tc>
        <w:tc>
          <w:tcPr>
            <w:tcW w:w="1738" w:type="dxa"/>
            <w:shd w:val="clear" w:color="auto" w:fill="C6EFCE"/>
          </w:tcPr>
          <w:p w:rsidRPr="00FE48E2" w:rsidR="00D87E44" w:rsidRDefault="00D87E44" w14:paraId="15458B23" w14:textId="77777777">
            <w:pPr>
              <w:spacing w:before="0" w:after="0" w:line="240" w:lineRule="auto"/>
              <w:rPr>
                <w:rFonts w:eastAsia="Times New Roman"/>
                <w:noProof/>
                <w:color w:val="006100"/>
                <w:sz w:val="18"/>
                <w:szCs w:val="18"/>
                <w:lang w:val="en-IE"/>
              </w:rPr>
            </w:pPr>
          </w:p>
        </w:tc>
        <w:tc>
          <w:tcPr>
            <w:tcW w:w="957" w:type="dxa"/>
            <w:shd w:val="clear" w:color="auto" w:fill="C6EFCE"/>
          </w:tcPr>
          <w:p w:rsidRPr="00FE48E2" w:rsidR="00D87E44" w:rsidRDefault="00D87E44" w14:paraId="15458B24"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Number</w:t>
            </w:r>
          </w:p>
        </w:tc>
        <w:tc>
          <w:tcPr>
            <w:tcW w:w="1275" w:type="dxa"/>
            <w:shd w:val="clear" w:color="auto" w:fill="C6EFCE"/>
          </w:tcPr>
          <w:p w:rsidRPr="00FE48E2" w:rsidR="00D87E44" w:rsidRDefault="00D87E44" w14:paraId="15458B25"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0</w:t>
            </w:r>
          </w:p>
        </w:tc>
        <w:tc>
          <w:tcPr>
            <w:tcW w:w="851" w:type="dxa"/>
            <w:shd w:val="clear" w:color="auto" w:fill="C6EFCE"/>
          </w:tcPr>
          <w:p w:rsidRPr="00FE48E2" w:rsidR="00D87E44" w:rsidRDefault="00D87E44" w14:paraId="15458B26"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109</w:t>
            </w:r>
            <w:r w:rsidRPr="00FF1320">
              <w:rPr>
                <w:color w:val="006100"/>
                <w:sz w:val="18"/>
                <w:lang w:val="en-IE"/>
              </w:rPr>
              <w:t> </w:t>
            </w:r>
            <w:r w:rsidRPr="00F538D6">
              <w:rPr>
                <w:rFonts w:eastAsia="Times New Roman"/>
                <w:noProof/>
                <w:color w:val="006100"/>
                <w:sz w:val="18"/>
                <w:szCs w:val="18"/>
                <w:lang w:val="en-IE"/>
              </w:rPr>
              <w:t>000</w:t>
            </w:r>
          </w:p>
        </w:tc>
        <w:tc>
          <w:tcPr>
            <w:tcW w:w="992" w:type="dxa"/>
            <w:shd w:val="clear" w:color="auto" w:fill="C6EFCE"/>
          </w:tcPr>
          <w:p w:rsidRPr="00FE48E2" w:rsidR="00D87E44" w:rsidRDefault="00D87E44" w14:paraId="15458B27"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Q</w:t>
            </w:r>
            <w:r>
              <w:rPr>
                <w:rFonts w:eastAsia="Times New Roman"/>
                <w:noProof/>
                <w:color w:val="006100"/>
                <w:sz w:val="18"/>
                <w:szCs w:val="18"/>
                <w:lang w:val="en-IE"/>
              </w:rPr>
              <w:t>4</w:t>
            </w:r>
          </w:p>
        </w:tc>
        <w:tc>
          <w:tcPr>
            <w:tcW w:w="709" w:type="dxa"/>
            <w:shd w:val="clear" w:color="auto" w:fill="C6EFCE"/>
          </w:tcPr>
          <w:p w:rsidRPr="00FE48E2" w:rsidR="00D87E44" w:rsidRDefault="00D87E44" w14:paraId="15458B28"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2025</w:t>
            </w:r>
          </w:p>
        </w:tc>
        <w:tc>
          <w:tcPr>
            <w:tcW w:w="3696" w:type="dxa"/>
            <w:shd w:val="clear" w:color="auto" w:fill="C6EFCE"/>
          </w:tcPr>
          <w:p w:rsidRPr="00FE48E2" w:rsidR="00D87E44" w:rsidP="00E3458A" w:rsidRDefault="00D87E44" w14:paraId="15458B29"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The advisory system shall provide advisory services to at least </w:t>
            </w:r>
            <w:r w:rsidRPr="008C7FAF">
              <w:rPr>
                <w:rFonts w:eastAsia="Times New Roman"/>
                <w:noProof/>
                <w:color w:val="006100"/>
                <w:sz w:val="18"/>
                <w:szCs w:val="18"/>
                <w:lang w:val="en-IE"/>
              </w:rPr>
              <w:t>109</w:t>
            </w:r>
            <w:r w:rsidRPr="00FF1320">
              <w:rPr>
                <w:color w:val="006100"/>
                <w:sz w:val="18"/>
                <w:lang w:val="en-IE"/>
              </w:rPr>
              <w:t> </w:t>
            </w:r>
            <w:r w:rsidRPr="008C7FAF">
              <w:rPr>
                <w:rFonts w:eastAsia="Times New Roman"/>
                <w:noProof/>
                <w:color w:val="006100"/>
                <w:sz w:val="18"/>
                <w:szCs w:val="18"/>
                <w:lang w:val="en-IE"/>
              </w:rPr>
              <w:t>000</w:t>
            </w:r>
            <w:r w:rsidRPr="00FE48E2">
              <w:rPr>
                <w:rFonts w:eastAsia="Times New Roman"/>
                <w:noProof/>
                <w:color w:val="006100"/>
                <w:sz w:val="18"/>
                <w:szCs w:val="18"/>
                <w:lang w:val="en-IE"/>
              </w:rPr>
              <w:t xml:space="preserve"> household, enterprise</w:t>
            </w:r>
            <w:r>
              <w:rPr>
                <w:rFonts w:eastAsia="Times New Roman"/>
                <w:noProof/>
                <w:color w:val="006100"/>
                <w:sz w:val="18"/>
                <w:szCs w:val="18"/>
                <w:lang w:val="en-IE"/>
              </w:rPr>
              <w:t>,</w:t>
            </w:r>
            <w:r w:rsidRPr="00FE48E2">
              <w:rPr>
                <w:rFonts w:eastAsia="Times New Roman"/>
                <w:noProof/>
                <w:color w:val="006100"/>
                <w:sz w:val="18"/>
                <w:szCs w:val="18"/>
                <w:lang w:val="en-IE"/>
              </w:rPr>
              <w:t xml:space="preserve"> or public sector projects</w:t>
            </w:r>
            <w:r>
              <w:rPr>
                <w:rFonts w:eastAsia="Times New Roman"/>
                <w:noProof/>
                <w:color w:val="006100"/>
                <w:sz w:val="18"/>
                <w:szCs w:val="18"/>
                <w:lang w:val="en-IE"/>
              </w:rPr>
              <w:t xml:space="preserve">. </w:t>
            </w:r>
          </w:p>
        </w:tc>
      </w:tr>
      <w:tr w:rsidRPr="00FE48E2" w:rsidR="00E3458A" w:rsidTr="4A45BCA2" w14:paraId="15458B39" w14:textId="77777777">
        <w:trPr>
          <w:gridBefore w:val="1"/>
          <w:trHeight w:val="1230"/>
          <w:jc w:val="center"/>
        </w:trPr>
        <w:tc>
          <w:tcPr>
            <w:tcW w:w="851" w:type="dxa"/>
            <w:shd w:val="clear" w:color="auto" w:fill="C6EFCE"/>
          </w:tcPr>
          <w:p w:rsidRPr="00FF1320" w:rsidR="00D87E44" w:rsidDel="009E659B" w:rsidRDefault="00D87E44" w14:paraId="15458B2B" w14:textId="77777777">
            <w:pPr>
              <w:spacing w:before="0" w:after="0" w:line="240" w:lineRule="auto"/>
              <w:rPr>
                <w:color w:val="006100"/>
                <w:sz w:val="18"/>
                <w:highlight w:val="yellow"/>
                <w:lang w:val="en-IE"/>
              </w:rPr>
            </w:pPr>
            <w:r w:rsidRPr="00F538D6">
              <w:rPr>
                <w:rFonts w:eastAsia="Times New Roman"/>
                <w:noProof/>
                <w:color w:val="006100"/>
                <w:sz w:val="18"/>
                <w:szCs w:val="18"/>
                <w:lang w:val="en-IE"/>
              </w:rPr>
              <w:lastRenderedPageBreak/>
              <w:t>350</w:t>
            </w:r>
          </w:p>
        </w:tc>
        <w:tc>
          <w:tcPr>
            <w:tcW w:w="1652" w:type="dxa"/>
            <w:shd w:val="clear" w:color="auto" w:fill="C6EFCE"/>
          </w:tcPr>
          <w:p w:rsidRPr="00F538D6" w:rsidR="00D87E44" w:rsidDel="009E659B" w:rsidRDefault="00D87E44" w14:paraId="15458B2C"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Investment 2: Improvement of energy performance in residential housing</w:t>
            </w:r>
          </w:p>
        </w:tc>
        <w:tc>
          <w:tcPr>
            <w:tcW w:w="1099" w:type="dxa"/>
            <w:shd w:val="clear" w:color="auto" w:fill="C6EFCE"/>
          </w:tcPr>
          <w:p w:rsidRPr="00F538D6" w:rsidR="00D87E44" w:rsidDel="009E659B" w:rsidRDefault="00D87E44" w14:paraId="15458B2D"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Target</w:t>
            </w:r>
          </w:p>
        </w:tc>
        <w:tc>
          <w:tcPr>
            <w:tcW w:w="1495" w:type="dxa"/>
            <w:shd w:val="clear" w:color="auto" w:fill="C6EFCE"/>
          </w:tcPr>
          <w:p w:rsidRPr="00F538D6" w:rsidR="00D87E44" w:rsidDel="009E659B" w:rsidRDefault="00D87E44" w14:paraId="15458B2E" w14:textId="77777777">
            <w:pPr>
              <w:spacing w:before="0" w:after="0" w:line="240" w:lineRule="auto"/>
              <w:rPr>
                <w:rFonts w:eastAsia="Times New Roman"/>
                <w:noProof/>
                <w:color w:val="006100"/>
                <w:sz w:val="18"/>
                <w:szCs w:val="18"/>
                <w:lang w:val="en-IE"/>
              </w:rPr>
            </w:pPr>
            <w:r w:rsidRPr="00FF1320">
              <w:rPr>
                <w:color w:val="006100"/>
                <w:sz w:val="18"/>
                <w:lang w:val="en-IE"/>
              </w:rPr>
              <w:t>Reduction of energy consumption</w:t>
            </w:r>
          </w:p>
        </w:tc>
        <w:tc>
          <w:tcPr>
            <w:tcW w:w="1738" w:type="dxa"/>
            <w:shd w:val="clear" w:color="auto" w:fill="C6EFCE"/>
          </w:tcPr>
          <w:p w:rsidRPr="00FF1320" w:rsidR="00D87E44" w:rsidDel="009E659B" w:rsidRDefault="00D87E44" w14:paraId="15458B2F" w14:textId="77777777">
            <w:pPr>
              <w:spacing w:before="0" w:after="0" w:line="240" w:lineRule="auto"/>
              <w:rPr>
                <w:color w:val="006100"/>
                <w:sz w:val="18"/>
                <w:highlight w:val="yellow"/>
                <w:lang w:val="en-IE"/>
              </w:rPr>
            </w:pPr>
          </w:p>
        </w:tc>
        <w:tc>
          <w:tcPr>
            <w:tcW w:w="957" w:type="dxa"/>
            <w:shd w:val="clear" w:color="auto" w:fill="C6EFCE"/>
          </w:tcPr>
          <w:p w:rsidRPr="00FF1320" w:rsidR="00D87E44" w:rsidRDefault="00D87E44" w14:paraId="15458B30" w14:textId="77777777">
            <w:pPr>
              <w:spacing w:before="0" w:after="0" w:line="240" w:lineRule="auto"/>
              <w:rPr>
                <w:color w:val="006100"/>
                <w:sz w:val="18"/>
                <w:highlight w:val="yellow"/>
                <w:lang w:val="en-IE"/>
              </w:rPr>
            </w:pPr>
            <w:r w:rsidRPr="00F538D6">
              <w:rPr>
                <w:rFonts w:eastAsia="Times New Roman"/>
                <w:noProof/>
                <w:color w:val="006100"/>
                <w:sz w:val="18"/>
                <w:szCs w:val="18"/>
                <w:lang w:val="en-IE"/>
              </w:rPr>
              <w:t xml:space="preserve">Energy </w:t>
            </w:r>
            <w:r w:rsidRPr="00F538D6">
              <w:rPr>
                <w:rFonts w:eastAsia="Times New Roman"/>
                <w:noProof/>
                <w:color w:val="006100"/>
                <w:sz w:val="18"/>
                <w:szCs w:val="18"/>
                <w:lang w:val="en-IE"/>
              </w:rPr>
              <w:t>savings in terra joules per year</w:t>
            </w:r>
          </w:p>
        </w:tc>
        <w:tc>
          <w:tcPr>
            <w:tcW w:w="1275" w:type="dxa"/>
            <w:shd w:val="clear" w:color="auto" w:fill="C6EFCE"/>
          </w:tcPr>
          <w:p w:rsidRPr="00F538D6" w:rsidR="00D87E44" w:rsidDel="009E659B" w:rsidRDefault="00D87E44" w14:paraId="15458B31"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1</w:t>
            </w:r>
            <w:r>
              <w:rPr>
                <w:rFonts w:eastAsia="Times New Roman"/>
                <w:noProof/>
                <w:color w:val="006100"/>
                <w:sz w:val="18"/>
                <w:szCs w:val="18"/>
                <w:lang w:val="en-IE"/>
              </w:rPr>
              <w:t> </w:t>
            </w:r>
            <w:r w:rsidRPr="00F538D6">
              <w:rPr>
                <w:rFonts w:eastAsia="Times New Roman"/>
                <w:noProof/>
                <w:color w:val="006100"/>
                <w:sz w:val="18"/>
                <w:szCs w:val="18"/>
                <w:lang w:val="en-IE"/>
              </w:rPr>
              <w:t>900</w:t>
            </w:r>
          </w:p>
        </w:tc>
        <w:tc>
          <w:tcPr>
            <w:tcW w:w="851" w:type="dxa"/>
            <w:shd w:val="clear" w:color="auto" w:fill="C6EFCE"/>
          </w:tcPr>
          <w:p w:rsidRPr="00F538D6" w:rsidR="00D87E44" w:rsidRDefault="00D87E44" w14:paraId="15458B32"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2</w:t>
            </w:r>
            <w:r>
              <w:rPr>
                <w:rFonts w:eastAsia="Times New Roman"/>
                <w:noProof/>
                <w:color w:val="006100"/>
                <w:sz w:val="18"/>
                <w:szCs w:val="18"/>
                <w:lang w:val="en-IE"/>
              </w:rPr>
              <w:t> </w:t>
            </w:r>
            <w:r w:rsidRPr="00F538D6">
              <w:rPr>
                <w:rFonts w:eastAsia="Times New Roman"/>
                <w:noProof/>
                <w:color w:val="006100"/>
                <w:sz w:val="18"/>
                <w:szCs w:val="18"/>
                <w:lang w:val="en-IE"/>
              </w:rPr>
              <w:t>150</w:t>
            </w:r>
          </w:p>
        </w:tc>
        <w:tc>
          <w:tcPr>
            <w:tcW w:w="992" w:type="dxa"/>
            <w:shd w:val="clear" w:color="auto" w:fill="C6EFCE"/>
          </w:tcPr>
          <w:p w:rsidRPr="00F538D6" w:rsidR="00D87E44" w:rsidDel="009E659B" w:rsidRDefault="00D87E44" w14:paraId="15458B33"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Q4</w:t>
            </w:r>
          </w:p>
        </w:tc>
        <w:tc>
          <w:tcPr>
            <w:tcW w:w="709" w:type="dxa"/>
            <w:shd w:val="clear" w:color="auto" w:fill="C6EFCE"/>
          </w:tcPr>
          <w:p w:rsidRPr="00FE48E2" w:rsidR="00D87E44" w:rsidDel="009E659B" w:rsidRDefault="00D87E44" w14:paraId="15458B34" w14:textId="77777777">
            <w:pPr>
              <w:spacing w:before="0" w:after="0" w:line="240" w:lineRule="auto"/>
              <w:rPr>
                <w:rFonts w:eastAsia="Times New Roman"/>
                <w:noProof/>
                <w:color w:val="006100"/>
                <w:sz w:val="18"/>
                <w:szCs w:val="18"/>
                <w:lang w:val="en-IE"/>
              </w:rPr>
            </w:pPr>
            <w:r w:rsidRPr="3C3211E6">
              <w:rPr>
                <w:rFonts w:eastAsia="Times New Roman"/>
                <w:noProof/>
                <w:color w:val="006100"/>
                <w:sz w:val="18"/>
                <w:szCs w:val="18"/>
                <w:lang w:val="en-IE"/>
              </w:rPr>
              <w:t>2025</w:t>
            </w:r>
          </w:p>
        </w:tc>
        <w:tc>
          <w:tcPr>
            <w:tcW w:w="3696" w:type="dxa"/>
            <w:gridSpan w:val="2"/>
            <w:shd w:val="clear" w:color="auto" w:fill="C6EFCE"/>
          </w:tcPr>
          <w:p w:rsidR="00D87E44" w:rsidRDefault="00D87E44" w14:paraId="15458B35" w14:textId="77777777">
            <w:pPr>
              <w:spacing w:before="0" w:after="0" w:line="240" w:lineRule="auto"/>
              <w:rPr>
                <w:rFonts w:eastAsia="Times New Roman"/>
                <w:noProof/>
                <w:color w:val="006100"/>
                <w:sz w:val="18"/>
                <w:szCs w:val="18"/>
                <w:lang w:val="en-IE"/>
              </w:rPr>
            </w:pPr>
            <w:r w:rsidRPr="00F538D6">
              <w:rPr>
                <w:rFonts w:eastAsia="Times New Roman"/>
                <w:noProof/>
                <w:color w:val="006100"/>
                <w:sz w:val="18"/>
                <w:szCs w:val="18"/>
                <w:lang w:val="en-IE"/>
              </w:rPr>
              <w:t xml:space="preserve">Projects shall deliver a total estimated reduction in primary energy consumption of at least </w:t>
            </w:r>
          </w:p>
          <w:p w:rsidRPr="00FE48E2" w:rsidR="00D87E44" w:rsidDel="009E659B" w:rsidRDefault="00D87E44" w14:paraId="15458B36" w14:textId="77777777">
            <w:pPr>
              <w:spacing w:before="0" w:after="0" w:line="240" w:lineRule="auto"/>
              <w:rPr>
                <w:rFonts w:eastAsia="Times New Roman"/>
                <w:noProof/>
                <w:color w:val="006100"/>
                <w:sz w:val="18"/>
                <w:szCs w:val="18"/>
                <w:highlight w:val="yellow"/>
                <w:lang w:val="en-IE"/>
              </w:rPr>
            </w:pPr>
            <w:r w:rsidRPr="00F538D6">
              <w:rPr>
                <w:rFonts w:eastAsia="Times New Roman"/>
                <w:noProof/>
                <w:color w:val="006100"/>
                <w:sz w:val="18"/>
                <w:szCs w:val="18"/>
                <w:lang w:val="en-IE"/>
              </w:rPr>
              <w:t>250</w:t>
            </w:r>
            <w:r>
              <w:rPr>
                <w:rFonts w:eastAsia="Times New Roman"/>
                <w:noProof/>
                <w:color w:val="006100"/>
                <w:sz w:val="18"/>
                <w:szCs w:val="18"/>
                <w:lang w:val="en-IE"/>
              </w:rPr>
              <w:t xml:space="preserve"> </w:t>
            </w:r>
            <w:r w:rsidRPr="00F538D6">
              <w:rPr>
                <w:rFonts w:eastAsia="Times New Roman"/>
                <w:noProof/>
                <w:color w:val="006100"/>
                <w:sz w:val="18"/>
                <w:szCs w:val="18"/>
                <w:lang w:val="en-IE"/>
              </w:rPr>
              <w:t xml:space="preserve">TJ/year. </w:t>
            </w:r>
          </w:p>
          <w:p w:rsidR="00D87E44" w:rsidRDefault="00D87E44" w14:paraId="15458B37" w14:textId="77777777">
            <w:pPr>
              <w:spacing w:before="0" w:after="0" w:line="240" w:lineRule="auto"/>
              <w:rPr>
                <w:rFonts w:eastAsia="Times New Roman"/>
                <w:noProof/>
                <w:color w:val="006100"/>
                <w:sz w:val="18"/>
                <w:szCs w:val="18"/>
                <w:highlight w:val="yellow"/>
                <w:lang w:val="en-IE"/>
              </w:rPr>
            </w:pPr>
          </w:p>
          <w:p w:rsidRPr="00FE48E2" w:rsidR="00D87E44" w:rsidDel="009E659B" w:rsidRDefault="00D87E44" w14:paraId="15458B38" w14:textId="77777777">
            <w:pPr>
              <w:spacing w:before="0" w:after="0" w:line="240" w:lineRule="auto"/>
              <w:rPr>
                <w:rFonts w:eastAsia="Times New Roman"/>
                <w:noProof/>
                <w:color w:val="006100"/>
                <w:sz w:val="18"/>
                <w:szCs w:val="18"/>
                <w:lang w:val="en-IE"/>
              </w:rPr>
            </w:pPr>
            <w:r w:rsidRPr="6CF0A179">
              <w:rPr>
                <w:rFonts w:eastAsia="Times New Roman"/>
                <w:noProof/>
                <w:color w:val="006100"/>
                <w:sz w:val="18"/>
                <w:szCs w:val="18"/>
                <w:lang w:val="en-IE"/>
              </w:rPr>
              <w:t xml:space="preserve">Natural gas boilers shall not be supported. </w:t>
            </w:r>
          </w:p>
        </w:tc>
      </w:tr>
    </w:tbl>
    <w:p w:rsidRPr="00FE48E2" w:rsidR="00D87E44" w:rsidP="00D226F4" w:rsidRDefault="00D87E44" w14:paraId="15458B3A" w14:textId="77777777">
      <w:pPr>
        <w:pBdr>
          <w:top w:val="nil"/>
          <w:left w:val="nil"/>
          <w:bottom w:val="nil"/>
          <w:right w:val="nil"/>
          <w:between w:val="nil"/>
        </w:pBdr>
        <w:tabs>
          <w:tab w:val="left" w:pos="993"/>
        </w:tabs>
        <w:spacing w:line="240" w:lineRule="auto"/>
        <w:jc w:val="both"/>
        <w:rPr>
          <w:b/>
          <w:noProof/>
          <w:lang w:val="en-IE"/>
        </w:rPr>
      </w:pPr>
    </w:p>
    <w:p w:rsidRPr="00FE48E2" w:rsidR="00D87E44" w:rsidP="00D226F4" w:rsidRDefault="00D87E44" w14:paraId="15458B3B"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eastAsia="cs-CZ"/>
        </w:rPr>
        <w:sectPr w:rsidRPr="00FE48E2" w:rsidR="00C16C1F" w:rsidSect="00D226F4">
          <w:headerReference w:type="even" r:id="R75f567afc14642ed"/>
          <w:headerReference w:type="default" r:id="R422f574da91b44ff"/>
          <w:footerReference w:type="even" r:id="Rb87630e9f0964608"/>
          <w:footerReference w:type="default" r:id="R7698e7a2b03042bf"/>
          <w:headerReference w:type="first" r:id="R2a9883fdb3674d74"/>
          <w:footerReference w:type="first" r:id="R96755a2ced5a41c4"/>
          <w:pgSz w:w="16839" w:h="11907" w:orient="landscape"/>
          <w:pgMar w:top="1134" w:right="1134" w:bottom="1134" w:left="1134" w:header="567" w:footer="567" w:gutter="0"/>
          <w:cols w:space="720"/>
          <w:docGrid w:linePitch="360"/>
        </w:sectPr>
      </w:pPr>
    </w:p>
    <w:p w:rsidRPr="00FE48E2" w:rsidR="00D87E44" w:rsidP="00D226F4" w:rsidRDefault="00D87E44" w14:paraId="15458B3C" w14:textId="77777777">
      <w:pPr>
        <w:keepNext/>
        <w:tabs>
          <w:tab w:val="left" w:pos="850"/>
        </w:tabs>
        <w:spacing w:line="240" w:lineRule="auto"/>
        <w:jc w:val="both"/>
        <w:outlineLvl w:val="0"/>
        <w:rPr>
          <w:b/>
          <w:bCs/>
          <w:smallCaps/>
          <w:noProof/>
          <w:lang w:val="en-IE"/>
        </w:rPr>
      </w:pPr>
      <w:r w:rsidRPr="1B282876">
        <w:rPr>
          <w:b/>
          <w:bCs/>
          <w:smallCaps/>
          <w:noProof/>
          <w:lang w:val="en-IE"/>
        </w:rPr>
        <w:lastRenderedPageBreak/>
        <w:t xml:space="preserve">HH. COMPONENT 7.4: School adaptation – Promoting green skills and sustainability in universities </w:t>
      </w:r>
      <w:bookmarkStart w:name="_Hlk146272515" w:id="16"/>
      <w:r w:rsidRPr="1B282876">
        <w:rPr>
          <w:b/>
          <w:bCs/>
          <w:smallCaps/>
          <w:noProof/>
          <w:lang w:val="en-IE"/>
        </w:rPr>
        <w:t>(REPOWEREU)</w:t>
      </w:r>
      <w:bookmarkEnd w:id="16"/>
    </w:p>
    <w:p w:rsidRPr="00FE48E2" w:rsidR="00D87E44" w:rsidP="00D226F4" w:rsidRDefault="00D87E44" w14:paraId="15458B3D" w14:textId="77777777">
      <w:pPr>
        <w:pStyle w:val="P68B1DB1-K-TextInfo20"/>
        <w:spacing w:line="240" w:lineRule="auto"/>
        <w:rPr>
          <w:rFonts w:ascii="Times New Roman" w:hAnsi="Times New Roman" w:eastAsia="Times New Roman" w:cs="Times New Roman"/>
          <w:noProof/>
          <w:sz w:val="24"/>
          <w:szCs w:val="24"/>
          <w:lang w:val="en-IE"/>
        </w:rPr>
      </w:pPr>
      <w:r w:rsidRPr="00FE48E2">
        <w:rPr>
          <w:rFonts w:ascii="Times New Roman" w:hAnsi="Times New Roman" w:eastAsia="Times New Roman" w:cs="Times New Roman"/>
          <w:noProof/>
          <w:sz w:val="24"/>
          <w:szCs w:val="24"/>
          <w:lang w:val="en-IE"/>
        </w:rPr>
        <w:t>This component of the Czech recovery and resilience plan contributes to addressing the challenges related to the green transition of the education system, in particular by fostering the development of green skills among higher education students and the general population. The objective shall be achieved by revising the curricula of public universities, including by revising existing curricula and establishing new programmes, and by creating an offer of lifelong learning courses available to the general pub</w:t>
      </w:r>
      <w:r w:rsidRPr="00FE48E2">
        <w:rPr>
          <w:rFonts w:ascii="Times New Roman" w:hAnsi="Times New Roman" w:eastAsia="Times New Roman" w:cs="Times New Roman"/>
          <w:noProof/>
          <w:sz w:val="24"/>
          <w:szCs w:val="24"/>
          <w:lang w:val="en-IE"/>
        </w:rPr>
        <w:t>lic. All programmes revised or created as part of this measure shall support green skills and have clearly defined learning outcomes in the areas of sustainability, climate change, environmental protection and biodiversity, with due regard to environmental, social and economic aspects. The component also aims at supporting public universities in the development of their medium- and long-term strategies in the area of green skills education, as well as in the establishment of strategic partnerships with thir</w:t>
      </w:r>
      <w:r w:rsidRPr="00FE48E2">
        <w:rPr>
          <w:rFonts w:ascii="Times New Roman" w:hAnsi="Times New Roman" w:eastAsia="Times New Roman" w:cs="Times New Roman"/>
          <w:noProof/>
          <w:sz w:val="24"/>
          <w:szCs w:val="24"/>
          <w:lang w:val="en-IE"/>
        </w:rPr>
        <w:t xml:space="preserve">d parties relevant to the new or adapted study programmes. The ultimate objective of this component is to adapt education to the changing needs of the labour market, address the lack of competent experts in the green and energy sectors, and ensure long-term employability. </w:t>
      </w:r>
    </w:p>
    <w:p w:rsidRPr="00FE48E2" w:rsidR="00D87E44" w:rsidP="00D226F4" w:rsidRDefault="00D87E44" w14:paraId="15458B3E" w14:textId="77777777">
      <w:pPr>
        <w:pStyle w:val="P68B1DB1-K-TextInfo20"/>
        <w:spacing w:line="240" w:lineRule="auto"/>
        <w:rPr>
          <w:rFonts w:ascii="Times New Roman" w:hAnsi="Times New Roman" w:eastAsia="Times New Roman" w:cs="Times New Roman"/>
          <w:b/>
          <w:bCs/>
          <w:noProof/>
          <w:sz w:val="24"/>
          <w:szCs w:val="24"/>
          <w:lang w:val="en-IE"/>
        </w:rPr>
      </w:pPr>
      <w:r w:rsidRPr="1B282876">
        <w:rPr>
          <w:rFonts w:ascii="Times New Roman" w:hAnsi="Times New Roman" w:eastAsia="Times New Roman" w:cs="Times New Roman"/>
          <w:b/>
          <w:bCs/>
          <w:noProof/>
          <w:sz w:val="24"/>
          <w:szCs w:val="24"/>
          <w:u w:val="single"/>
          <w:lang w:val="en-IE"/>
        </w:rPr>
        <w:t>HH.1. Description of the reforms and investments for non-repayable financial support</w:t>
      </w:r>
    </w:p>
    <w:p w:rsidRPr="00FE48E2" w:rsidR="00D87E44" w:rsidP="00D226F4" w:rsidRDefault="00D87E44" w14:paraId="15458B3F" w14:textId="77777777">
      <w:pPr>
        <w:pStyle w:val="P68B1DB1-K-TextInfo20"/>
        <w:spacing w:line="240" w:lineRule="auto"/>
        <w:rPr>
          <w:rFonts w:ascii="Times New Roman" w:hAnsi="Times New Roman" w:eastAsia="Times New Roman" w:cs="Times New Roman"/>
          <w:b/>
          <w:noProof/>
          <w:sz w:val="24"/>
          <w:szCs w:val="24"/>
          <w:lang w:val="en-IE"/>
        </w:rPr>
      </w:pPr>
      <w:r w:rsidRPr="00FE48E2">
        <w:rPr>
          <w:rFonts w:ascii="Times New Roman" w:hAnsi="Times New Roman" w:eastAsia="Times New Roman" w:cs="Times New Roman"/>
          <w:b/>
          <w:noProof/>
          <w:sz w:val="24"/>
          <w:szCs w:val="24"/>
          <w:lang w:val="en-IE"/>
        </w:rPr>
        <w:t>Reform 1: Transformation of universities to adapt to changing needs of the labour market</w:t>
      </w:r>
    </w:p>
    <w:p w:rsidRPr="00FE48E2" w:rsidR="00D87E44" w:rsidP="00D226F4" w:rsidRDefault="00D87E44" w14:paraId="15458B40" w14:textId="77777777">
      <w:pPr>
        <w:pStyle w:val="P68B1DB1-K-TextInfo20"/>
        <w:spacing w:line="240" w:lineRule="auto"/>
        <w:rPr>
          <w:rFonts w:ascii="Times New Roman" w:hAnsi="Times New Roman" w:eastAsia="Times New Roman" w:cs="Times New Roman"/>
          <w:noProof/>
          <w:sz w:val="24"/>
          <w:szCs w:val="24"/>
          <w:lang w:val="en-IE"/>
        </w:rPr>
      </w:pPr>
      <w:r w:rsidRPr="4A45BCA2">
        <w:rPr>
          <w:rFonts w:ascii="Times New Roman" w:hAnsi="Times New Roman" w:eastAsia="Times New Roman" w:cs="Times New Roman"/>
          <w:noProof/>
          <w:sz w:val="24"/>
          <w:szCs w:val="24"/>
          <w:lang w:val="en-IE"/>
        </w:rPr>
        <w:t>The objective of this measure is to adapt the learning offer of public universities to the increasing need of the labour market for experts in the fields related to the green transition. The reform consists of accrediting at least 20 study programmes.</w:t>
      </w:r>
    </w:p>
    <w:p w:rsidRPr="001C019B" w:rsidR="00D87E44" w:rsidP="00D226F4" w:rsidRDefault="00D87E44" w14:paraId="15458B41" w14:textId="77777777">
      <w:pPr>
        <w:pBdr>
          <w:top w:val="nil"/>
          <w:left w:val="nil"/>
          <w:bottom w:val="nil"/>
          <w:right w:val="nil"/>
          <w:between w:val="nil"/>
        </w:pBdr>
        <w:tabs>
          <w:tab w:val="left" w:pos="993"/>
        </w:tabs>
        <w:spacing w:line="240" w:lineRule="auto"/>
        <w:jc w:val="both"/>
        <w:rPr>
          <w:rFonts w:eastAsia="Times New Roman"/>
          <w:b/>
          <w:noProof/>
          <w:color w:val="000000" w:themeColor="text1"/>
          <w:szCs w:val="24"/>
          <w:u w:val="single"/>
          <w:lang w:val="en-IE" w:eastAsia="cs-CZ"/>
        </w:rPr>
      </w:pPr>
      <w:r w:rsidRPr="00F538D6">
        <w:rPr>
          <w:rFonts w:eastAsia="Times New Roman"/>
          <w:b/>
          <w:noProof/>
          <w:color w:val="000000" w:themeColor="text1"/>
          <w:szCs w:val="24"/>
          <w:lang w:val="en-IE" w:eastAsia="cs-CZ"/>
        </w:rPr>
        <w:t>Investment 1:  Sustainable and Green Transition Strategies</w:t>
      </w:r>
    </w:p>
    <w:p w:rsidRPr="001C019B" w:rsidR="00D87E44" w:rsidP="00D226F4" w:rsidRDefault="00D87E44" w14:paraId="15458B42" w14:textId="77777777">
      <w:pPr>
        <w:pStyle w:val="P68B1DB1-K-TextInfo20"/>
        <w:spacing w:line="240" w:lineRule="auto"/>
        <w:rPr>
          <w:rFonts w:ascii="Times New Roman" w:hAnsi="Times New Roman" w:eastAsia="Times New Roman" w:cs="Times New Roman"/>
          <w:noProof/>
          <w:sz w:val="24"/>
          <w:szCs w:val="24"/>
          <w:lang w:val="en-IE"/>
        </w:rPr>
      </w:pPr>
      <w:r w:rsidRPr="001C019B">
        <w:rPr>
          <w:rFonts w:ascii="Times New Roman" w:hAnsi="Times New Roman" w:eastAsia="Times New Roman" w:cs="Times New Roman"/>
          <w:noProof/>
          <w:sz w:val="24"/>
          <w:szCs w:val="24"/>
          <w:lang w:val="en-IE"/>
        </w:rPr>
        <w:t xml:space="preserve">The measure aims at supporting public universities in the development of strategies for the sustainable and green transition. At least 20 public universities shall approve a Sustainable and Green Transition strategy, which shall establish the vision, priorities and objectives of the universities in the short- and medium-term in the area of green transition, including green skills education.  </w:t>
      </w:r>
    </w:p>
    <w:p w:rsidRPr="001C019B" w:rsidR="00D87E44" w:rsidP="00D226F4" w:rsidRDefault="00D87E44" w14:paraId="15458B43" w14:textId="77777777">
      <w:pPr>
        <w:pStyle w:val="P68B1DB1-K-TextInfo20"/>
        <w:spacing w:line="240" w:lineRule="auto"/>
        <w:rPr>
          <w:rFonts w:eastAsia="Times New Roman"/>
          <w:b/>
          <w:noProof/>
          <w:szCs w:val="24"/>
          <w:u w:val="single"/>
          <w:lang w:val="en-IE" w:eastAsia="cs-CZ"/>
        </w:rPr>
      </w:pPr>
      <w:r w:rsidRPr="001C019B">
        <w:rPr>
          <w:rFonts w:ascii="Times New Roman" w:hAnsi="Times New Roman" w:eastAsia="Times New Roman" w:cs="Times New Roman"/>
          <w:noProof/>
          <w:sz w:val="24"/>
          <w:szCs w:val="24"/>
          <w:lang w:val="en-IE"/>
        </w:rPr>
        <w:t>The investment shall be completed by 31 December 2024.</w:t>
      </w:r>
    </w:p>
    <w:p w:rsidRPr="001C019B" w:rsidR="00D87E44" w:rsidP="00D226F4" w:rsidRDefault="00D87E44" w14:paraId="15458B44" w14:textId="77777777">
      <w:pPr>
        <w:pBdr>
          <w:top w:val="nil"/>
          <w:left w:val="nil"/>
          <w:bottom w:val="nil"/>
          <w:right w:val="nil"/>
          <w:between w:val="nil"/>
        </w:pBdr>
        <w:tabs>
          <w:tab w:val="left" w:pos="993"/>
        </w:tabs>
        <w:spacing w:line="240" w:lineRule="auto"/>
        <w:jc w:val="both"/>
        <w:rPr>
          <w:rFonts w:eastAsia="Times New Roman"/>
          <w:b/>
          <w:noProof/>
          <w:color w:val="000000" w:themeColor="text1"/>
          <w:szCs w:val="24"/>
          <w:lang w:val="en-IE" w:eastAsia="cs-CZ"/>
        </w:rPr>
      </w:pPr>
      <w:r w:rsidRPr="00F538D6">
        <w:rPr>
          <w:rFonts w:eastAsia="Times New Roman"/>
          <w:b/>
          <w:noProof/>
          <w:color w:val="000000" w:themeColor="text1"/>
          <w:szCs w:val="24"/>
          <w:lang w:val="en-IE" w:eastAsia="cs-CZ"/>
        </w:rPr>
        <w:t>Investment 2: Establishment of strategic partnerships</w:t>
      </w:r>
    </w:p>
    <w:p w:rsidRPr="004435BE" w:rsidR="00D87E44" w:rsidP="00D226F4" w:rsidRDefault="00D87E44" w14:paraId="15458B45" w14:textId="77777777">
      <w:pPr>
        <w:pStyle w:val="P68B1DB1-K-TextInfo20"/>
        <w:spacing w:line="240" w:lineRule="auto"/>
        <w:rPr>
          <w:rFonts w:ascii="Times New Roman" w:hAnsi="Times New Roman" w:eastAsia="Times New Roman" w:cs="Times New Roman"/>
          <w:noProof/>
          <w:sz w:val="24"/>
          <w:szCs w:val="24"/>
          <w:lang w:val="en-IE"/>
        </w:rPr>
      </w:pPr>
      <w:r w:rsidRPr="001C019B">
        <w:rPr>
          <w:rFonts w:ascii="Times New Roman" w:hAnsi="Times New Roman" w:eastAsia="Times New Roman" w:cs="Times New Roman"/>
          <w:noProof/>
          <w:sz w:val="24"/>
          <w:szCs w:val="24"/>
          <w:lang w:val="en-IE"/>
        </w:rPr>
        <w:t>The aim of this investment is supporting public universities in the</w:t>
      </w:r>
      <w:r w:rsidRPr="004435BE">
        <w:rPr>
          <w:rFonts w:ascii="Times New Roman" w:hAnsi="Times New Roman" w:eastAsia="Times New Roman" w:cs="Times New Roman"/>
          <w:noProof/>
          <w:sz w:val="24"/>
          <w:szCs w:val="24"/>
          <w:lang w:val="en-IE"/>
        </w:rPr>
        <w:t xml:space="preserve"> establishment of strategic </w:t>
      </w:r>
      <w:r w:rsidRPr="00FE48E2">
        <w:rPr>
          <w:rFonts w:ascii="Times New Roman" w:hAnsi="Times New Roman" w:eastAsia="Times New Roman" w:cs="Times New Roman"/>
          <w:noProof/>
          <w:sz w:val="24"/>
          <w:szCs w:val="24"/>
          <w:lang w:val="en-IE"/>
        </w:rPr>
        <w:t>partnerships</w:t>
      </w:r>
      <w:r w:rsidRPr="004435BE">
        <w:rPr>
          <w:rFonts w:ascii="Times New Roman" w:hAnsi="Times New Roman" w:eastAsia="Times New Roman" w:cs="Times New Roman"/>
          <w:noProof/>
          <w:sz w:val="24"/>
          <w:szCs w:val="24"/>
          <w:lang w:val="en-IE"/>
        </w:rPr>
        <w:t xml:space="preserve"> with third parties relevant to the green skills education, for example businesses, research institutions or social organisations. It aims to increase the quality and relevance of the new or adapted study programmes under Reform 1, by allowing the universities to involve practitioners in the design of the new courses. At least 20 strategic partnerships shall be formed.</w:t>
      </w:r>
    </w:p>
    <w:p w:rsidRPr="00FE48E2" w:rsidR="00D87E44" w:rsidP="00D226F4" w:rsidRDefault="00D87E44" w14:paraId="15458B46" w14:textId="77777777">
      <w:pPr>
        <w:pStyle w:val="P68B1DB1-K-TextInfo20"/>
        <w:spacing w:line="240" w:lineRule="auto"/>
        <w:rPr>
          <w:rFonts w:eastAsia="Times New Roman"/>
          <w:noProof/>
          <w:szCs w:val="24"/>
          <w:u w:val="single"/>
          <w:lang w:val="en-IE" w:eastAsia="cs-CZ"/>
        </w:rPr>
      </w:pPr>
      <w:r w:rsidRPr="00FE48E2">
        <w:rPr>
          <w:rFonts w:ascii="Times New Roman" w:hAnsi="Times New Roman" w:eastAsia="Times New Roman" w:cs="Times New Roman"/>
          <w:noProof/>
          <w:sz w:val="24"/>
          <w:szCs w:val="24"/>
          <w:lang w:val="en-IE"/>
        </w:rPr>
        <w:t>The investment shall be completed by 3</w:t>
      </w:r>
      <w:r w:rsidRPr="0A4DE686">
        <w:rPr>
          <w:rFonts w:ascii="Times New Roman" w:hAnsi="Times New Roman" w:eastAsia="Times New Roman" w:cs="Times New Roman"/>
          <w:noProof/>
          <w:sz w:val="24"/>
          <w:szCs w:val="24"/>
          <w:lang w:val="en-IE"/>
        </w:rPr>
        <w:t>1</w:t>
      </w:r>
      <w:r w:rsidRPr="00FE48E2">
        <w:rPr>
          <w:rFonts w:ascii="Times New Roman" w:hAnsi="Times New Roman" w:eastAsia="Times New Roman" w:cs="Times New Roman"/>
          <w:noProof/>
          <w:sz w:val="24"/>
          <w:szCs w:val="24"/>
          <w:lang w:val="en-IE"/>
        </w:rPr>
        <w:t xml:space="preserve"> </w:t>
      </w:r>
      <w:r w:rsidRPr="0A4DE686">
        <w:rPr>
          <w:rFonts w:ascii="Times New Roman" w:hAnsi="Times New Roman" w:eastAsia="Times New Roman" w:cs="Times New Roman"/>
          <w:noProof/>
          <w:sz w:val="24"/>
          <w:szCs w:val="24"/>
          <w:lang w:val="en-IE"/>
        </w:rPr>
        <w:t>December</w:t>
      </w:r>
      <w:r w:rsidRPr="00FE48E2">
        <w:rPr>
          <w:rFonts w:ascii="Times New Roman" w:hAnsi="Times New Roman" w:eastAsia="Times New Roman" w:cs="Times New Roman"/>
          <w:noProof/>
          <w:sz w:val="24"/>
          <w:szCs w:val="24"/>
          <w:lang w:val="en-IE"/>
        </w:rPr>
        <w:t xml:space="preserve"> 202</w:t>
      </w:r>
      <w:r w:rsidRPr="0A4DE686">
        <w:rPr>
          <w:rFonts w:ascii="Times New Roman" w:hAnsi="Times New Roman" w:eastAsia="Times New Roman" w:cs="Times New Roman"/>
          <w:noProof/>
          <w:sz w:val="24"/>
          <w:szCs w:val="24"/>
          <w:lang w:val="en-IE"/>
        </w:rPr>
        <w:t>4</w:t>
      </w:r>
      <w:r w:rsidRPr="00FE48E2">
        <w:rPr>
          <w:rFonts w:ascii="Times New Roman" w:hAnsi="Times New Roman" w:eastAsia="Times New Roman" w:cs="Times New Roman"/>
          <w:noProof/>
          <w:sz w:val="24"/>
          <w:szCs w:val="24"/>
          <w:lang w:val="en-IE"/>
        </w:rPr>
        <w:t>.</w:t>
      </w:r>
    </w:p>
    <w:p w:rsidRPr="00FE48E2" w:rsidR="00D87E44" w:rsidP="00D226F4" w:rsidRDefault="00D87E44" w14:paraId="15458B47" w14:textId="77777777">
      <w:pPr>
        <w:pStyle w:val="P68B1DB1-K-TextInfo20"/>
        <w:spacing w:line="240" w:lineRule="auto"/>
        <w:rPr>
          <w:rFonts w:ascii="Times New Roman" w:hAnsi="Times New Roman" w:eastAsia="Times New Roman" w:cs="Times New Roman"/>
          <w:noProof/>
          <w:sz w:val="24"/>
          <w:szCs w:val="24"/>
          <w:lang w:val="en-IE"/>
        </w:rPr>
        <w:sectPr w:rsidRPr="00FE48E2" w:rsidR="00C16C1F" w:rsidSect="00D226F4">
          <w:headerReference w:type="even" r:id="Rc18698cfac3e4eb6"/>
          <w:headerReference w:type="default" r:id="Rfde71f98077b4d1f"/>
          <w:footerReference w:type="even" r:id="Rfaa9d13cfea1410e"/>
          <w:footerReference w:type="default" r:id="R5288fe661d914da2"/>
          <w:headerReference w:type="first" r:id="R5bb77db6102441f3"/>
          <w:footerReference w:type="first" r:id="R671d9977094f4af4"/>
          <w:pgSz w:w="11907" w:h="16839"/>
          <w:pgMar w:top="1134" w:right="1134" w:bottom="1134" w:left="1134" w:header="567" w:footer="567" w:gutter="0"/>
          <w:cols w:space="720"/>
          <w:docGrid w:linePitch="360"/>
        </w:sectPr>
      </w:pPr>
    </w:p>
    <w:p w:rsidRPr="00FE48E2" w:rsidR="00D87E44" w:rsidP="00D226F4" w:rsidRDefault="00D87E44" w14:paraId="15458B48" w14:textId="77777777">
      <w:pPr>
        <w:tabs>
          <w:tab w:val="left" w:pos="993"/>
        </w:tabs>
        <w:spacing w:line="240" w:lineRule="auto"/>
        <w:jc w:val="both"/>
        <w:rPr>
          <w:rFonts w:eastAsia="Times New Roman"/>
          <w:b/>
          <w:bCs/>
          <w:noProof/>
          <w:color w:val="000000" w:themeColor="text1"/>
          <w:u w:val="single"/>
          <w:lang w:val="en-IE"/>
        </w:rPr>
      </w:pPr>
      <w:r w:rsidRPr="1B282876">
        <w:rPr>
          <w:b/>
          <w:bCs/>
          <w:noProof/>
          <w:u w:val="single"/>
          <w:lang w:val="en-IE"/>
        </w:rPr>
        <w:lastRenderedPageBreak/>
        <w:t xml:space="preserve">HH.2. Milestones, targets, indicators, and timetable for monitoring and implementation for </w:t>
      </w:r>
      <w:r w:rsidRPr="1B282876">
        <w:rPr>
          <w:rFonts w:eastAsia="Times New Roman"/>
          <w:b/>
          <w:bCs/>
          <w:noProof/>
          <w:u w:val="single"/>
          <w:lang w:val="en-IE"/>
        </w:rPr>
        <w:t>non-</w:t>
      </w:r>
      <w:r w:rsidRPr="1B282876">
        <w:rPr>
          <w:rFonts w:eastAsia="Times New Roman"/>
          <w:b/>
          <w:bCs/>
          <w:noProof/>
          <w:color w:val="000000" w:themeColor="text1"/>
          <w:u w:val="single"/>
          <w:lang w:val="en-IE"/>
        </w:rPr>
        <w:t>repayable financial support</w:t>
      </w:r>
    </w:p>
    <w:tbl>
      <w:tblPr>
        <w:tblW w:w="15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843"/>
        <w:gridCol w:w="992"/>
        <w:gridCol w:w="1613"/>
        <w:gridCol w:w="1647"/>
        <w:gridCol w:w="1140"/>
        <w:gridCol w:w="988"/>
        <w:gridCol w:w="938"/>
        <w:gridCol w:w="659"/>
        <w:gridCol w:w="658"/>
        <w:gridCol w:w="4128"/>
      </w:tblGrid>
      <w:tr w:rsidRPr="00FE48E2" w:rsidR="00E3458A" w14:paraId="15458B51" w14:textId="77777777">
        <w:trPr>
          <w:trHeight w:val="672"/>
          <w:tblHeader/>
          <w:jc w:val="center"/>
        </w:trPr>
        <w:tc>
          <w:tcPr>
            <w:tcW w:w="704" w:type="dxa"/>
            <w:vMerge w:val="restart"/>
            <w:shd w:val="clear" w:color="auto" w:fill="BDD7EE"/>
            <w:vAlign w:val="center"/>
            <w:hideMark/>
          </w:tcPr>
          <w:p w:rsidRPr="006D0A25" w:rsidR="00D87E44" w:rsidRDefault="00D87E44" w14:paraId="15458B49"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Seq. Num.</w:t>
            </w:r>
          </w:p>
        </w:tc>
        <w:tc>
          <w:tcPr>
            <w:tcW w:w="1843" w:type="dxa"/>
            <w:vMerge w:val="restart"/>
            <w:shd w:val="clear" w:color="auto" w:fill="BDD7EE"/>
            <w:vAlign w:val="center"/>
            <w:hideMark/>
          </w:tcPr>
          <w:p w:rsidRPr="006D0A25" w:rsidR="00D87E44" w:rsidRDefault="00D87E44" w14:paraId="15458B4A"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Related Measure (Reform or Investment)</w:t>
            </w:r>
          </w:p>
        </w:tc>
        <w:tc>
          <w:tcPr>
            <w:tcW w:w="992" w:type="dxa"/>
            <w:vMerge w:val="restart"/>
            <w:shd w:val="clear" w:color="auto" w:fill="BDD7EE"/>
            <w:vAlign w:val="center"/>
            <w:hideMark/>
          </w:tcPr>
          <w:p w:rsidRPr="006D0A25" w:rsidR="00D87E44" w:rsidRDefault="00D87E44" w14:paraId="15458B4B"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Milestone / Target</w:t>
            </w:r>
          </w:p>
        </w:tc>
        <w:tc>
          <w:tcPr>
            <w:tcW w:w="1613" w:type="dxa"/>
            <w:vMerge w:val="restart"/>
            <w:shd w:val="clear" w:color="auto" w:fill="BDD7EE"/>
            <w:vAlign w:val="center"/>
            <w:hideMark/>
          </w:tcPr>
          <w:p w:rsidRPr="006D0A25" w:rsidR="00D87E44" w:rsidRDefault="00D87E44" w14:paraId="15458B4C"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Name</w:t>
            </w:r>
          </w:p>
        </w:tc>
        <w:tc>
          <w:tcPr>
            <w:tcW w:w="1647" w:type="dxa"/>
            <w:vMerge w:val="restart"/>
            <w:shd w:val="clear" w:color="auto" w:fill="BDD7EE"/>
            <w:vAlign w:val="center"/>
            <w:hideMark/>
          </w:tcPr>
          <w:p w:rsidRPr="006D0A25" w:rsidR="00D87E44" w:rsidRDefault="00D87E44" w14:paraId="15458B4D"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 xml:space="preserve">Qualitative indicators </w:t>
            </w:r>
            <w:r w:rsidRPr="006D0A25">
              <w:rPr>
                <w:rFonts w:eastAsia="Times New Roman"/>
                <w:b/>
                <w:noProof/>
                <w:sz w:val="18"/>
                <w:szCs w:val="18"/>
                <w:lang w:val="en-IE"/>
              </w:rPr>
              <w:br/>
              <w:t>(for milestones)</w:t>
            </w:r>
          </w:p>
        </w:tc>
        <w:tc>
          <w:tcPr>
            <w:tcW w:w="3066" w:type="dxa"/>
            <w:gridSpan w:val="3"/>
            <w:shd w:val="clear" w:color="auto" w:fill="BDD7EE"/>
            <w:vAlign w:val="center"/>
            <w:hideMark/>
          </w:tcPr>
          <w:p w:rsidRPr="006D0A25" w:rsidR="00D87E44" w:rsidRDefault="00D87E44" w14:paraId="15458B4E"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 xml:space="preserve">Quantitative indicators </w:t>
            </w:r>
            <w:r w:rsidRPr="006D0A25">
              <w:rPr>
                <w:rFonts w:eastAsia="Times New Roman"/>
                <w:b/>
                <w:noProof/>
                <w:sz w:val="18"/>
                <w:szCs w:val="18"/>
                <w:lang w:val="en-IE"/>
              </w:rPr>
              <w:br/>
              <w:t>(for targets)</w:t>
            </w:r>
          </w:p>
        </w:tc>
        <w:tc>
          <w:tcPr>
            <w:tcW w:w="1317" w:type="dxa"/>
            <w:gridSpan w:val="2"/>
            <w:shd w:val="clear" w:color="auto" w:fill="BDD7EE"/>
            <w:vAlign w:val="center"/>
            <w:hideMark/>
          </w:tcPr>
          <w:p w:rsidRPr="006D0A25" w:rsidR="00D87E44" w:rsidRDefault="00D87E44" w14:paraId="15458B4F"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 xml:space="preserve">Indicative timeline for completion </w:t>
            </w:r>
          </w:p>
        </w:tc>
        <w:tc>
          <w:tcPr>
            <w:tcW w:w="4128" w:type="dxa"/>
            <w:vMerge w:val="restart"/>
            <w:shd w:val="clear" w:color="auto" w:fill="BDD7EE"/>
            <w:vAlign w:val="center"/>
            <w:hideMark/>
          </w:tcPr>
          <w:p w:rsidRPr="006D0A25" w:rsidR="00D87E44" w:rsidRDefault="00D87E44" w14:paraId="15458B50"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Description of each milestone and target</w:t>
            </w:r>
          </w:p>
        </w:tc>
      </w:tr>
      <w:tr w:rsidRPr="00FE48E2" w:rsidR="00E3458A" w14:paraId="15458B5D" w14:textId="77777777">
        <w:trPr>
          <w:trHeight w:val="458"/>
          <w:tblHeader/>
          <w:jc w:val="center"/>
        </w:trPr>
        <w:tc>
          <w:tcPr>
            <w:tcW w:w="704" w:type="dxa"/>
            <w:vMerge/>
            <w:vAlign w:val="center"/>
            <w:hideMark/>
          </w:tcPr>
          <w:p w:rsidRPr="006D0A25" w:rsidR="00D87E44" w:rsidRDefault="00D87E44" w14:paraId="15458B52" w14:textId="77777777">
            <w:pPr>
              <w:spacing w:before="0" w:after="0" w:line="240" w:lineRule="auto"/>
              <w:rPr>
                <w:rFonts w:eastAsia="Times New Roman"/>
                <w:b/>
                <w:noProof/>
                <w:sz w:val="18"/>
                <w:szCs w:val="18"/>
                <w:lang w:val="en-IE"/>
              </w:rPr>
            </w:pPr>
          </w:p>
        </w:tc>
        <w:tc>
          <w:tcPr>
            <w:tcW w:w="1843" w:type="dxa"/>
            <w:vMerge/>
            <w:vAlign w:val="center"/>
            <w:hideMark/>
          </w:tcPr>
          <w:p w:rsidRPr="006D0A25" w:rsidR="00D87E44" w:rsidRDefault="00D87E44" w14:paraId="15458B53" w14:textId="77777777">
            <w:pPr>
              <w:spacing w:before="0" w:after="0" w:line="240" w:lineRule="auto"/>
              <w:rPr>
                <w:rFonts w:eastAsia="Times New Roman"/>
                <w:b/>
                <w:noProof/>
                <w:sz w:val="18"/>
                <w:szCs w:val="18"/>
                <w:lang w:val="en-IE"/>
              </w:rPr>
            </w:pPr>
          </w:p>
        </w:tc>
        <w:tc>
          <w:tcPr>
            <w:tcW w:w="992" w:type="dxa"/>
            <w:vMerge/>
            <w:vAlign w:val="center"/>
            <w:hideMark/>
          </w:tcPr>
          <w:p w:rsidRPr="006D0A25" w:rsidR="00D87E44" w:rsidRDefault="00D87E44" w14:paraId="15458B54" w14:textId="77777777">
            <w:pPr>
              <w:spacing w:before="0" w:after="0" w:line="240" w:lineRule="auto"/>
              <w:rPr>
                <w:rFonts w:eastAsia="Times New Roman"/>
                <w:b/>
                <w:noProof/>
                <w:sz w:val="18"/>
                <w:szCs w:val="18"/>
                <w:lang w:val="en-IE"/>
              </w:rPr>
            </w:pPr>
          </w:p>
        </w:tc>
        <w:tc>
          <w:tcPr>
            <w:tcW w:w="1613" w:type="dxa"/>
            <w:vMerge/>
            <w:vAlign w:val="center"/>
            <w:hideMark/>
          </w:tcPr>
          <w:p w:rsidRPr="006D0A25" w:rsidR="00D87E44" w:rsidRDefault="00D87E44" w14:paraId="15458B55" w14:textId="77777777">
            <w:pPr>
              <w:spacing w:before="0" w:after="0" w:line="240" w:lineRule="auto"/>
              <w:rPr>
                <w:rFonts w:eastAsia="Times New Roman"/>
                <w:b/>
                <w:noProof/>
                <w:sz w:val="18"/>
                <w:szCs w:val="18"/>
                <w:lang w:val="en-IE"/>
              </w:rPr>
            </w:pPr>
          </w:p>
        </w:tc>
        <w:tc>
          <w:tcPr>
            <w:tcW w:w="1647" w:type="dxa"/>
            <w:vMerge/>
            <w:vAlign w:val="center"/>
            <w:hideMark/>
          </w:tcPr>
          <w:p w:rsidRPr="006D0A25" w:rsidR="00D87E44" w:rsidRDefault="00D87E44" w14:paraId="15458B56" w14:textId="77777777">
            <w:pPr>
              <w:spacing w:before="0" w:after="0" w:line="240" w:lineRule="auto"/>
              <w:rPr>
                <w:rFonts w:eastAsia="Times New Roman"/>
                <w:b/>
                <w:noProof/>
                <w:sz w:val="18"/>
                <w:szCs w:val="18"/>
                <w:lang w:val="en-IE"/>
              </w:rPr>
            </w:pPr>
          </w:p>
        </w:tc>
        <w:tc>
          <w:tcPr>
            <w:tcW w:w="1140" w:type="dxa"/>
            <w:shd w:val="clear" w:color="auto" w:fill="BDD7EE"/>
            <w:vAlign w:val="center"/>
            <w:hideMark/>
          </w:tcPr>
          <w:p w:rsidRPr="006D0A25" w:rsidR="00D87E44" w:rsidRDefault="00D87E44" w14:paraId="15458B57"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Unit of measure</w:t>
            </w:r>
          </w:p>
        </w:tc>
        <w:tc>
          <w:tcPr>
            <w:tcW w:w="988" w:type="dxa"/>
            <w:shd w:val="clear" w:color="auto" w:fill="BDD7EE"/>
            <w:vAlign w:val="center"/>
            <w:hideMark/>
          </w:tcPr>
          <w:p w:rsidRPr="006D0A25" w:rsidR="00D87E44" w:rsidRDefault="00D87E44" w14:paraId="15458B58"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 xml:space="preserve">Baseline </w:t>
            </w:r>
          </w:p>
        </w:tc>
        <w:tc>
          <w:tcPr>
            <w:tcW w:w="938" w:type="dxa"/>
            <w:shd w:val="clear" w:color="auto" w:fill="BDD7EE"/>
            <w:vAlign w:val="center"/>
            <w:hideMark/>
          </w:tcPr>
          <w:p w:rsidRPr="006D0A25" w:rsidR="00D87E44" w:rsidRDefault="00D87E44" w14:paraId="15458B59"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 xml:space="preserve">Goal </w:t>
            </w:r>
          </w:p>
        </w:tc>
        <w:tc>
          <w:tcPr>
            <w:tcW w:w="659" w:type="dxa"/>
            <w:shd w:val="clear" w:color="auto" w:fill="BDD7EE"/>
            <w:vAlign w:val="center"/>
            <w:hideMark/>
          </w:tcPr>
          <w:p w:rsidRPr="006D0A25" w:rsidR="00D87E44" w:rsidRDefault="00D87E44" w14:paraId="15458B5A"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Quarter</w:t>
            </w:r>
          </w:p>
        </w:tc>
        <w:tc>
          <w:tcPr>
            <w:tcW w:w="658" w:type="dxa"/>
            <w:shd w:val="clear" w:color="auto" w:fill="BDD7EE"/>
            <w:vAlign w:val="center"/>
            <w:hideMark/>
          </w:tcPr>
          <w:p w:rsidRPr="006D0A25" w:rsidR="00D87E44" w:rsidRDefault="00D87E44" w14:paraId="15458B5B" w14:textId="77777777">
            <w:pPr>
              <w:spacing w:before="0" w:after="0" w:line="240" w:lineRule="auto"/>
              <w:jc w:val="center"/>
              <w:rPr>
                <w:rFonts w:eastAsia="Times New Roman"/>
                <w:b/>
                <w:noProof/>
                <w:sz w:val="18"/>
                <w:szCs w:val="18"/>
                <w:lang w:val="en-IE"/>
              </w:rPr>
            </w:pPr>
            <w:r w:rsidRPr="006D0A25">
              <w:rPr>
                <w:rFonts w:eastAsia="Times New Roman"/>
                <w:b/>
                <w:noProof/>
                <w:sz w:val="18"/>
                <w:szCs w:val="18"/>
                <w:lang w:val="en-IE"/>
              </w:rPr>
              <w:t>Year</w:t>
            </w:r>
          </w:p>
        </w:tc>
        <w:tc>
          <w:tcPr>
            <w:tcW w:w="4128" w:type="dxa"/>
            <w:vMerge/>
            <w:vAlign w:val="center"/>
            <w:hideMark/>
          </w:tcPr>
          <w:p w:rsidRPr="006D0A25" w:rsidR="00D87E44" w:rsidRDefault="00D87E44" w14:paraId="15458B5C" w14:textId="77777777">
            <w:pPr>
              <w:spacing w:before="0" w:after="0" w:line="240" w:lineRule="auto"/>
              <w:rPr>
                <w:rFonts w:eastAsia="Times New Roman"/>
                <w:b/>
                <w:noProof/>
                <w:sz w:val="18"/>
                <w:szCs w:val="18"/>
                <w:lang w:val="en-IE"/>
              </w:rPr>
            </w:pPr>
          </w:p>
        </w:tc>
      </w:tr>
      <w:tr w:rsidRPr="00FE48E2" w:rsidR="00E3458A" w14:paraId="15458B69" w14:textId="77777777">
        <w:trPr>
          <w:trHeight w:val="309"/>
          <w:jc w:val="center"/>
        </w:trPr>
        <w:tc>
          <w:tcPr>
            <w:tcW w:w="704" w:type="dxa"/>
            <w:shd w:val="clear" w:color="auto" w:fill="C6EFCE"/>
            <w:hideMark/>
          </w:tcPr>
          <w:p w:rsidRPr="002D6FEA" w:rsidR="00D87E44" w:rsidRDefault="00D87E44" w14:paraId="15458B5E" w14:textId="77777777">
            <w:pPr>
              <w:spacing w:before="0" w:after="0" w:line="240" w:lineRule="auto"/>
              <w:rPr>
                <w:rFonts w:eastAsia="Times New Roman"/>
                <w:noProof/>
                <w:color w:val="004300"/>
                <w:sz w:val="18"/>
                <w:szCs w:val="18"/>
                <w:lang w:val="en-IE"/>
              </w:rPr>
            </w:pPr>
            <w:r w:rsidRPr="002D6FEA">
              <w:rPr>
                <w:rFonts w:eastAsia="Times New Roman"/>
                <w:noProof/>
                <w:color w:val="004300"/>
                <w:sz w:val="18"/>
                <w:szCs w:val="18"/>
                <w:lang w:val="en-IE"/>
              </w:rPr>
              <w:t>325</w:t>
            </w:r>
          </w:p>
        </w:tc>
        <w:tc>
          <w:tcPr>
            <w:tcW w:w="1843" w:type="dxa"/>
            <w:shd w:val="clear" w:color="auto" w:fill="C6EFCE"/>
            <w:hideMark/>
          </w:tcPr>
          <w:p w:rsidRPr="002D6FEA" w:rsidR="00D87E44" w:rsidRDefault="00D87E44" w14:paraId="15458B5F"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Reform 1: Transformation of universities to adapt to changing needs of the labour market</w:t>
            </w:r>
          </w:p>
        </w:tc>
        <w:tc>
          <w:tcPr>
            <w:tcW w:w="992" w:type="dxa"/>
            <w:shd w:val="clear" w:color="auto" w:fill="C6EFCE"/>
            <w:hideMark/>
          </w:tcPr>
          <w:p w:rsidRPr="002D6FEA" w:rsidR="00D87E44" w:rsidRDefault="00D87E44" w14:paraId="15458B60"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Milestone</w:t>
            </w:r>
          </w:p>
        </w:tc>
        <w:tc>
          <w:tcPr>
            <w:tcW w:w="1613" w:type="dxa"/>
            <w:shd w:val="clear" w:color="auto" w:fill="C6EFCE"/>
            <w:hideMark/>
          </w:tcPr>
          <w:p w:rsidRPr="002D6FEA" w:rsidR="00D87E44" w:rsidRDefault="00D87E44" w14:paraId="15458B61"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Launch of a programme to support transformation of universities</w:t>
            </w:r>
          </w:p>
        </w:tc>
        <w:tc>
          <w:tcPr>
            <w:tcW w:w="1647" w:type="dxa"/>
            <w:shd w:val="clear" w:color="auto" w:fill="C6EFCE"/>
            <w:hideMark/>
          </w:tcPr>
          <w:p w:rsidRPr="002D6FEA" w:rsidR="00D87E44" w:rsidRDefault="00D87E44" w14:paraId="15458B62"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 xml:space="preserve"> </w:t>
            </w:r>
          </w:p>
        </w:tc>
        <w:tc>
          <w:tcPr>
            <w:tcW w:w="1140" w:type="dxa"/>
            <w:shd w:val="clear" w:color="auto" w:fill="C6EFCE"/>
          </w:tcPr>
          <w:p w:rsidRPr="002D6FEA" w:rsidR="00D87E44" w:rsidRDefault="00D87E44" w14:paraId="15458B63"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 xml:space="preserve"> </w:t>
            </w:r>
          </w:p>
        </w:tc>
        <w:tc>
          <w:tcPr>
            <w:tcW w:w="988" w:type="dxa"/>
            <w:shd w:val="clear" w:color="auto" w:fill="C6EFCE"/>
          </w:tcPr>
          <w:p w:rsidRPr="002D6FEA" w:rsidR="00D87E44" w:rsidRDefault="00D87E44" w14:paraId="15458B64"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 xml:space="preserve"> </w:t>
            </w:r>
          </w:p>
        </w:tc>
        <w:tc>
          <w:tcPr>
            <w:tcW w:w="938" w:type="dxa"/>
            <w:shd w:val="clear" w:color="auto" w:fill="C6EFCE"/>
          </w:tcPr>
          <w:p w:rsidRPr="002D6FEA" w:rsidR="00D87E44" w:rsidRDefault="00D87E44" w14:paraId="15458B65"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 xml:space="preserve"> </w:t>
            </w:r>
          </w:p>
        </w:tc>
        <w:tc>
          <w:tcPr>
            <w:tcW w:w="659" w:type="dxa"/>
            <w:shd w:val="clear" w:color="auto" w:fill="C6EFCE"/>
            <w:hideMark/>
          </w:tcPr>
          <w:p w:rsidRPr="002D6FEA" w:rsidR="00D87E44" w:rsidRDefault="00D87E44" w14:paraId="15458B66"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Q4</w:t>
            </w:r>
          </w:p>
        </w:tc>
        <w:tc>
          <w:tcPr>
            <w:tcW w:w="658" w:type="dxa"/>
            <w:shd w:val="clear" w:color="auto" w:fill="C6EFCE"/>
            <w:hideMark/>
          </w:tcPr>
          <w:p w:rsidRPr="002D6FEA" w:rsidR="00D87E44" w:rsidRDefault="00D87E44" w14:paraId="15458B67"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2023</w:t>
            </w:r>
          </w:p>
        </w:tc>
        <w:tc>
          <w:tcPr>
            <w:tcW w:w="4128" w:type="dxa"/>
            <w:shd w:val="clear" w:color="auto" w:fill="C6EFCE"/>
            <w:hideMark/>
          </w:tcPr>
          <w:p w:rsidRPr="002D6FEA" w:rsidR="00D87E44" w:rsidRDefault="00D87E44" w14:paraId="15458B68" w14:textId="77777777">
            <w:pPr>
              <w:spacing w:before="0" w:after="0" w:line="240" w:lineRule="auto"/>
              <w:rPr>
                <w:rFonts w:eastAsia="Times New Roman"/>
                <w:noProof/>
                <w:color w:val="004300"/>
                <w:sz w:val="18"/>
                <w:szCs w:val="18"/>
                <w:lang w:val="en-IE"/>
              </w:rPr>
            </w:pPr>
            <w:r w:rsidRPr="002D6FEA">
              <w:rPr>
                <w:rFonts w:eastAsia="Times New Roman"/>
                <w:noProof/>
                <w:color w:val="006100"/>
                <w:sz w:val="18"/>
                <w:szCs w:val="18"/>
                <w:lang w:val="en-IE"/>
              </w:rPr>
              <w:t>The call for projects supporting the adaptation of universities to changing needs of the labour market by promoting green skills development in study curricula shall be launched. The objective shall be to establish at least 20 new study programmes, add at least 50 new courses to existing study programmes, and establish at least 20 lifelong learning courses.</w:t>
            </w:r>
          </w:p>
        </w:tc>
      </w:tr>
      <w:tr w:rsidRPr="00FE48E2" w:rsidR="00E3458A" w:rsidTr="001C7166" w14:paraId="15458B75" w14:textId="77777777">
        <w:trPr>
          <w:trHeight w:val="309"/>
          <w:jc w:val="center"/>
        </w:trPr>
        <w:tc>
          <w:tcPr>
            <w:tcW w:w="704" w:type="dxa"/>
            <w:shd w:val="clear" w:color="auto" w:fill="C6EFCE"/>
          </w:tcPr>
          <w:p w:rsidRPr="006D0A25" w:rsidR="00D87E44" w:rsidRDefault="00D87E44" w14:paraId="15458B6A" w14:textId="77777777">
            <w:pPr>
              <w:spacing w:before="0" w:after="0" w:line="240" w:lineRule="auto"/>
              <w:rPr>
                <w:rFonts w:eastAsia="Times New Roman"/>
                <w:noProof/>
                <w:color w:val="004300"/>
                <w:sz w:val="18"/>
                <w:szCs w:val="18"/>
                <w:lang w:val="en-IE"/>
              </w:rPr>
            </w:pPr>
            <w:r w:rsidRPr="006D0A25">
              <w:rPr>
                <w:rFonts w:eastAsia="Times New Roman"/>
                <w:noProof/>
                <w:color w:val="004300"/>
                <w:sz w:val="18"/>
                <w:szCs w:val="18"/>
                <w:lang w:val="en-IE"/>
              </w:rPr>
              <w:t>326</w:t>
            </w:r>
          </w:p>
        </w:tc>
        <w:tc>
          <w:tcPr>
            <w:tcW w:w="1843" w:type="dxa"/>
            <w:shd w:val="clear" w:color="auto" w:fill="C6EFCE"/>
          </w:tcPr>
          <w:p w:rsidRPr="006D0A25" w:rsidR="00D87E44" w:rsidRDefault="00D87E44" w14:paraId="15458B6B"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Reform 1: Transformation of universities to adapt to changing needs of the labour market</w:t>
            </w:r>
          </w:p>
        </w:tc>
        <w:tc>
          <w:tcPr>
            <w:tcW w:w="992" w:type="dxa"/>
            <w:shd w:val="clear" w:color="auto" w:fill="C6EFCE"/>
          </w:tcPr>
          <w:p w:rsidRPr="006D0A25" w:rsidR="00D87E44" w:rsidRDefault="00D87E44" w14:paraId="15458B6C"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Target</w:t>
            </w:r>
          </w:p>
        </w:tc>
        <w:tc>
          <w:tcPr>
            <w:tcW w:w="1613" w:type="dxa"/>
            <w:shd w:val="clear" w:color="auto" w:fill="C6EFCE"/>
          </w:tcPr>
          <w:p w:rsidRPr="006D0A25" w:rsidR="00D87E44" w:rsidRDefault="00D87E44" w14:paraId="15458B6D"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 xml:space="preserve">Accreditation of study programmes </w:t>
            </w:r>
          </w:p>
        </w:tc>
        <w:tc>
          <w:tcPr>
            <w:tcW w:w="1647" w:type="dxa"/>
            <w:shd w:val="clear" w:color="auto" w:fill="C6EFCE"/>
          </w:tcPr>
          <w:p w:rsidRPr="006D0A25" w:rsidR="00D87E44" w:rsidRDefault="00D87E44" w14:paraId="15458B6E" w14:textId="77777777">
            <w:pPr>
              <w:spacing w:line="259" w:lineRule="auto"/>
              <w:rPr>
                <w:rFonts w:eastAsia="Times New Roman"/>
                <w:noProof/>
                <w:color w:val="006100"/>
                <w:sz w:val="18"/>
                <w:szCs w:val="18"/>
                <w:lang w:val="en-IE"/>
              </w:rPr>
            </w:pPr>
          </w:p>
        </w:tc>
        <w:tc>
          <w:tcPr>
            <w:tcW w:w="1140" w:type="dxa"/>
            <w:shd w:val="clear" w:color="auto" w:fill="C6EFCE"/>
          </w:tcPr>
          <w:p w:rsidRPr="006D0A25" w:rsidR="00D87E44" w:rsidRDefault="00D87E44" w14:paraId="15458B6F" w14:textId="77777777">
            <w:pPr>
              <w:spacing w:before="0" w:after="0" w:line="240" w:lineRule="auto"/>
              <w:rPr>
                <w:rFonts w:eastAsia="Times New Roman"/>
                <w:noProof/>
                <w:color w:val="006100"/>
                <w:sz w:val="18"/>
                <w:szCs w:val="18"/>
                <w:lang w:val="en-IE"/>
              </w:rPr>
            </w:pPr>
            <w:r w:rsidRPr="006D0A25">
              <w:rPr>
                <w:rFonts w:eastAsia="Times New Roman"/>
                <w:noProof/>
                <w:color w:val="006100"/>
                <w:sz w:val="18"/>
                <w:szCs w:val="18"/>
                <w:lang w:val="en-IE"/>
              </w:rPr>
              <w:t xml:space="preserve">Study programmes </w:t>
            </w:r>
          </w:p>
        </w:tc>
        <w:tc>
          <w:tcPr>
            <w:tcW w:w="988" w:type="dxa"/>
            <w:shd w:val="clear" w:color="auto" w:fill="C6EFCE"/>
          </w:tcPr>
          <w:p w:rsidRPr="006D0A25" w:rsidR="00D87E44" w:rsidRDefault="00D87E44" w14:paraId="15458B70"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0</w:t>
            </w:r>
          </w:p>
        </w:tc>
        <w:tc>
          <w:tcPr>
            <w:tcW w:w="938" w:type="dxa"/>
            <w:shd w:val="clear" w:color="auto" w:fill="C6EFCE"/>
          </w:tcPr>
          <w:p w:rsidRPr="006D0A25" w:rsidR="00D87E44" w:rsidRDefault="00D87E44" w14:paraId="15458B71"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20</w:t>
            </w:r>
          </w:p>
        </w:tc>
        <w:tc>
          <w:tcPr>
            <w:tcW w:w="659" w:type="dxa"/>
            <w:shd w:val="clear" w:color="auto" w:fill="C6EFCE"/>
          </w:tcPr>
          <w:p w:rsidRPr="006D0A25" w:rsidR="00D87E44" w:rsidRDefault="00D87E44" w14:paraId="15458B72"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Q1</w:t>
            </w:r>
          </w:p>
        </w:tc>
        <w:tc>
          <w:tcPr>
            <w:tcW w:w="658" w:type="dxa"/>
            <w:shd w:val="clear" w:color="auto" w:fill="C6EFCE"/>
          </w:tcPr>
          <w:p w:rsidRPr="006D0A25" w:rsidR="00D87E44" w:rsidRDefault="00D87E44" w14:paraId="15458B73" w14:textId="77777777">
            <w:pPr>
              <w:spacing w:before="0" w:after="0" w:line="240" w:lineRule="auto"/>
              <w:rPr>
                <w:rFonts w:eastAsia="Times New Roman"/>
                <w:noProof/>
                <w:color w:val="004300"/>
                <w:sz w:val="18"/>
                <w:szCs w:val="18"/>
                <w:lang w:val="en-IE"/>
              </w:rPr>
            </w:pPr>
            <w:r w:rsidRPr="006D0A25">
              <w:rPr>
                <w:rFonts w:eastAsia="Times New Roman"/>
                <w:noProof/>
                <w:color w:val="006100"/>
                <w:sz w:val="18"/>
                <w:szCs w:val="18"/>
                <w:lang w:val="en-IE"/>
              </w:rPr>
              <w:t>2026</w:t>
            </w:r>
          </w:p>
        </w:tc>
        <w:tc>
          <w:tcPr>
            <w:tcW w:w="4128" w:type="dxa"/>
            <w:shd w:val="clear" w:color="auto" w:fill="C6EFCE"/>
          </w:tcPr>
          <w:p w:rsidRPr="00FF1320" w:rsidR="00D87E44" w:rsidP="00E3458A" w:rsidRDefault="00D87E44" w14:paraId="15458B74" w14:textId="77777777">
            <w:pPr>
              <w:spacing w:line="240" w:lineRule="auto"/>
              <w:rPr>
                <w:color w:val="006100"/>
                <w:sz w:val="18"/>
                <w:lang w:val="en-IE"/>
              </w:rPr>
            </w:pPr>
            <w:r w:rsidRPr="002D6FEA">
              <w:rPr>
                <w:rFonts w:eastAsia="Times New Roman"/>
                <w:noProof/>
                <w:color w:val="006100"/>
                <w:sz w:val="18"/>
                <w:szCs w:val="18"/>
                <w:lang w:val="en-IE"/>
              </w:rPr>
              <w:t>A</w:t>
            </w:r>
            <w:proofErr w:type="spellStart"/>
            <w:r w:rsidRPr="00E3458A">
              <w:rPr>
                <w:color w:val="006100"/>
                <w:sz w:val="18"/>
                <w:lang w:val="en-IE"/>
              </w:rPr>
              <w:t>t</w:t>
            </w:r>
            <w:proofErr w:type="spellEnd"/>
            <w:r w:rsidRPr="00E3458A">
              <w:rPr>
                <w:color w:val="006100"/>
                <w:sz w:val="18"/>
                <w:lang w:val="en-IE"/>
              </w:rPr>
              <w:t xml:space="preserve"> least 20 new study programmes (Bachelor, Master and/or PhD-level) shall receive accreditation.</w:t>
            </w:r>
          </w:p>
        </w:tc>
      </w:tr>
      <w:tr w:rsidRPr="00FE48E2" w:rsidR="00E3458A" w14:paraId="15458B83" w14:textId="77777777">
        <w:trPr>
          <w:trHeight w:val="309"/>
          <w:jc w:val="center"/>
        </w:trPr>
        <w:tc>
          <w:tcPr>
            <w:tcW w:w="704" w:type="dxa"/>
            <w:shd w:val="clear" w:color="auto" w:fill="C6EFCE"/>
          </w:tcPr>
          <w:p w:rsidRPr="002D6FEA" w:rsidR="00D87E44" w:rsidRDefault="00D87E44" w14:paraId="15458B76"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327</w:t>
            </w:r>
          </w:p>
        </w:tc>
        <w:tc>
          <w:tcPr>
            <w:tcW w:w="1843" w:type="dxa"/>
            <w:shd w:val="clear" w:color="auto" w:fill="C6EFCE"/>
          </w:tcPr>
          <w:p w:rsidRPr="002D6FEA" w:rsidR="00D87E44" w:rsidRDefault="00D87E44" w14:paraId="15458B77"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Investment 1: Sustainable and Green Transition Strategies</w:t>
            </w:r>
          </w:p>
          <w:p w:rsidRPr="002D6FEA" w:rsidR="00D87E44" w:rsidRDefault="00D87E44" w14:paraId="15458B78" w14:textId="77777777">
            <w:pPr>
              <w:spacing w:line="259" w:lineRule="auto"/>
              <w:rPr>
                <w:rFonts w:eastAsia="Times New Roman"/>
                <w:noProof/>
                <w:color w:val="006100"/>
                <w:sz w:val="18"/>
                <w:szCs w:val="18"/>
                <w:lang w:val="en-IE"/>
              </w:rPr>
            </w:pPr>
            <w:r w:rsidRPr="002D6FEA">
              <w:rPr>
                <w:rFonts w:eastAsia="Times New Roman"/>
                <w:noProof/>
                <w:color w:val="006100"/>
                <w:sz w:val="18"/>
                <w:szCs w:val="18"/>
                <w:lang w:val="en-IE"/>
              </w:rPr>
              <w:t xml:space="preserve"> </w:t>
            </w:r>
          </w:p>
          <w:p w:rsidRPr="002D6FEA" w:rsidR="00D87E44" w:rsidRDefault="00D87E44" w14:paraId="15458B79"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 xml:space="preserve"> </w:t>
            </w:r>
          </w:p>
        </w:tc>
        <w:tc>
          <w:tcPr>
            <w:tcW w:w="992" w:type="dxa"/>
            <w:shd w:val="clear" w:color="auto" w:fill="C6EFCE"/>
          </w:tcPr>
          <w:p w:rsidRPr="002D6FEA" w:rsidR="00D87E44" w:rsidRDefault="00D87E44" w14:paraId="15458B7A"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Target</w:t>
            </w:r>
          </w:p>
        </w:tc>
        <w:tc>
          <w:tcPr>
            <w:tcW w:w="1613" w:type="dxa"/>
            <w:shd w:val="clear" w:color="auto" w:fill="C6EFCE"/>
          </w:tcPr>
          <w:p w:rsidRPr="002D6FEA" w:rsidR="00D87E44" w:rsidRDefault="00D87E44" w14:paraId="15458B7B"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Approval of new or extended Sustainable and Green Transition Strategies by public universities</w:t>
            </w:r>
          </w:p>
        </w:tc>
        <w:tc>
          <w:tcPr>
            <w:tcW w:w="1647" w:type="dxa"/>
            <w:shd w:val="clear" w:color="auto" w:fill="C6EFCE"/>
          </w:tcPr>
          <w:p w:rsidRPr="002D6FEA" w:rsidR="00D87E44" w:rsidRDefault="00D87E44" w14:paraId="15458B7C" w14:textId="77777777">
            <w:pPr>
              <w:spacing w:line="259" w:lineRule="auto"/>
              <w:rPr>
                <w:rFonts w:eastAsia="Times New Roman"/>
                <w:noProof/>
                <w:color w:val="006100"/>
                <w:sz w:val="18"/>
                <w:szCs w:val="18"/>
                <w:lang w:val="en-IE"/>
              </w:rPr>
            </w:pPr>
          </w:p>
        </w:tc>
        <w:tc>
          <w:tcPr>
            <w:tcW w:w="1140" w:type="dxa"/>
            <w:shd w:val="clear" w:color="auto" w:fill="C6EFCE"/>
          </w:tcPr>
          <w:p w:rsidRPr="002D6FEA" w:rsidR="00D87E44" w:rsidRDefault="00D87E44" w14:paraId="15458B7D"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Strategies</w:t>
            </w:r>
          </w:p>
        </w:tc>
        <w:tc>
          <w:tcPr>
            <w:tcW w:w="988" w:type="dxa"/>
            <w:shd w:val="clear" w:color="auto" w:fill="C6EFCE"/>
          </w:tcPr>
          <w:p w:rsidRPr="002D6FEA" w:rsidR="00D87E44" w:rsidRDefault="00D87E44" w14:paraId="15458B7E"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0</w:t>
            </w:r>
          </w:p>
        </w:tc>
        <w:tc>
          <w:tcPr>
            <w:tcW w:w="938" w:type="dxa"/>
            <w:shd w:val="clear" w:color="auto" w:fill="C6EFCE"/>
          </w:tcPr>
          <w:p w:rsidRPr="002D6FEA" w:rsidR="00D87E44" w:rsidRDefault="00D87E44" w14:paraId="15458B7F"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20</w:t>
            </w:r>
          </w:p>
        </w:tc>
        <w:tc>
          <w:tcPr>
            <w:tcW w:w="659" w:type="dxa"/>
            <w:shd w:val="clear" w:color="auto" w:fill="C6EFCE"/>
          </w:tcPr>
          <w:p w:rsidRPr="002D6FEA" w:rsidR="00D87E44" w:rsidRDefault="00D87E44" w14:paraId="15458B80"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 xml:space="preserve"> Q4</w:t>
            </w:r>
          </w:p>
        </w:tc>
        <w:tc>
          <w:tcPr>
            <w:tcW w:w="658" w:type="dxa"/>
            <w:shd w:val="clear" w:color="auto" w:fill="C6EFCE"/>
          </w:tcPr>
          <w:p w:rsidRPr="002D6FEA" w:rsidR="00D87E44" w:rsidRDefault="00D87E44" w14:paraId="15458B81"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2024</w:t>
            </w:r>
          </w:p>
        </w:tc>
        <w:tc>
          <w:tcPr>
            <w:tcW w:w="4128" w:type="dxa"/>
            <w:shd w:val="clear" w:color="auto" w:fill="C6EFCE"/>
          </w:tcPr>
          <w:p w:rsidRPr="002D6FEA" w:rsidR="00D87E44" w:rsidP="00FF1320" w:rsidRDefault="00D87E44" w14:paraId="15458B82"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 xml:space="preserve">At least 20 public universities shall approve new or extended Sustainable and Green Transition Strategies. The strategies shall formulate the vision, priority areas, and objectives, necessary to support universities’ green transition in the short- and medium-term, including green skills education. </w:t>
            </w:r>
            <w:r w:rsidRPr="002D6FEA">
              <w:rPr>
                <w:rFonts w:eastAsia="Times New Roman"/>
                <w:noProof/>
                <w:color w:val="FF0000"/>
                <w:sz w:val="18"/>
                <w:szCs w:val="18"/>
                <w:lang w:val="en-IE"/>
              </w:rPr>
              <w:t xml:space="preserve"> </w:t>
            </w:r>
          </w:p>
        </w:tc>
      </w:tr>
      <w:tr w:rsidRPr="00FE48E2" w:rsidR="00E3458A" w14:paraId="15458B91" w14:textId="77777777">
        <w:trPr>
          <w:trHeight w:val="309"/>
          <w:jc w:val="center"/>
        </w:trPr>
        <w:tc>
          <w:tcPr>
            <w:tcW w:w="704" w:type="dxa"/>
            <w:shd w:val="clear" w:color="auto" w:fill="C6EFCE"/>
          </w:tcPr>
          <w:p w:rsidRPr="002D6FEA" w:rsidR="00D87E44" w:rsidRDefault="00D87E44" w14:paraId="15458B84"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328</w:t>
            </w:r>
          </w:p>
        </w:tc>
        <w:tc>
          <w:tcPr>
            <w:tcW w:w="1843" w:type="dxa"/>
            <w:shd w:val="clear" w:color="auto" w:fill="C6EFCE"/>
          </w:tcPr>
          <w:p w:rsidRPr="002D6FEA" w:rsidR="00D87E44" w:rsidRDefault="00D87E44" w14:paraId="15458B85"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 xml:space="preserve">Investment 2: Establishment of strategic partnerships </w:t>
            </w:r>
          </w:p>
          <w:p w:rsidRPr="002D6FEA" w:rsidR="00D87E44" w:rsidRDefault="00D87E44" w14:paraId="15458B86" w14:textId="77777777">
            <w:pPr>
              <w:spacing w:line="259" w:lineRule="auto"/>
              <w:rPr>
                <w:rFonts w:eastAsia="Times New Roman"/>
                <w:noProof/>
                <w:color w:val="006100"/>
                <w:sz w:val="18"/>
                <w:szCs w:val="18"/>
                <w:lang w:val="en-IE"/>
              </w:rPr>
            </w:pPr>
            <w:r w:rsidRPr="002D6FEA">
              <w:rPr>
                <w:rFonts w:eastAsia="Times New Roman"/>
                <w:noProof/>
                <w:color w:val="006100"/>
                <w:sz w:val="18"/>
                <w:szCs w:val="18"/>
                <w:lang w:val="en-IE"/>
              </w:rPr>
              <w:t xml:space="preserve"> </w:t>
            </w:r>
          </w:p>
          <w:p w:rsidRPr="002D6FEA" w:rsidR="00D87E44" w:rsidRDefault="00D87E44" w14:paraId="15458B87" w14:textId="77777777">
            <w:pPr>
              <w:spacing w:line="259" w:lineRule="auto"/>
              <w:rPr>
                <w:rFonts w:eastAsia="Times New Roman"/>
                <w:noProof/>
                <w:color w:val="006100"/>
                <w:sz w:val="18"/>
                <w:szCs w:val="18"/>
                <w:lang w:val="en-IE"/>
              </w:rPr>
            </w:pPr>
            <w:r w:rsidRPr="002D6FEA">
              <w:rPr>
                <w:rFonts w:eastAsia="Times New Roman"/>
                <w:noProof/>
                <w:color w:val="006100"/>
                <w:sz w:val="18"/>
                <w:szCs w:val="18"/>
                <w:lang w:val="en-IE"/>
              </w:rPr>
              <w:t xml:space="preserve"> </w:t>
            </w:r>
          </w:p>
        </w:tc>
        <w:tc>
          <w:tcPr>
            <w:tcW w:w="992" w:type="dxa"/>
            <w:shd w:val="clear" w:color="auto" w:fill="C6EFCE"/>
          </w:tcPr>
          <w:p w:rsidRPr="002D6FEA" w:rsidR="00D87E44" w:rsidRDefault="00D87E44" w14:paraId="15458B88"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Target</w:t>
            </w:r>
          </w:p>
        </w:tc>
        <w:tc>
          <w:tcPr>
            <w:tcW w:w="1613" w:type="dxa"/>
            <w:shd w:val="clear" w:color="auto" w:fill="C6EFCE"/>
          </w:tcPr>
          <w:p w:rsidRPr="002D6FEA" w:rsidR="00D87E44" w:rsidRDefault="00D87E44" w14:paraId="15458B89"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Establishment of strategic partnerships by public universities</w:t>
            </w:r>
          </w:p>
        </w:tc>
        <w:tc>
          <w:tcPr>
            <w:tcW w:w="1647" w:type="dxa"/>
            <w:shd w:val="clear" w:color="auto" w:fill="C6EFCE"/>
          </w:tcPr>
          <w:p w:rsidRPr="002D6FEA" w:rsidR="00D87E44" w:rsidRDefault="00D87E44" w14:paraId="15458B8A" w14:textId="77777777">
            <w:pPr>
              <w:spacing w:line="259" w:lineRule="auto"/>
              <w:rPr>
                <w:rFonts w:eastAsia="Times New Roman"/>
                <w:noProof/>
                <w:color w:val="006100"/>
                <w:sz w:val="18"/>
                <w:szCs w:val="18"/>
                <w:lang w:val="en-IE"/>
              </w:rPr>
            </w:pPr>
          </w:p>
        </w:tc>
        <w:tc>
          <w:tcPr>
            <w:tcW w:w="1140" w:type="dxa"/>
            <w:shd w:val="clear" w:color="auto" w:fill="C6EFCE"/>
          </w:tcPr>
          <w:p w:rsidRPr="002D6FEA" w:rsidR="00D87E44" w:rsidRDefault="00D87E44" w14:paraId="15458B8B"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Strategic partnerships</w:t>
            </w:r>
          </w:p>
        </w:tc>
        <w:tc>
          <w:tcPr>
            <w:tcW w:w="988" w:type="dxa"/>
            <w:shd w:val="clear" w:color="auto" w:fill="C6EFCE"/>
          </w:tcPr>
          <w:p w:rsidRPr="002D6FEA" w:rsidR="00D87E44" w:rsidRDefault="00D87E44" w14:paraId="15458B8C"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0</w:t>
            </w:r>
          </w:p>
        </w:tc>
        <w:tc>
          <w:tcPr>
            <w:tcW w:w="938" w:type="dxa"/>
            <w:shd w:val="clear" w:color="auto" w:fill="C6EFCE"/>
          </w:tcPr>
          <w:p w:rsidRPr="002D6FEA" w:rsidR="00D87E44" w:rsidRDefault="00D87E44" w14:paraId="15458B8D"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20</w:t>
            </w:r>
          </w:p>
        </w:tc>
        <w:tc>
          <w:tcPr>
            <w:tcW w:w="659" w:type="dxa"/>
            <w:shd w:val="clear" w:color="auto" w:fill="C6EFCE"/>
          </w:tcPr>
          <w:p w:rsidRPr="002D6FEA" w:rsidR="00D87E44" w:rsidRDefault="00D87E44" w14:paraId="15458B8E"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Q4</w:t>
            </w:r>
          </w:p>
        </w:tc>
        <w:tc>
          <w:tcPr>
            <w:tcW w:w="658" w:type="dxa"/>
            <w:shd w:val="clear" w:color="auto" w:fill="C6EFCE"/>
          </w:tcPr>
          <w:p w:rsidRPr="002D6FEA" w:rsidR="00D87E44" w:rsidRDefault="00D87E44" w14:paraId="15458B8F"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2024</w:t>
            </w:r>
          </w:p>
        </w:tc>
        <w:tc>
          <w:tcPr>
            <w:tcW w:w="4128" w:type="dxa"/>
            <w:shd w:val="clear" w:color="auto" w:fill="C6EFCE"/>
          </w:tcPr>
          <w:p w:rsidRPr="002D6FEA" w:rsidR="00D87E44" w:rsidRDefault="00D87E44" w14:paraId="15458B90" w14:textId="77777777">
            <w:pPr>
              <w:spacing w:before="0" w:after="0" w:line="240" w:lineRule="auto"/>
              <w:rPr>
                <w:rFonts w:eastAsia="Times New Roman"/>
                <w:noProof/>
                <w:color w:val="006100"/>
                <w:sz w:val="18"/>
                <w:szCs w:val="18"/>
                <w:lang w:val="en-IE"/>
              </w:rPr>
            </w:pPr>
            <w:r w:rsidRPr="002D6FEA">
              <w:rPr>
                <w:rFonts w:eastAsia="Times New Roman"/>
                <w:noProof/>
                <w:color w:val="006100"/>
                <w:sz w:val="18"/>
                <w:szCs w:val="18"/>
                <w:lang w:val="en-IE"/>
              </w:rPr>
              <w:t xml:space="preserve">20 strategic partnerships between public universities and a third party developing green skills education shall be established. </w:t>
            </w:r>
          </w:p>
        </w:tc>
      </w:tr>
    </w:tbl>
    <w:p w:rsidRPr="00FE48E2" w:rsidR="00D87E44" w:rsidP="00D226F4" w:rsidRDefault="00D87E44" w14:paraId="15458B92"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eastAsia="cs-CZ"/>
        </w:rPr>
      </w:pPr>
    </w:p>
    <w:p w:rsidRPr="00FE48E2" w:rsidR="00D87E44" w:rsidP="00D226F4" w:rsidRDefault="00D87E44" w14:paraId="15458B93"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eastAsia="cs-CZ"/>
        </w:rPr>
      </w:pPr>
    </w:p>
    <w:p w:rsidRPr="00FE48E2" w:rsidR="00D87E44" w:rsidP="00D226F4" w:rsidRDefault="00D87E44" w14:paraId="15458B94"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eastAsia="cs-CZ"/>
        </w:rPr>
        <w:sectPr w:rsidRPr="00FE48E2" w:rsidR="00C16C1F" w:rsidSect="00D226F4">
          <w:headerReference w:type="even" r:id="R35b62d8bc96a4a13"/>
          <w:headerReference w:type="default" r:id="R3b9df35f87e44ef0"/>
          <w:footerReference w:type="even" r:id="R6b0b4a3362004743"/>
          <w:footerReference w:type="default" r:id="Rdd258d5311684cd4"/>
          <w:headerReference w:type="first" r:id="R0bf29f6628d641bd"/>
          <w:footerReference w:type="first" r:id="R76e9def3c88a4f44"/>
          <w:pgSz w:w="16839" w:h="11907" w:orient="landscape"/>
          <w:pgMar w:top="1134" w:right="1134" w:bottom="1134" w:left="1134" w:header="567" w:footer="567" w:gutter="0"/>
          <w:cols w:space="720"/>
          <w:docGrid w:linePitch="360"/>
        </w:sectPr>
      </w:pPr>
    </w:p>
    <w:p w:rsidRPr="00FE48E2" w:rsidR="00D87E44" w:rsidP="00D226F4" w:rsidRDefault="00D87E44" w14:paraId="15458B95" w14:textId="77777777">
      <w:pPr>
        <w:keepNext/>
        <w:tabs>
          <w:tab w:val="left" w:pos="850"/>
        </w:tabs>
        <w:spacing w:line="240" w:lineRule="auto"/>
        <w:jc w:val="both"/>
        <w:outlineLvl w:val="0"/>
        <w:rPr>
          <w:b/>
          <w:bCs/>
          <w:smallCaps/>
          <w:noProof/>
          <w:lang w:val="en-IE"/>
        </w:rPr>
      </w:pPr>
      <w:r w:rsidRPr="1B282876">
        <w:rPr>
          <w:b/>
          <w:bCs/>
          <w:caps/>
          <w:noProof/>
          <w:lang w:val="en-IE"/>
        </w:rPr>
        <w:lastRenderedPageBreak/>
        <w:t xml:space="preserve">II. COMPONENT 7.5 </w:t>
      </w:r>
      <w:r w:rsidRPr="1B282876">
        <w:rPr>
          <w:b/>
          <w:bCs/>
          <w:smallCaps/>
          <w:noProof/>
          <w:lang w:val="en-IE"/>
        </w:rPr>
        <w:t xml:space="preserve">Decarbonisation of Road Transport </w:t>
      </w:r>
      <w:r w:rsidRPr="005B123A">
        <w:rPr>
          <w:b/>
          <w:bCs/>
          <w:smallCaps/>
          <w:noProof/>
          <w:lang w:val="en-IE"/>
        </w:rPr>
        <w:t>(REPOWEREU)</w:t>
      </w:r>
    </w:p>
    <w:p w:rsidRPr="00FE48E2" w:rsidR="00D87E44" w:rsidP="00D226F4" w:rsidRDefault="00D87E44" w14:paraId="15458B96"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This component of the Czech recovery and resilience plan addresses the need to decarbonise the transport sector by deploying zero-emission vehicles and infrastructure in Czechia, in order to prepare for a rapid phasing out of fossil fuels in road transport sector.</w:t>
      </w:r>
    </w:p>
    <w:p w:rsidRPr="00FE48E2" w:rsidR="00D87E44" w:rsidP="00D226F4" w:rsidRDefault="00D87E44" w14:paraId="15458B97"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The component aims to increase the uptake of zero-emission vehicles of various types in Czechia, as well as to encourage the development of recharging and hydrogen refuelling infrastructure through investments and reforms.</w:t>
      </w:r>
    </w:p>
    <w:p w:rsidRPr="00FE48E2" w:rsidR="00D87E44" w:rsidP="00D226F4" w:rsidRDefault="00D87E44" w14:paraId="15458B98" w14:textId="77777777">
      <w:pPr>
        <w:pBdr>
          <w:top w:val="nil"/>
          <w:left w:val="nil"/>
          <w:bottom w:val="nil"/>
          <w:right w:val="nil"/>
          <w:between w:val="nil"/>
        </w:pBdr>
        <w:tabs>
          <w:tab w:val="left" w:pos="993"/>
        </w:tabs>
        <w:spacing w:line="240" w:lineRule="auto"/>
        <w:jc w:val="both"/>
        <w:rPr>
          <w:rFonts w:eastAsia="Times New Roman"/>
          <w:noProof/>
          <w:color w:val="000000" w:themeColor="text1"/>
          <w:lang w:val="en-IE" w:eastAsia="cs-CZ"/>
        </w:rPr>
      </w:pPr>
      <w:r w:rsidRPr="22812D3A">
        <w:rPr>
          <w:rFonts w:eastAsia="Times New Roman"/>
          <w:noProof/>
          <w:color w:val="000000" w:themeColor="text1"/>
          <w:lang w:val="en-IE" w:eastAsia="cs-CZ"/>
        </w:rPr>
        <w:t xml:space="preserve">The component is linked to the implementation of the 2022 CSR 4, which underscores the need to reduce use of fossil fuels and fossil fuel import dependency of the country. The component addresses the CSR notably by seeking to decrease the use of fossil fuels in Czech transport system. </w:t>
      </w:r>
      <w:r w:rsidRPr="005B0AE0">
        <w:rPr>
          <w:rFonts w:eastAsia="Times New Roman"/>
          <w:noProof/>
          <w:color w:val="000000" w:themeColor="text1"/>
          <w:lang w:val="en-IE" w:eastAsia="cs-CZ"/>
        </w:rPr>
        <w:t>The component is equally linked to the implementation of the 2023 CSR 4, which underscores the need to promote the uptake of zero-emission vehicles and boost the availability of high-capacity charging and refuelling infrastructure through new reforms in order to create enabling conditions for and to remove existing barriers to the deployment of vehicles and infrastructure.</w:t>
      </w:r>
    </w:p>
    <w:p w:rsidRPr="00FE48E2" w:rsidR="00D87E44" w:rsidP="00D226F4" w:rsidRDefault="00D87E44" w14:paraId="15458B99" w14:textId="77777777">
      <w:pPr>
        <w:pBdr>
          <w:top w:val="nil"/>
          <w:left w:val="nil"/>
          <w:bottom w:val="nil"/>
          <w:right w:val="nil"/>
          <w:between w:val="nil"/>
        </w:pBdr>
        <w:tabs>
          <w:tab w:val="left" w:pos="993"/>
        </w:tabs>
        <w:spacing w:line="240" w:lineRule="auto"/>
        <w:jc w:val="both"/>
        <w:rPr>
          <w:rFonts w:eastAsia="Times New Roman"/>
          <w:noProof/>
          <w:color w:val="000000" w:themeColor="text1"/>
          <w:lang w:val="en-IE" w:eastAsia="cs-CZ"/>
        </w:rPr>
      </w:pPr>
    </w:p>
    <w:p w:rsidRPr="00FE48E2" w:rsidR="00D87E44" w:rsidP="00D226F4" w:rsidRDefault="00D87E44" w14:paraId="15458B9A" w14:textId="77777777">
      <w:pPr>
        <w:spacing w:line="240" w:lineRule="auto"/>
        <w:jc w:val="both"/>
        <w:rPr>
          <w:rFonts w:eastAsia="Times New Roman"/>
          <w:noProof/>
          <w:color w:val="000000" w:themeColor="text1"/>
          <w:lang w:val="en-IE" w:eastAsia="cs-CZ"/>
        </w:rPr>
      </w:pPr>
      <w:r w:rsidRPr="1B282876">
        <w:rPr>
          <w:b/>
          <w:bCs/>
          <w:noProof/>
          <w:u w:val="single"/>
          <w:lang w:val="en-IE"/>
        </w:rPr>
        <w:t xml:space="preserve">II.1. </w:t>
      </w:r>
      <w:r w:rsidRPr="1B282876">
        <w:rPr>
          <w:rFonts w:eastAsia="Times New Roman"/>
          <w:b/>
          <w:bCs/>
          <w:noProof/>
          <w:u w:val="single"/>
          <w:lang w:val="en-IE" w:eastAsia="en-GB"/>
        </w:rPr>
        <w:t>Description</w:t>
      </w:r>
      <w:r w:rsidRPr="1B282876">
        <w:rPr>
          <w:b/>
          <w:bCs/>
          <w:noProof/>
          <w:u w:val="single"/>
          <w:lang w:val="en-IE"/>
        </w:rPr>
        <w:t xml:space="preserve"> of the reforms and investments for non-repayable financial support</w:t>
      </w:r>
    </w:p>
    <w:p w:rsidRPr="00FE48E2" w:rsidR="00D87E44" w:rsidP="00D226F4" w:rsidRDefault="00D87E44" w14:paraId="15458B9B" w14:textId="77777777">
      <w:pPr>
        <w:pBdr>
          <w:top w:val="nil"/>
          <w:left w:val="nil"/>
          <w:bottom w:val="nil"/>
          <w:right w:val="nil"/>
          <w:between w:val="nil"/>
        </w:pBdr>
        <w:tabs>
          <w:tab w:val="left" w:pos="993"/>
        </w:tabs>
        <w:spacing w:line="240" w:lineRule="auto"/>
        <w:jc w:val="both"/>
        <w:rPr>
          <w:rFonts w:eastAsia="Times New Roman"/>
          <w:b/>
          <w:noProof/>
          <w:color w:val="000000" w:themeColor="text1"/>
          <w:szCs w:val="24"/>
          <w:lang w:val="en-IE" w:eastAsia="cs-CZ"/>
        </w:rPr>
      </w:pPr>
      <w:r w:rsidRPr="00FE48E2">
        <w:rPr>
          <w:b/>
          <w:noProof/>
          <w:szCs w:val="24"/>
          <w:lang w:val="en-IE"/>
        </w:rPr>
        <w:t>Reform 1: National Action Plan for Clean Mobility and deployment targets for zero-emission mobility</w:t>
      </w:r>
    </w:p>
    <w:p w:rsidRPr="00FF1320" w:rsidR="00D87E44" w:rsidP="00D226F4" w:rsidRDefault="00D87E44" w14:paraId="15458B9C" w14:textId="77777777">
      <w:pPr>
        <w:pBdr>
          <w:top w:val="nil"/>
          <w:left w:val="nil"/>
          <w:bottom w:val="nil"/>
          <w:right w:val="nil"/>
          <w:between w:val="nil"/>
        </w:pBdr>
        <w:tabs>
          <w:tab w:val="left" w:pos="993"/>
        </w:tabs>
        <w:spacing w:line="240" w:lineRule="auto"/>
        <w:jc w:val="both"/>
        <w:rPr>
          <w:lang w:val="en-IE"/>
        </w:rPr>
      </w:pPr>
      <w:r w:rsidRPr="00FE48E2">
        <w:rPr>
          <w:noProof/>
          <w:szCs w:val="24"/>
          <w:lang w:val="en-IE"/>
        </w:rPr>
        <w:t xml:space="preserve">The objective of the </w:t>
      </w:r>
      <w:r>
        <w:rPr>
          <w:noProof/>
          <w:szCs w:val="24"/>
          <w:lang w:val="en-IE"/>
        </w:rPr>
        <w:t>measure</w:t>
      </w:r>
      <w:r w:rsidRPr="00FE48E2">
        <w:rPr>
          <w:noProof/>
          <w:szCs w:val="24"/>
          <w:lang w:val="en-IE"/>
        </w:rPr>
        <w:t xml:space="preserve"> is to set a pathway for transition towards clean transport and zero-emission mobility. </w:t>
      </w:r>
      <w:r>
        <w:rPr>
          <w:noProof/>
          <w:szCs w:val="24"/>
          <w:lang w:val="en-IE"/>
        </w:rPr>
        <w:t>This reform consists of the adoption of the National Action Plan for Clean Mobility and a target for zero-emission vehicles</w:t>
      </w:r>
      <w:r w:rsidRPr="00FF1320">
        <w:rPr>
          <w:lang w:val="en-IE"/>
        </w:rPr>
        <w:t>.</w:t>
      </w:r>
    </w:p>
    <w:p w:rsidRPr="0006392C" w:rsidR="00D87E44" w:rsidP="00D226F4" w:rsidRDefault="00D87E44" w14:paraId="15458B9D" w14:textId="77777777">
      <w:pPr>
        <w:pBdr>
          <w:top w:val="nil"/>
          <w:left w:val="nil"/>
          <w:bottom w:val="nil"/>
          <w:right w:val="nil"/>
          <w:between w:val="nil"/>
        </w:pBdr>
        <w:tabs>
          <w:tab w:val="left" w:pos="993"/>
        </w:tabs>
        <w:spacing w:line="240" w:lineRule="auto"/>
        <w:jc w:val="both"/>
        <w:rPr>
          <w:noProof/>
          <w:lang w:val="en-IE"/>
        </w:rPr>
      </w:pPr>
      <w:r w:rsidRPr="0006392C">
        <w:rPr>
          <w:rFonts w:eastAsia="Times New Roman"/>
          <w:b/>
          <w:bCs/>
          <w:noProof/>
          <w:color w:val="000000" w:themeColor="text1"/>
          <w:lang w:val="en-IE" w:eastAsia="cs-CZ"/>
        </w:rPr>
        <w:t xml:space="preserve">Reform 2: Tax measures in support of zero-emission mobility </w:t>
      </w:r>
    </w:p>
    <w:p w:rsidRPr="00FE48E2" w:rsidR="00D87E44" w:rsidP="00D226F4" w:rsidRDefault="00D87E44" w14:paraId="15458B9E" w14:textId="77777777">
      <w:pPr>
        <w:pBdr>
          <w:top w:val="nil"/>
          <w:left w:val="nil"/>
          <w:bottom w:val="nil"/>
          <w:right w:val="nil"/>
          <w:between w:val="nil"/>
        </w:pBdr>
        <w:tabs>
          <w:tab w:val="left" w:pos="993"/>
        </w:tabs>
        <w:spacing w:line="240" w:lineRule="auto"/>
        <w:jc w:val="both"/>
        <w:rPr>
          <w:noProof/>
          <w:lang w:val="en-IE"/>
        </w:rPr>
      </w:pPr>
      <w:r w:rsidRPr="00FE48E2">
        <w:rPr>
          <w:noProof/>
          <w:lang w:val="en-IE"/>
        </w:rPr>
        <w:t xml:space="preserve">The objective of the reform is to adjust the tax framework of Czechia to provide a facilitating environment for the uptake of zero-emission road vehicles by private companies. The reform complements Investment 4 of Component 2.4 and supports the need to further incentivise an increased level of deployment of zero-emission vehicles in line with Reform 1. </w:t>
      </w:r>
      <w:r w:rsidRPr="00D2406E">
        <w:rPr>
          <w:noProof/>
          <w:lang w:val="en-IE"/>
        </w:rPr>
        <w:t>The measure shall revise the Income Tax Act to amend the in-kind benefit for company cars provision by providing a higher level of taxation for both conventionally fuelled vehicles and low-emission vehicles (below 50gCO2/km), while setting out a lower level of taxation for zero-emission vehicles</w:t>
      </w:r>
      <w:r>
        <w:rPr>
          <w:noProof/>
          <w:lang w:val="en-IE"/>
        </w:rPr>
        <w:t xml:space="preserve"> resulting in an advantage for zero-emission vehicles</w:t>
      </w:r>
      <w:r w:rsidRPr="00D2406E">
        <w:rPr>
          <w:noProof/>
          <w:lang w:val="en-IE"/>
        </w:rPr>
        <w:t>.</w:t>
      </w:r>
      <w:r>
        <w:rPr>
          <w:noProof/>
          <w:lang w:val="en-IE"/>
        </w:rPr>
        <w:t xml:space="preserve"> </w:t>
      </w:r>
      <w:r w:rsidRPr="00FE48E2">
        <w:rPr>
          <w:noProof/>
          <w:lang w:val="en-IE"/>
        </w:rPr>
        <w:t>The reform aims to result in a substantial advantage to both employers and employees choosing zero-emission vehicles.</w:t>
      </w:r>
    </w:p>
    <w:p w:rsidRPr="00FE48E2" w:rsidR="00D87E44" w:rsidP="00D226F4" w:rsidRDefault="00D87E44" w14:paraId="15458B9F"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The reform shall also provide a tax benefit in the form of an accelerated depreciation for all zero-emission vehicles (</w:t>
      </w:r>
      <w:r>
        <w:rPr>
          <w:rFonts w:eastAsia="Times New Roman"/>
          <w:noProof/>
          <w:color w:val="000000" w:themeColor="text1"/>
          <w:szCs w:val="24"/>
          <w:lang w:val="en-IE" w:eastAsia="cs-CZ"/>
        </w:rPr>
        <w:t>categories</w:t>
      </w:r>
      <w:r w:rsidRPr="00FE48E2">
        <w:rPr>
          <w:rFonts w:eastAsia="Times New Roman"/>
          <w:noProof/>
          <w:color w:val="000000" w:themeColor="text1"/>
          <w:szCs w:val="24"/>
          <w:lang w:val="en-IE" w:eastAsia="cs-CZ"/>
        </w:rPr>
        <w:t xml:space="preserve"> M1, N1, N2, N3) for private companies. The measures shall amend the Income Tax Act to ensure that the possibility of accelerated depreciation is provided solely for zero-emission vehicles until at least 2027. The reform aims to provide motivation for companies to acquire new zero-emission vehicles, thus accelerating the greening of corporate fleets. </w:t>
      </w:r>
    </w:p>
    <w:p w:rsidRPr="00FE48E2" w:rsidR="00D87E44" w:rsidP="00D226F4" w:rsidRDefault="00D87E44" w14:paraId="15458BA0"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The reform shall be completed by 31 December 2024.</w:t>
      </w:r>
    </w:p>
    <w:p w:rsidRPr="00FE48E2" w:rsidR="00D87E44" w:rsidP="00D226F4" w:rsidRDefault="00D87E44" w14:paraId="15458BA1" w14:textId="77777777">
      <w:pPr>
        <w:pBdr>
          <w:top w:val="nil"/>
          <w:left w:val="nil"/>
          <w:bottom w:val="nil"/>
          <w:right w:val="nil"/>
          <w:between w:val="nil"/>
        </w:pBdr>
        <w:tabs>
          <w:tab w:val="left" w:pos="993"/>
        </w:tabs>
        <w:spacing w:line="240" w:lineRule="auto"/>
        <w:jc w:val="both"/>
        <w:rPr>
          <w:rFonts w:eastAsia="Times New Roman"/>
          <w:b/>
          <w:noProof/>
          <w:color w:val="000000" w:themeColor="text1"/>
          <w:szCs w:val="24"/>
          <w:lang w:val="en-IE" w:eastAsia="cs-CZ"/>
        </w:rPr>
      </w:pPr>
      <w:r w:rsidRPr="00FE48E2">
        <w:rPr>
          <w:b/>
          <w:noProof/>
          <w:szCs w:val="24"/>
          <w:lang w:val="en-IE"/>
        </w:rPr>
        <w:t xml:space="preserve">Reform 3: </w:t>
      </w:r>
      <w:r w:rsidRPr="00623F7F">
        <w:rPr>
          <w:b/>
          <w:noProof/>
          <w:szCs w:val="24"/>
          <w:lang w:val="en-IE"/>
        </w:rPr>
        <w:t>Improving the regulatory framework for renewable hydrogen</w:t>
      </w:r>
    </w:p>
    <w:p w:rsidRPr="00FE48E2" w:rsidR="00D87E44" w:rsidP="00D226F4" w:rsidRDefault="00D87E44" w14:paraId="15458BA2"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lastRenderedPageBreak/>
        <w:t xml:space="preserve">The </w:t>
      </w:r>
      <w:r>
        <w:rPr>
          <w:rFonts w:eastAsia="Times New Roman"/>
          <w:noProof/>
          <w:color w:val="000000" w:themeColor="text1"/>
          <w:szCs w:val="24"/>
          <w:lang w:val="en-IE" w:eastAsia="cs-CZ"/>
        </w:rPr>
        <w:t xml:space="preserve">objective of the measure is to support the Czech hydrogen economy. The reform consists of </w:t>
      </w:r>
      <w:r w:rsidRPr="00FE48E2">
        <w:rPr>
          <w:rFonts w:eastAsia="Times New Roman"/>
          <w:noProof/>
          <w:color w:val="000000" w:themeColor="text1"/>
          <w:szCs w:val="24"/>
          <w:lang w:val="en-IE" w:eastAsia="cs-CZ"/>
        </w:rPr>
        <w:t xml:space="preserve">updating the Czech Hydrogen Strategy to better respond to current challenges </w:t>
      </w:r>
      <w:r>
        <w:rPr>
          <w:rFonts w:eastAsia="Times New Roman"/>
          <w:noProof/>
          <w:color w:val="000000" w:themeColor="text1"/>
          <w:szCs w:val="24"/>
          <w:lang w:val="en-IE" w:eastAsia="cs-CZ"/>
        </w:rPr>
        <w:t xml:space="preserve">and </w:t>
      </w:r>
      <w:r w:rsidRPr="00FE48E2">
        <w:rPr>
          <w:rFonts w:eastAsia="Times New Roman"/>
          <w:noProof/>
          <w:color w:val="000000" w:themeColor="text1"/>
          <w:szCs w:val="24"/>
          <w:lang w:val="en-IE" w:eastAsia="cs-CZ"/>
        </w:rPr>
        <w:t>conditions</w:t>
      </w:r>
      <w:r>
        <w:rPr>
          <w:rFonts w:eastAsia="Times New Roman"/>
          <w:noProof/>
          <w:color w:val="000000" w:themeColor="text1"/>
          <w:szCs w:val="24"/>
          <w:lang w:val="en-IE" w:eastAsia="cs-CZ"/>
        </w:rPr>
        <w:t xml:space="preserve"> of the Czech hydrogen economy, and the adoption of legislative measures to reform </w:t>
      </w:r>
      <w:r w:rsidRPr="000F0059">
        <w:rPr>
          <w:rFonts w:eastAsia="Times New Roman"/>
          <w:noProof/>
          <w:color w:val="000000" w:themeColor="text1"/>
          <w:szCs w:val="24"/>
          <w:lang w:val="en-IE" w:eastAsia="cs-CZ"/>
        </w:rPr>
        <w:t>the regulatory framework for hydrogen</w:t>
      </w:r>
      <w:r>
        <w:rPr>
          <w:rFonts w:eastAsia="Times New Roman"/>
          <w:noProof/>
          <w:color w:val="000000" w:themeColor="text1"/>
          <w:szCs w:val="24"/>
          <w:lang w:val="en-IE" w:eastAsia="cs-CZ"/>
        </w:rPr>
        <w:t xml:space="preserve">.  </w:t>
      </w:r>
      <w:r w:rsidRPr="00FE48E2">
        <w:rPr>
          <w:rFonts w:eastAsia="Times New Roman"/>
          <w:noProof/>
          <w:color w:val="000000" w:themeColor="text1"/>
          <w:szCs w:val="24"/>
          <w:lang w:val="en-IE" w:eastAsia="cs-CZ"/>
        </w:rPr>
        <w:t xml:space="preserve"> </w:t>
      </w:r>
    </w:p>
    <w:p w:rsidR="00D87E44" w:rsidRDefault="00D87E44" w14:paraId="15458BA3" w14:textId="77777777">
      <w:pPr>
        <w:spacing w:before="0" w:after="160" w:line="259" w:lineRule="auto"/>
        <w:rPr>
          <w:b/>
          <w:noProof/>
          <w:szCs w:val="24"/>
          <w:lang w:val="en-IE"/>
        </w:rPr>
      </w:pPr>
      <w:r>
        <w:rPr>
          <w:b/>
          <w:noProof/>
          <w:szCs w:val="24"/>
          <w:lang w:val="en-IE"/>
        </w:rPr>
        <w:br w:type="page"/>
      </w:r>
    </w:p>
    <w:p w:rsidRPr="00FE48E2" w:rsidR="00D87E44" w:rsidP="00D226F4" w:rsidRDefault="00D87E44" w14:paraId="15458BA4" w14:textId="77777777">
      <w:pPr>
        <w:pBdr>
          <w:top w:val="nil"/>
          <w:left w:val="nil"/>
          <w:bottom w:val="nil"/>
          <w:right w:val="nil"/>
          <w:between w:val="nil"/>
        </w:pBdr>
        <w:tabs>
          <w:tab w:val="left" w:pos="993"/>
        </w:tabs>
        <w:spacing w:line="240" w:lineRule="auto"/>
        <w:jc w:val="both"/>
        <w:rPr>
          <w:rFonts w:eastAsia="Times New Roman"/>
          <w:b/>
          <w:noProof/>
          <w:color w:val="000000" w:themeColor="text1"/>
          <w:szCs w:val="24"/>
          <w:lang w:val="en-IE" w:eastAsia="cs-CZ"/>
        </w:rPr>
      </w:pPr>
      <w:r w:rsidRPr="00FE48E2">
        <w:rPr>
          <w:b/>
          <w:noProof/>
          <w:szCs w:val="24"/>
          <w:lang w:val="en-IE"/>
        </w:rPr>
        <w:lastRenderedPageBreak/>
        <w:t xml:space="preserve">Reform 4: </w:t>
      </w:r>
      <w:r w:rsidRPr="003565DC">
        <w:rPr>
          <w:b/>
          <w:noProof/>
          <w:szCs w:val="24"/>
          <w:lang w:val="en-IE"/>
        </w:rPr>
        <w:t>Enabling conditions for zero-emission alternative fuels infrastructure</w:t>
      </w:r>
    </w:p>
    <w:p w:rsidRPr="005E54BC" w:rsidR="00D87E44" w:rsidP="00D226F4" w:rsidRDefault="00D87E44" w14:paraId="15458BA5" w14:textId="77777777">
      <w:pPr>
        <w:pBdr>
          <w:top w:val="nil"/>
          <w:left w:val="nil"/>
          <w:bottom w:val="nil"/>
          <w:right w:val="nil"/>
          <w:between w:val="nil"/>
        </w:pBdr>
        <w:tabs>
          <w:tab w:val="left" w:pos="993"/>
        </w:tabs>
        <w:spacing w:line="240" w:lineRule="auto"/>
        <w:jc w:val="both"/>
        <w:rPr>
          <w:rFonts w:eastAsia="Times New Roman"/>
          <w:noProof/>
          <w:color w:val="000000" w:themeColor="text1"/>
          <w:lang w:val="en-IE" w:eastAsia="cs-CZ"/>
        </w:rPr>
      </w:pPr>
      <w:r w:rsidRPr="17B29258">
        <w:rPr>
          <w:rFonts w:eastAsia="Times New Roman"/>
          <w:noProof/>
          <w:color w:val="000000" w:themeColor="text1"/>
          <w:lang w:val="en-IE" w:eastAsia="cs-CZ"/>
        </w:rPr>
        <w:t xml:space="preserve">The </w:t>
      </w:r>
      <w:r>
        <w:rPr>
          <w:rFonts w:eastAsia="Times New Roman"/>
          <w:noProof/>
          <w:color w:val="000000" w:themeColor="text1"/>
          <w:lang w:val="en-IE" w:eastAsia="cs-CZ"/>
        </w:rPr>
        <w:t>objective of the measure is</w:t>
      </w:r>
      <w:r w:rsidRPr="17B29258">
        <w:rPr>
          <w:rFonts w:eastAsia="Times New Roman"/>
          <w:noProof/>
          <w:color w:val="000000" w:themeColor="text1"/>
          <w:lang w:val="en-IE" w:eastAsia="cs-CZ"/>
        </w:rPr>
        <w:t xml:space="preserve"> to simplify and ease the construction, permitting process, and operation of recharging </w:t>
      </w:r>
      <w:r>
        <w:rPr>
          <w:rFonts w:eastAsia="Times New Roman"/>
          <w:noProof/>
          <w:color w:val="000000" w:themeColor="text1"/>
          <w:lang w:val="en-IE" w:eastAsia="cs-CZ"/>
        </w:rPr>
        <w:t>points</w:t>
      </w:r>
      <w:r w:rsidRPr="17B29258">
        <w:rPr>
          <w:rFonts w:eastAsia="Times New Roman"/>
          <w:noProof/>
          <w:color w:val="000000" w:themeColor="text1"/>
          <w:lang w:val="en-IE" w:eastAsia="cs-CZ"/>
        </w:rPr>
        <w:t xml:space="preserve"> and hydrogen refuelling infrastructure. The reform consist</w:t>
      </w:r>
      <w:r>
        <w:rPr>
          <w:rFonts w:eastAsia="Times New Roman"/>
          <w:noProof/>
          <w:color w:val="000000" w:themeColor="text1"/>
          <w:lang w:val="en-IE" w:eastAsia="cs-CZ"/>
        </w:rPr>
        <w:t xml:space="preserve">s </w:t>
      </w:r>
      <w:r w:rsidRPr="17B29258">
        <w:rPr>
          <w:rFonts w:eastAsia="Times New Roman"/>
          <w:noProof/>
          <w:color w:val="000000" w:themeColor="text1"/>
          <w:lang w:val="en-IE" w:eastAsia="cs-CZ"/>
        </w:rPr>
        <w:t xml:space="preserve">of the adoption of measures </w:t>
      </w:r>
      <w:r>
        <w:rPr>
          <w:rFonts w:eastAsia="Times New Roman"/>
          <w:noProof/>
          <w:color w:val="000000" w:themeColor="text1"/>
          <w:lang w:val="en-IE" w:eastAsia="cs-CZ"/>
        </w:rPr>
        <w:t>supporting the rollout of</w:t>
      </w:r>
      <w:r w:rsidRPr="17B29258">
        <w:rPr>
          <w:rFonts w:eastAsia="Times New Roman"/>
          <w:noProof/>
          <w:color w:val="000000" w:themeColor="text1"/>
          <w:lang w:val="en-IE" w:eastAsia="cs-CZ"/>
        </w:rPr>
        <w:t xml:space="preserve"> recharging</w:t>
      </w:r>
      <w:r>
        <w:rPr>
          <w:rFonts w:eastAsia="Times New Roman"/>
          <w:noProof/>
          <w:color w:val="000000" w:themeColor="text1"/>
          <w:lang w:val="en-IE" w:eastAsia="cs-CZ"/>
        </w:rPr>
        <w:t xml:space="preserve"> points</w:t>
      </w:r>
      <w:r w:rsidRPr="17B29258">
        <w:rPr>
          <w:rFonts w:eastAsia="Times New Roman"/>
          <w:noProof/>
          <w:color w:val="000000" w:themeColor="text1"/>
          <w:lang w:val="en-IE" w:eastAsia="cs-CZ"/>
        </w:rPr>
        <w:t xml:space="preserve"> and hydrogen refuelling infrastructure.</w:t>
      </w:r>
    </w:p>
    <w:p w:rsidRPr="0006392C" w:rsidR="00D87E44" w:rsidP="00D226F4" w:rsidRDefault="00D87E44" w14:paraId="15458BA6" w14:textId="77777777">
      <w:pPr>
        <w:pBdr>
          <w:top w:val="nil"/>
          <w:left w:val="nil"/>
          <w:bottom w:val="nil"/>
          <w:right w:val="nil"/>
          <w:between w:val="nil"/>
        </w:pBdr>
        <w:tabs>
          <w:tab w:val="left" w:pos="993"/>
        </w:tabs>
        <w:spacing w:line="240" w:lineRule="auto"/>
        <w:jc w:val="both"/>
        <w:rPr>
          <w:rFonts w:eastAsia="Times New Roman"/>
          <w:b/>
          <w:bCs/>
          <w:noProof/>
          <w:color w:val="000000" w:themeColor="text1"/>
          <w:lang w:val="en-IE" w:eastAsia="cs-CZ"/>
        </w:rPr>
      </w:pPr>
      <w:r w:rsidRPr="0006392C">
        <w:rPr>
          <w:rFonts w:eastAsia="Times New Roman"/>
          <w:b/>
          <w:bCs/>
          <w:noProof/>
          <w:color w:val="000000" w:themeColor="text1"/>
          <w:lang w:val="en-IE" w:eastAsia="cs-CZ"/>
        </w:rPr>
        <w:t>Reform 5: Incentivising zero-emission mobility through changes in highway vignette cost and structure</w:t>
      </w:r>
    </w:p>
    <w:p w:rsidRPr="00FE48E2" w:rsidR="00D87E44" w:rsidP="00D226F4" w:rsidRDefault="00D87E44" w14:paraId="15458BA7"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The reform aims to create a considerable incentive for the uptake of zero-emission road vehicles, namely of passenger cars and light commercial vehicles. The aim of this reform is to modify the highway vignette fees and cost structure to lead to an increase in the price of highway vignette fees for conventional vehicles while maintaining existing exemption for zero emission vehicles only. The reform shall result in an increase of the annual highway vignette for M1 and N1 conventionally fuelled vehicles by n</w:t>
      </w:r>
      <w:r w:rsidRPr="00FE48E2">
        <w:rPr>
          <w:rFonts w:eastAsia="Times New Roman"/>
          <w:noProof/>
          <w:color w:val="000000" w:themeColor="text1"/>
          <w:szCs w:val="24"/>
          <w:lang w:val="en-IE" w:eastAsia="cs-CZ"/>
        </w:rPr>
        <w:t>o less than 50% compared to the 2022 baseline.</w:t>
      </w:r>
    </w:p>
    <w:p w:rsidRPr="00FE48E2" w:rsidR="00D87E44" w:rsidP="00D226F4" w:rsidRDefault="00D87E44" w14:paraId="15458BA8"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eastAsia="cs-CZ"/>
        </w:rPr>
      </w:pPr>
      <w:r w:rsidRPr="00FE48E2">
        <w:rPr>
          <w:rFonts w:eastAsia="Times New Roman"/>
          <w:noProof/>
          <w:color w:val="000000" w:themeColor="text1"/>
          <w:szCs w:val="24"/>
          <w:lang w:val="en-IE" w:eastAsia="cs-CZ"/>
        </w:rPr>
        <w:t>The reform shall be completed by 31 December 2024.</w:t>
      </w:r>
    </w:p>
    <w:p w:rsidRPr="00FE48E2" w:rsidR="00D87E44" w:rsidP="00D226F4" w:rsidRDefault="00D87E44" w14:paraId="15458BA9" w14:textId="77777777">
      <w:pPr>
        <w:spacing w:line="240" w:lineRule="auto"/>
        <w:rPr>
          <w:b/>
          <w:noProof/>
          <w:szCs w:val="24"/>
          <w:lang w:val="en-IE"/>
        </w:rPr>
      </w:pPr>
      <w:r w:rsidRPr="00FE48E2">
        <w:rPr>
          <w:b/>
          <w:noProof/>
          <w:szCs w:val="24"/>
          <w:lang w:val="en-IE"/>
        </w:rPr>
        <w:t>Investment 1:</w:t>
      </w:r>
      <w:r w:rsidRPr="00253B01">
        <w:rPr>
          <w:noProof/>
        </w:rPr>
        <w:t xml:space="preserve"> </w:t>
      </w:r>
      <w:r w:rsidRPr="00253B01">
        <w:rPr>
          <w:b/>
          <w:noProof/>
          <w:szCs w:val="24"/>
          <w:lang w:val="en-IE"/>
        </w:rPr>
        <w:t xml:space="preserve">Scaled up measure: </w:t>
      </w:r>
      <w:r w:rsidRPr="00FE48E2">
        <w:rPr>
          <w:b/>
          <w:noProof/>
          <w:szCs w:val="24"/>
          <w:lang w:val="en-IE"/>
        </w:rPr>
        <w:t>Aid for purchase of vehicles – zero-emission vehicles for private companies</w:t>
      </w:r>
    </w:p>
    <w:p w:rsidRPr="00FE48E2" w:rsidR="00D87E44" w:rsidP="00D226F4" w:rsidRDefault="00D87E44" w14:paraId="15458BAA" w14:textId="77777777">
      <w:pPr>
        <w:spacing w:line="240" w:lineRule="auto"/>
        <w:jc w:val="both"/>
        <w:rPr>
          <w:noProof/>
          <w:lang w:val="en-IE"/>
        </w:rPr>
      </w:pPr>
      <w:r w:rsidRPr="17B29258">
        <w:rPr>
          <w:noProof/>
          <w:lang w:val="en-IE"/>
        </w:rPr>
        <w:t xml:space="preserve">The objective of the investment is to be a scale up of the existing measure of Component 2.4 (Investment 4) of the same name. </w:t>
      </w:r>
      <w:bookmarkStart w:name="_Hlk213412829" w:id="17"/>
      <w:r w:rsidRPr="17B29258">
        <w:rPr>
          <w:rFonts w:eastAsia="Times New Roman"/>
          <w:noProof/>
          <w:color w:val="000000" w:themeColor="text1"/>
          <w:lang w:val="en-IE"/>
        </w:rPr>
        <w:t xml:space="preserve">The investment consists of increasing </w:t>
      </w:r>
      <w:r w:rsidRPr="00FF1320">
        <w:rPr>
          <w:color w:val="000000" w:themeColor="text1"/>
          <w:lang w:val="en-IE"/>
        </w:rPr>
        <w:t xml:space="preserve">the </w:t>
      </w:r>
      <w:r w:rsidRPr="17B29258">
        <w:rPr>
          <w:rFonts w:eastAsia="Times New Roman"/>
          <w:noProof/>
          <w:color w:val="000000" w:themeColor="text1"/>
          <w:lang w:val="en-IE"/>
        </w:rPr>
        <w:t>number of</w:t>
      </w:r>
      <w:r w:rsidRPr="00FF1320">
        <w:rPr>
          <w:color w:val="000000" w:themeColor="text1"/>
          <w:lang w:val="en-IE"/>
        </w:rPr>
        <w:t xml:space="preserve"> zero</w:t>
      </w:r>
      <w:r w:rsidRPr="17B29258">
        <w:rPr>
          <w:rFonts w:eastAsia="Times New Roman"/>
          <w:noProof/>
          <w:color w:val="000000" w:themeColor="text1"/>
          <w:lang w:val="en-IE"/>
        </w:rPr>
        <w:t>-</w:t>
      </w:r>
      <w:r w:rsidRPr="00FF1320">
        <w:rPr>
          <w:color w:val="000000" w:themeColor="text1"/>
          <w:lang w:val="en-IE"/>
        </w:rPr>
        <w:t>emission cars and vans</w:t>
      </w:r>
      <w:r w:rsidRPr="17B29258">
        <w:rPr>
          <w:rFonts w:eastAsia="Times New Roman"/>
          <w:noProof/>
          <w:color w:val="000000" w:themeColor="text1"/>
          <w:lang w:val="en-IE"/>
        </w:rPr>
        <w:t xml:space="preserve"> for </w:t>
      </w:r>
      <w:r>
        <w:rPr>
          <w:rFonts w:eastAsia="Times New Roman"/>
          <w:noProof/>
          <w:color w:val="000000" w:themeColor="text1"/>
          <w:lang w:val="en-IE"/>
        </w:rPr>
        <w:t>private companies</w:t>
      </w:r>
      <w:r w:rsidRPr="17B29258">
        <w:rPr>
          <w:rFonts w:eastAsia="Times New Roman"/>
          <w:noProof/>
          <w:color w:val="000000" w:themeColor="text1"/>
          <w:lang w:val="en-IE"/>
        </w:rPr>
        <w:t xml:space="preserve"> and self-employed persons</w:t>
      </w:r>
      <w:bookmarkEnd w:id="17"/>
      <w:r w:rsidRPr="17B29258">
        <w:rPr>
          <w:rFonts w:eastAsia="Times New Roman"/>
          <w:noProof/>
          <w:color w:val="000000" w:themeColor="text1"/>
          <w:lang w:val="en-IE"/>
        </w:rPr>
        <w:t>.</w:t>
      </w:r>
      <w:r w:rsidRPr="17B29258">
        <w:rPr>
          <w:noProof/>
          <w:lang w:val="en-IE"/>
        </w:rPr>
        <w:t xml:space="preserve"> </w:t>
      </w:r>
    </w:p>
    <w:p w:rsidRPr="00FE48E2" w:rsidR="00D87E44" w:rsidP="00D226F4" w:rsidRDefault="00D87E44" w14:paraId="15458BAB" w14:textId="77777777">
      <w:pPr>
        <w:spacing w:line="240" w:lineRule="auto"/>
        <w:rPr>
          <w:noProof/>
          <w:sz w:val="22"/>
          <w:lang w:val="en-IE"/>
        </w:rPr>
      </w:pPr>
    </w:p>
    <w:p w:rsidRPr="00FE48E2" w:rsidR="00D87E44" w:rsidP="00D226F4" w:rsidRDefault="00D87E44" w14:paraId="15458BAC" w14:textId="77777777">
      <w:pPr>
        <w:spacing w:line="240" w:lineRule="auto"/>
        <w:rPr>
          <w:noProof/>
          <w:sz w:val="22"/>
          <w:lang w:val="en-IE"/>
        </w:rPr>
      </w:pPr>
    </w:p>
    <w:p w:rsidRPr="00FE48E2" w:rsidR="00D87E44" w:rsidP="00D226F4" w:rsidRDefault="00D87E44" w14:paraId="15458BAD" w14:textId="77777777">
      <w:pPr>
        <w:tabs>
          <w:tab w:val="left" w:pos="993"/>
        </w:tabs>
        <w:spacing w:line="240" w:lineRule="auto"/>
        <w:jc w:val="both"/>
        <w:rPr>
          <w:b/>
          <w:noProof/>
          <w:u w:val="single"/>
          <w:lang w:val="en-IE"/>
        </w:rPr>
        <w:sectPr w:rsidRPr="00FE48E2" w:rsidR="00C16C1F" w:rsidSect="00D226F4">
          <w:headerReference w:type="even" r:id="R0f144b16a5244da4"/>
          <w:headerReference w:type="default" r:id="R3e980682d63f4760"/>
          <w:footerReference w:type="even" r:id="R765a1a31867c4f4b"/>
          <w:footerReference w:type="default" r:id="R2b4b0319ad6b4e7a"/>
          <w:headerReference w:type="first" r:id="R4f09a7c16cfa4dac"/>
          <w:footerReference w:type="first" r:id="Rbc9ac1eaa27f4c1e"/>
          <w:pgSz w:w="11907" w:h="16839"/>
          <w:pgMar w:top="1134" w:right="1134" w:bottom="1134" w:left="1134" w:header="567" w:footer="567" w:gutter="0"/>
          <w:cols w:space="720"/>
          <w:docGrid w:linePitch="360"/>
        </w:sectPr>
      </w:pPr>
    </w:p>
    <w:p w:rsidRPr="00FE48E2" w:rsidR="00D87E44" w:rsidP="00D226F4" w:rsidRDefault="00D87E44" w14:paraId="15458BAE" w14:textId="77777777">
      <w:pPr>
        <w:tabs>
          <w:tab w:val="left" w:pos="993"/>
        </w:tabs>
        <w:spacing w:line="240" w:lineRule="auto"/>
        <w:jc w:val="both"/>
        <w:rPr>
          <w:b/>
          <w:bCs/>
          <w:noProof/>
          <w:u w:val="single"/>
          <w:lang w:val="en-IE"/>
        </w:rPr>
      </w:pPr>
      <w:r w:rsidRPr="1B282876">
        <w:rPr>
          <w:b/>
          <w:bCs/>
          <w:noProof/>
          <w:u w:val="single"/>
          <w:lang w:val="en-IE"/>
        </w:rPr>
        <w:lastRenderedPageBreak/>
        <w:t>II.2. Milestones, targets, indicators, and timetable for monitoring and implementation for non-repayable financial support</w:t>
      </w:r>
    </w:p>
    <w:tbl>
      <w:tblPr>
        <w:tblW w:w="15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701"/>
        <w:gridCol w:w="1134"/>
        <w:gridCol w:w="1645"/>
        <w:gridCol w:w="1332"/>
        <w:gridCol w:w="1134"/>
        <w:gridCol w:w="992"/>
        <w:gridCol w:w="992"/>
        <w:gridCol w:w="993"/>
        <w:gridCol w:w="840"/>
        <w:gridCol w:w="3843"/>
      </w:tblGrid>
      <w:tr w:rsidRPr="00FE48E2" w:rsidR="00E3458A" w:rsidTr="4A45BCA2" w14:paraId="15458BB7" w14:textId="77777777">
        <w:trPr>
          <w:trHeight w:val="672"/>
          <w:tblHeader/>
          <w:jc w:val="center"/>
        </w:trPr>
        <w:tc>
          <w:tcPr>
            <w:tcW w:w="704" w:type="dxa"/>
            <w:vMerge w:val="restart"/>
            <w:shd w:val="clear" w:color="auto" w:fill="BDD7EE"/>
            <w:vAlign w:val="center"/>
            <w:hideMark/>
          </w:tcPr>
          <w:p w:rsidRPr="00FE48E2" w:rsidR="00D87E44" w:rsidRDefault="00D87E44" w14:paraId="15458BA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701" w:type="dxa"/>
            <w:vMerge w:val="restart"/>
            <w:shd w:val="clear" w:color="auto" w:fill="BDD7EE"/>
            <w:vAlign w:val="center"/>
            <w:hideMark/>
          </w:tcPr>
          <w:p w:rsidRPr="00FE48E2" w:rsidR="00D87E44" w:rsidRDefault="00D87E44" w14:paraId="15458BB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134" w:type="dxa"/>
            <w:vMerge w:val="restart"/>
            <w:shd w:val="clear" w:color="auto" w:fill="BDD7EE"/>
            <w:vAlign w:val="center"/>
            <w:hideMark/>
          </w:tcPr>
          <w:p w:rsidRPr="00FE48E2" w:rsidR="00D87E44" w:rsidRDefault="00D87E44" w14:paraId="15458BB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645" w:type="dxa"/>
            <w:vMerge w:val="restart"/>
            <w:shd w:val="clear" w:color="auto" w:fill="BDD7EE"/>
            <w:vAlign w:val="center"/>
            <w:hideMark/>
          </w:tcPr>
          <w:p w:rsidRPr="00FE48E2" w:rsidR="00D87E44" w:rsidRDefault="00D87E44" w14:paraId="15458BB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332" w:type="dxa"/>
            <w:vMerge w:val="restart"/>
            <w:shd w:val="clear" w:color="auto" w:fill="BDD7EE"/>
            <w:vAlign w:val="center"/>
            <w:hideMark/>
          </w:tcPr>
          <w:p w:rsidRPr="00FE48E2" w:rsidR="00D87E44" w:rsidRDefault="00D87E44" w14:paraId="15458BB3"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3118" w:type="dxa"/>
            <w:gridSpan w:val="3"/>
            <w:tcBorders>
              <w:bottom w:val="single" w:color="auto" w:sz="4" w:space="0"/>
            </w:tcBorders>
            <w:shd w:val="clear" w:color="auto" w:fill="BDD7EE"/>
            <w:vAlign w:val="center"/>
            <w:hideMark/>
          </w:tcPr>
          <w:p w:rsidRPr="00FE48E2" w:rsidR="00D87E44" w:rsidRDefault="00D87E44" w14:paraId="15458BB4"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833" w:type="dxa"/>
            <w:gridSpan w:val="2"/>
            <w:tcBorders>
              <w:bottom w:val="single" w:color="auto" w:sz="4" w:space="0"/>
            </w:tcBorders>
            <w:shd w:val="clear" w:color="auto" w:fill="BDD7EE"/>
            <w:vAlign w:val="center"/>
            <w:hideMark/>
          </w:tcPr>
          <w:p w:rsidRPr="00FE48E2" w:rsidR="00D87E44" w:rsidRDefault="00D87E44" w14:paraId="15458BB5"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843" w:type="dxa"/>
            <w:vMerge w:val="restart"/>
            <w:shd w:val="clear" w:color="auto" w:fill="BDD7EE"/>
            <w:vAlign w:val="center"/>
            <w:hideMark/>
          </w:tcPr>
          <w:p w:rsidRPr="00FE48E2" w:rsidR="00D87E44" w:rsidRDefault="00D87E44" w14:paraId="15458BB6"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rsidTr="4A45BCA2" w14:paraId="15458BC3" w14:textId="77777777">
        <w:trPr>
          <w:trHeight w:val="458"/>
          <w:tblHeader/>
          <w:jc w:val="center"/>
        </w:trPr>
        <w:tc>
          <w:tcPr>
            <w:tcW w:w="704" w:type="dxa"/>
            <w:vMerge/>
            <w:vAlign w:val="center"/>
            <w:hideMark/>
          </w:tcPr>
          <w:p w:rsidRPr="00FE48E2" w:rsidR="00D87E44" w:rsidRDefault="00D87E44" w14:paraId="15458BB8" w14:textId="77777777">
            <w:pPr>
              <w:spacing w:before="0" w:after="0" w:line="240" w:lineRule="auto"/>
              <w:rPr>
                <w:rFonts w:eastAsia="Times New Roman"/>
                <w:b/>
                <w:noProof/>
                <w:sz w:val="18"/>
                <w:szCs w:val="18"/>
                <w:lang w:val="en-IE"/>
              </w:rPr>
            </w:pPr>
          </w:p>
        </w:tc>
        <w:tc>
          <w:tcPr>
            <w:tcW w:w="1701" w:type="dxa"/>
            <w:vMerge/>
            <w:vAlign w:val="center"/>
            <w:hideMark/>
          </w:tcPr>
          <w:p w:rsidRPr="00FE48E2" w:rsidR="00D87E44" w:rsidRDefault="00D87E44" w14:paraId="15458BB9" w14:textId="77777777">
            <w:pPr>
              <w:spacing w:before="0" w:after="0" w:line="240" w:lineRule="auto"/>
              <w:rPr>
                <w:rFonts w:eastAsia="Times New Roman"/>
                <w:b/>
                <w:noProof/>
                <w:sz w:val="18"/>
                <w:szCs w:val="18"/>
                <w:lang w:val="en-IE"/>
              </w:rPr>
            </w:pPr>
          </w:p>
        </w:tc>
        <w:tc>
          <w:tcPr>
            <w:tcW w:w="1134" w:type="dxa"/>
            <w:vMerge/>
            <w:vAlign w:val="center"/>
            <w:hideMark/>
          </w:tcPr>
          <w:p w:rsidRPr="00FE48E2" w:rsidR="00D87E44" w:rsidRDefault="00D87E44" w14:paraId="15458BBA" w14:textId="77777777">
            <w:pPr>
              <w:spacing w:before="0" w:after="0" w:line="240" w:lineRule="auto"/>
              <w:rPr>
                <w:rFonts w:eastAsia="Times New Roman"/>
                <w:b/>
                <w:noProof/>
                <w:sz w:val="18"/>
                <w:szCs w:val="18"/>
                <w:lang w:val="en-IE"/>
              </w:rPr>
            </w:pPr>
          </w:p>
        </w:tc>
        <w:tc>
          <w:tcPr>
            <w:tcW w:w="1645" w:type="dxa"/>
            <w:vMerge/>
            <w:vAlign w:val="center"/>
            <w:hideMark/>
          </w:tcPr>
          <w:p w:rsidRPr="00FE48E2" w:rsidR="00D87E44" w:rsidRDefault="00D87E44" w14:paraId="15458BBB" w14:textId="77777777">
            <w:pPr>
              <w:spacing w:before="0" w:after="0" w:line="240" w:lineRule="auto"/>
              <w:rPr>
                <w:rFonts w:eastAsia="Times New Roman"/>
                <w:b/>
                <w:noProof/>
                <w:sz w:val="18"/>
                <w:szCs w:val="18"/>
                <w:lang w:val="en-IE"/>
              </w:rPr>
            </w:pPr>
          </w:p>
        </w:tc>
        <w:tc>
          <w:tcPr>
            <w:tcW w:w="1332" w:type="dxa"/>
            <w:vMerge/>
            <w:vAlign w:val="center"/>
            <w:hideMark/>
          </w:tcPr>
          <w:p w:rsidRPr="00FE48E2" w:rsidR="00D87E44" w:rsidRDefault="00D87E44" w14:paraId="15458BBC" w14:textId="77777777">
            <w:pPr>
              <w:spacing w:before="0" w:after="0" w:line="240" w:lineRule="auto"/>
              <w:rPr>
                <w:rFonts w:eastAsia="Times New Roman"/>
                <w:b/>
                <w:noProof/>
                <w:sz w:val="18"/>
                <w:szCs w:val="18"/>
                <w:lang w:val="en-IE"/>
              </w:rPr>
            </w:pPr>
          </w:p>
        </w:tc>
        <w:tc>
          <w:tcPr>
            <w:tcW w:w="1134" w:type="dxa"/>
            <w:shd w:val="clear" w:color="auto" w:fill="BDD7EE"/>
            <w:vAlign w:val="center"/>
            <w:hideMark/>
          </w:tcPr>
          <w:p w:rsidRPr="00174567" w:rsidR="00D87E44" w:rsidRDefault="00D87E44" w14:paraId="15458BBD"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Unit of measure</w:t>
            </w:r>
          </w:p>
        </w:tc>
        <w:tc>
          <w:tcPr>
            <w:tcW w:w="992" w:type="dxa"/>
            <w:shd w:val="clear" w:color="auto" w:fill="BDD7EE"/>
            <w:vAlign w:val="center"/>
            <w:hideMark/>
          </w:tcPr>
          <w:p w:rsidRPr="00174567" w:rsidR="00D87E44" w:rsidRDefault="00D87E44" w14:paraId="15458BBE"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Baseline </w:t>
            </w:r>
          </w:p>
        </w:tc>
        <w:tc>
          <w:tcPr>
            <w:tcW w:w="992" w:type="dxa"/>
            <w:shd w:val="clear" w:color="auto" w:fill="BDD7EE"/>
            <w:vAlign w:val="center"/>
            <w:hideMark/>
          </w:tcPr>
          <w:p w:rsidRPr="00174567" w:rsidR="00D87E44" w:rsidRDefault="00D87E44" w14:paraId="15458BBF"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 xml:space="preserve">Goal </w:t>
            </w:r>
          </w:p>
        </w:tc>
        <w:tc>
          <w:tcPr>
            <w:tcW w:w="993" w:type="dxa"/>
            <w:shd w:val="clear" w:color="auto" w:fill="BDD7EE"/>
            <w:vAlign w:val="center"/>
            <w:hideMark/>
          </w:tcPr>
          <w:p w:rsidRPr="00174567" w:rsidR="00D87E44" w:rsidRDefault="00D87E44" w14:paraId="15458BC0"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Quarter</w:t>
            </w:r>
          </w:p>
        </w:tc>
        <w:tc>
          <w:tcPr>
            <w:tcW w:w="840" w:type="dxa"/>
            <w:shd w:val="clear" w:color="auto" w:fill="BDD7EE"/>
            <w:vAlign w:val="center"/>
            <w:hideMark/>
          </w:tcPr>
          <w:p w:rsidRPr="00174567" w:rsidR="00D87E44" w:rsidRDefault="00D87E44" w14:paraId="15458BC1" w14:textId="77777777">
            <w:pPr>
              <w:spacing w:before="0" w:after="0" w:line="240" w:lineRule="auto"/>
              <w:jc w:val="center"/>
              <w:rPr>
                <w:rFonts w:eastAsia="Times New Roman"/>
                <w:b/>
                <w:noProof/>
                <w:sz w:val="18"/>
                <w:szCs w:val="18"/>
                <w:lang w:val="en-IE"/>
              </w:rPr>
            </w:pPr>
            <w:r w:rsidRPr="00174567">
              <w:rPr>
                <w:rFonts w:eastAsia="Times New Roman"/>
                <w:b/>
                <w:noProof/>
                <w:sz w:val="18"/>
                <w:szCs w:val="18"/>
                <w:lang w:val="en-IE"/>
              </w:rPr>
              <w:t>Year</w:t>
            </w:r>
          </w:p>
        </w:tc>
        <w:tc>
          <w:tcPr>
            <w:tcW w:w="3843" w:type="dxa"/>
            <w:vMerge/>
            <w:vAlign w:val="center"/>
            <w:hideMark/>
          </w:tcPr>
          <w:p w:rsidRPr="00FE48E2" w:rsidR="00D87E44" w:rsidRDefault="00D87E44" w14:paraId="15458BC2" w14:textId="77777777">
            <w:pPr>
              <w:spacing w:before="0" w:after="0" w:line="240" w:lineRule="auto"/>
              <w:rPr>
                <w:rFonts w:eastAsia="Times New Roman"/>
                <w:b/>
                <w:noProof/>
                <w:sz w:val="18"/>
                <w:szCs w:val="18"/>
                <w:lang w:val="en-IE"/>
              </w:rPr>
            </w:pPr>
          </w:p>
        </w:tc>
      </w:tr>
      <w:tr w:rsidRPr="00FE48E2" w:rsidR="00E3458A" w:rsidTr="4A45BCA2" w14:paraId="15458BD6"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4" w14:textId="77777777">
            <w:pPr>
              <w:spacing w:before="0" w:after="0" w:line="240" w:lineRule="auto"/>
              <w:rPr>
                <w:rFonts w:eastAsia="Times New Roman"/>
                <w:noProof/>
                <w:color w:val="004300"/>
                <w:sz w:val="18"/>
                <w:szCs w:val="18"/>
                <w:lang w:val="en-IE"/>
              </w:rPr>
            </w:pPr>
            <w:r w:rsidRPr="0006392C">
              <w:rPr>
                <w:rFonts w:eastAsia="Times New Roman"/>
                <w:noProof/>
                <w:color w:val="004300"/>
                <w:sz w:val="18"/>
                <w:szCs w:val="18"/>
                <w:lang w:val="en-IE"/>
              </w:rPr>
              <w:t>329</w:t>
            </w:r>
          </w:p>
        </w:tc>
        <w:tc>
          <w:tcPr>
            <w:tcW w:w="1701"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Reform 1: National Action Plan for Clean Mobility and deployment targets for zero-emission mobility</w:t>
            </w:r>
            <w:r w:rsidRPr="00FE48E2" w:rsidDel="00ED0CB6">
              <w:rPr>
                <w:rFonts w:eastAsia="Times New Roman"/>
                <w:noProof/>
                <w:color w:val="004300"/>
                <w:sz w:val="18"/>
                <w:szCs w:val="18"/>
                <w:lang w:val="en-IE"/>
              </w:rPr>
              <w:t xml:space="preserve"> </w:t>
            </w:r>
          </w:p>
          <w:p w:rsidRPr="00FE48E2" w:rsidR="00D87E44" w:rsidRDefault="00D87E44" w14:paraId="15458BC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Revision of the National Action Plan for Clean Mobility</w:t>
            </w:r>
          </w:p>
        </w:tc>
        <w:tc>
          <w:tcPr>
            <w:tcW w:w="1332"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Adoption by the Government of the revision of the National Action Plan for Clean </w:t>
            </w:r>
            <w:r w:rsidRPr="00FE48E2">
              <w:rPr>
                <w:rFonts w:eastAsia="Times New Roman"/>
                <w:noProof/>
                <w:color w:val="004300"/>
                <w:sz w:val="18"/>
                <w:szCs w:val="18"/>
                <w:lang w:val="en-IE"/>
              </w:rPr>
              <w:t>Mobility</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CA"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CB"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CC"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840"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843" w:type="dxa"/>
            <w:tcBorders>
              <w:top w:val="single" w:color="auto" w:sz="4" w:space="0"/>
              <w:left w:val="single" w:color="auto" w:sz="4" w:space="0"/>
              <w:bottom w:val="single" w:color="auto" w:sz="4" w:space="0"/>
              <w:right w:val="single" w:color="auto" w:sz="4" w:space="0"/>
            </w:tcBorders>
            <w:shd w:val="clear" w:color="auto" w:fill="C6EFCE"/>
            <w:hideMark/>
          </w:tcPr>
          <w:p w:rsidRPr="00FE48E2" w:rsidR="00D87E44" w:rsidRDefault="00D87E44" w14:paraId="15458BC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The Government shall adopt a revision of the National Action Plan for Clean Mobility, defining a pathway for Czechia to accelerate the deployment of zero-emission mobility and the roll-out of relevant recharging and hydrogen refuelling infrastructure.</w:t>
            </w:r>
          </w:p>
          <w:p w:rsidRPr="00FE48E2" w:rsidR="00D87E44" w:rsidRDefault="00D87E44" w14:paraId="15458BD0"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The Action Plan shall be consistent with relevant EU legal requirements (such as, the Alternative Fuel Infrastructure Regulation, Renewable Energy Directive, Clean Vehicles Directive, the Trans-European Transport Network Regulation) and with Czechia’s National Energy and Climate Plan</w:t>
            </w:r>
            <w:r>
              <w:rPr>
                <w:rFonts w:eastAsia="Times New Roman"/>
                <w:noProof/>
                <w:color w:val="004300"/>
                <w:sz w:val="18"/>
                <w:szCs w:val="18"/>
                <w:lang w:val="en-IE"/>
              </w:rPr>
              <w:t xml:space="preserve"> and the National Air Pollution Control Programme</w:t>
            </w:r>
            <w:r w:rsidRPr="00FE48E2">
              <w:rPr>
                <w:rFonts w:eastAsia="Times New Roman"/>
                <w:noProof/>
                <w:color w:val="004300"/>
                <w:sz w:val="18"/>
                <w:szCs w:val="18"/>
                <w:lang w:val="en-IE"/>
              </w:rPr>
              <w:t xml:space="preserve">. </w:t>
            </w:r>
          </w:p>
          <w:p w:rsidRPr="00FE48E2" w:rsidR="00D87E44" w:rsidRDefault="00D87E44" w14:paraId="15458BD1" w14:textId="77777777">
            <w:pPr>
              <w:shd w:val="clear" w:color="auto" w:fill="C6EFCE"/>
              <w:spacing w:after="0" w:line="240" w:lineRule="auto"/>
              <w:textAlignment w:val="baseline"/>
              <w:rPr>
                <w:rFonts w:eastAsia="Times New Roman"/>
                <w:noProof/>
                <w:color w:val="004300"/>
                <w:sz w:val="18"/>
                <w:szCs w:val="18"/>
                <w:lang w:val="en-IE"/>
              </w:rPr>
            </w:pPr>
            <w:r w:rsidRPr="12191D7C">
              <w:rPr>
                <w:rFonts w:eastAsia="Times New Roman"/>
                <w:noProof/>
                <w:color w:val="004300"/>
                <w:sz w:val="18"/>
                <w:szCs w:val="18"/>
                <w:lang w:val="en-IE"/>
              </w:rPr>
              <w:t>The Action Plan shall define dedicated targets for the increase of number of zero-emission vehicles registered in Czechia in respective categories (M1-passenger cars, N1 - light commercial vehicles; N2 and N3 - heavy-duty vehicles, based on UNECE standards), to be met by 31 December 2025 and 31 December 2030. The dedicated targets for zero-emission vehicle registrations for 2025 shall reflect a requirement of reaching an increase of at least 70% in the number of zero-emission vehicles registered in the resp</w:t>
            </w:r>
            <w:r w:rsidRPr="12191D7C">
              <w:rPr>
                <w:rFonts w:eastAsia="Times New Roman"/>
                <w:noProof/>
                <w:color w:val="004300"/>
                <w:sz w:val="18"/>
                <w:szCs w:val="18"/>
                <w:lang w:val="en-IE"/>
              </w:rPr>
              <w:t>ective vehicle categories compared to the 2022 baseline.</w:t>
            </w:r>
          </w:p>
          <w:p w:rsidRPr="00FE48E2" w:rsidR="00D87E44" w:rsidRDefault="00D87E44" w14:paraId="15458BD2"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The Action Plan shall define dedicated targets for charging infrastructure and hydrogen refuelling stations, in line with relevant legal requirements of the Alternative Fuels Infrastructure Regulation.</w:t>
            </w:r>
          </w:p>
          <w:p w:rsidRPr="00FE48E2" w:rsidR="00D87E44" w:rsidRDefault="00D87E44" w14:paraId="15458BD3"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 xml:space="preserve">The Action Plan shall include a list of measures to provide financial and fiscal incentives to further incentivise deployment of zero-emission vehicles and infrastructure. </w:t>
            </w:r>
          </w:p>
          <w:p w:rsidR="00D87E44" w:rsidRDefault="00D87E44" w14:paraId="15458BD4"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lastRenderedPageBreak/>
              <w:t>The Action Plan shall also present a list of additional measures aimed at creating a conducive environment for deployment and operation of recharging infrastructure and hydrogen refuelling station, notably easing the construction, permitting, and operation for the relevant infrastructure.</w:t>
            </w:r>
          </w:p>
          <w:p w:rsidRPr="00FE48E2" w:rsidR="00D87E44" w:rsidRDefault="00D87E44" w14:paraId="15458BD5" w14:textId="77777777">
            <w:pPr>
              <w:spacing w:after="0" w:line="240" w:lineRule="auto"/>
              <w:rPr>
                <w:rFonts w:eastAsia="Times New Roman"/>
                <w:noProof/>
                <w:color w:val="004300"/>
                <w:sz w:val="18"/>
                <w:szCs w:val="18"/>
                <w:lang w:val="en-IE"/>
              </w:rPr>
            </w:pPr>
            <w:r w:rsidRPr="00FE48E2">
              <w:rPr>
                <w:rFonts w:eastAsia="Times New Roman"/>
                <w:noProof/>
                <w:color w:val="004300"/>
                <w:sz w:val="18"/>
                <w:szCs w:val="18"/>
                <w:lang w:val="en-IE"/>
              </w:rPr>
              <w:t>Relevant stakeholders, such as industry representatives and non-government organisations, shall be consulted on the draft Action Plan before its finalisation.</w:t>
            </w:r>
          </w:p>
        </w:tc>
      </w:tr>
      <w:tr w:rsidRPr="00FE48E2" w:rsidR="00E3458A" w:rsidTr="4A45BCA2" w14:paraId="15458BE2"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7" w14:textId="77777777">
            <w:pPr>
              <w:spacing w:before="0" w:after="0" w:line="240" w:lineRule="auto"/>
              <w:rPr>
                <w:rFonts w:eastAsia="Times New Roman"/>
                <w:noProof/>
                <w:color w:val="004300"/>
                <w:sz w:val="18"/>
                <w:szCs w:val="18"/>
                <w:lang w:val="en-IE"/>
              </w:rPr>
            </w:pPr>
            <w:r w:rsidRPr="1B282876">
              <w:rPr>
                <w:rFonts w:eastAsia="Times New Roman"/>
                <w:noProof/>
                <w:color w:val="004300"/>
                <w:sz w:val="18"/>
                <w:szCs w:val="18"/>
                <w:lang w:val="en-IE"/>
              </w:rPr>
              <w:lastRenderedPageBreak/>
              <w:t>330</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Reform 1: National Action Plan for </w:t>
            </w:r>
            <w:r w:rsidRPr="00FE48E2">
              <w:rPr>
                <w:rFonts w:eastAsia="Times New Roman"/>
                <w:noProof/>
                <w:color w:val="004300"/>
                <w:sz w:val="18"/>
                <w:szCs w:val="18"/>
                <w:lang w:val="en-IE"/>
              </w:rPr>
              <w:t>Clean Mobility and deployment targets for zero-emission mobility</w:t>
            </w:r>
            <w:r w:rsidRPr="00FE48E2" w:rsidDel="00ED0CB6">
              <w:rPr>
                <w:rFonts w:eastAsia="Times New Roman"/>
                <w:noProof/>
                <w:color w:val="004300"/>
                <w:sz w:val="18"/>
                <w:szCs w:val="18"/>
                <w:lang w:val="en-IE"/>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Target</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Increasing the number of zero-emission vehicles registered</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B" w14:textId="77777777">
            <w:pPr>
              <w:spacing w:before="0" w:after="0" w:line="240" w:lineRule="auto"/>
              <w:rPr>
                <w:rFonts w:eastAsia="Times New Roman"/>
                <w:noProof/>
                <w:color w:val="004300"/>
                <w:sz w:val="18"/>
                <w:szCs w:val="18"/>
                <w:lang w:val="en-IE"/>
              </w:rPr>
            </w:pP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Percentage</w:t>
            </w: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0</w:t>
            </w: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70%</w:t>
            </w: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DF"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Q2 </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Pr>
                <w:rFonts w:eastAsia="Times New Roman"/>
                <w:noProof/>
                <w:color w:val="004300"/>
                <w:sz w:val="18"/>
                <w:szCs w:val="18"/>
                <w:lang w:val="en-IE"/>
              </w:rPr>
              <w:t>5</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P="00E3458A" w:rsidRDefault="00D87E44" w14:paraId="15458BE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The target refers to a minimum percentage increase in the number of zero-emission </w:t>
            </w:r>
            <w:r w:rsidRPr="00FE48E2">
              <w:rPr>
                <w:rFonts w:eastAsia="Times New Roman"/>
                <w:noProof/>
                <w:color w:val="004300"/>
                <w:sz w:val="18"/>
                <w:szCs w:val="18"/>
                <w:lang w:val="en-IE"/>
              </w:rPr>
              <w:t>vehicles registered in respective vehicle categories (M1 -</w:t>
            </w:r>
            <w:r>
              <w:rPr>
                <w:rFonts w:eastAsia="Times New Roman"/>
                <w:noProof/>
                <w:color w:val="004300"/>
                <w:sz w:val="18"/>
                <w:szCs w:val="18"/>
                <w:lang w:val="en-IE"/>
              </w:rPr>
              <w:t xml:space="preserve"> </w:t>
            </w:r>
            <w:r w:rsidRPr="00FE48E2">
              <w:rPr>
                <w:rFonts w:eastAsia="Times New Roman"/>
                <w:noProof/>
                <w:color w:val="004300"/>
                <w:sz w:val="18"/>
                <w:szCs w:val="18"/>
                <w:lang w:val="en-IE"/>
              </w:rPr>
              <w:t>passenger cars, N1 - light commercial vehicles; N2 and N3 - heavy-duty vehicles, based on UNECE standards) by 31 December 202</w:t>
            </w:r>
            <w:r>
              <w:rPr>
                <w:rFonts w:eastAsia="Times New Roman"/>
                <w:noProof/>
                <w:color w:val="004300"/>
                <w:sz w:val="18"/>
                <w:szCs w:val="18"/>
                <w:lang w:val="en-IE"/>
              </w:rPr>
              <w:t>4</w:t>
            </w:r>
            <w:r w:rsidRPr="00FE48E2">
              <w:rPr>
                <w:rFonts w:eastAsia="Times New Roman"/>
                <w:noProof/>
                <w:color w:val="004300"/>
                <w:sz w:val="18"/>
                <w:szCs w:val="18"/>
                <w:lang w:val="en-IE"/>
              </w:rPr>
              <w:t xml:space="preserve"> in Czechia compared to the 2022 baseline.</w:t>
            </w:r>
          </w:p>
        </w:tc>
      </w:tr>
      <w:tr w:rsidRPr="00FE48E2" w:rsidR="00E3458A" w:rsidTr="4A45BCA2" w14:paraId="15458BF0"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3" w14:textId="77777777">
            <w:pPr>
              <w:spacing w:before="0" w:after="0" w:line="240" w:lineRule="auto"/>
              <w:rPr>
                <w:rFonts w:eastAsia="Times New Roman"/>
                <w:noProof/>
                <w:color w:val="004300"/>
                <w:sz w:val="18"/>
                <w:szCs w:val="18"/>
                <w:lang w:val="en-IE"/>
              </w:rPr>
            </w:pPr>
            <w:r w:rsidRPr="002B6CA7">
              <w:rPr>
                <w:rFonts w:eastAsia="Times New Roman"/>
                <w:noProof/>
                <w:color w:val="004300"/>
                <w:sz w:val="18"/>
                <w:szCs w:val="18"/>
                <w:lang w:val="en-IE"/>
              </w:rPr>
              <w:t>332</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Reform 2: Tax </w:t>
            </w:r>
            <w:r w:rsidRPr="00FE48E2">
              <w:rPr>
                <w:rFonts w:eastAsia="Times New Roman"/>
                <w:noProof/>
                <w:color w:val="004300"/>
                <w:sz w:val="18"/>
                <w:szCs w:val="18"/>
                <w:lang w:val="en-IE"/>
              </w:rPr>
              <w:t>measures in support of zero-emission mobility</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Milestone </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6"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Tax exemptions for promotion of deployment of zero-emission vehicles in the private companies</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7"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Entry into force of amendments of Income Tax Act</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8"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9"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A"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E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The amended Income Tax Act shall set out an accelerated depreciation for all zero emission vehicles of all vehicle </w:t>
            </w:r>
            <w:r>
              <w:rPr>
                <w:rFonts w:eastAsia="Times New Roman"/>
                <w:noProof/>
                <w:color w:val="004300"/>
                <w:sz w:val="18"/>
                <w:szCs w:val="18"/>
                <w:lang w:val="en-IE"/>
              </w:rPr>
              <w:t>categories</w:t>
            </w:r>
            <w:r w:rsidRPr="00FE48E2">
              <w:rPr>
                <w:rFonts w:eastAsia="Times New Roman"/>
                <w:noProof/>
                <w:color w:val="004300"/>
                <w:sz w:val="18"/>
                <w:szCs w:val="18"/>
                <w:lang w:val="en-IE"/>
              </w:rPr>
              <w:t xml:space="preserve"> (M1 -passenger cars, N1 - light commercial vehicles; N2 and N3 - heavy-duty vehicles, based on UNECE standards) for corporate fleets</w:t>
            </w:r>
            <w:r>
              <w:rPr>
                <w:rFonts w:eastAsia="Times New Roman"/>
                <w:noProof/>
                <w:color w:val="004300"/>
                <w:sz w:val="18"/>
                <w:szCs w:val="18"/>
                <w:lang w:val="en-IE"/>
              </w:rPr>
              <w:t>.</w:t>
            </w:r>
          </w:p>
          <w:p w:rsidRPr="00FE48E2" w:rsidR="00D87E44" w:rsidRDefault="00D87E44" w14:paraId="15458BEE"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 xml:space="preserve">The Income Tax Act shall also be revised to change in-kind benefits for company car schemes based on CO2 emission performance of passenger cars. The amendment shall set out a differentiation in the in-kind benefits scheme between zero-emission vehicles and other types of vehicles, with zero-emission vehicles receiving the most advantageous treatment. </w:t>
            </w:r>
          </w:p>
          <w:p w:rsidRPr="00584C96" w:rsidR="00D87E44" w:rsidRDefault="00D87E44" w14:paraId="15458BEF" w14:textId="77777777">
            <w:pPr>
              <w:shd w:val="clear" w:color="auto" w:fill="C6EFCE"/>
              <w:spacing w:after="0" w:line="240" w:lineRule="auto"/>
              <w:textAlignment w:val="baseline"/>
              <w:rPr>
                <w:rFonts w:eastAsia="Times New Roman"/>
                <w:noProof/>
                <w:color w:val="004300"/>
                <w:sz w:val="18"/>
                <w:szCs w:val="18"/>
                <w:highlight w:val="magenta"/>
                <w:lang w:val="en-IE"/>
              </w:rPr>
            </w:pPr>
            <w:r w:rsidRPr="006A438D">
              <w:rPr>
                <w:rFonts w:eastAsia="Times New Roman"/>
                <w:noProof/>
                <w:color w:val="004300"/>
                <w:sz w:val="18"/>
                <w:szCs w:val="18"/>
                <w:lang w:val="en-IE"/>
              </w:rPr>
              <w:t>The amendments shall provide incentives for both employees and employers</w:t>
            </w:r>
            <w:r w:rsidRPr="3674A698">
              <w:rPr>
                <w:rFonts w:eastAsia="Times New Roman"/>
                <w:noProof/>
                <w:color w:val="004300"/>
                <w:sz w:val="18"/>
                <w:szCs w:val="18"/>
                <w:lang w:val="en-IE"/>
              </w:rPr>
              <w:t>.</w:t>
            </w:r>
          </w:p>
        </w:tc>
      </w:tr>
      <w:tr w:rsidRPr="00FE48E2" w:rsidR="00E3458A" w:rsidTr="4A45BCA2" w14:paraId="15458BFF"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1" w14:textId="77777777">
            <w:pPr>
              <w:spacing w:before="0" w:after="0" w:line="240" w:lineRule="auto"/>
              <w:rPr>
                <w:rFonts w:eastAsia="Times New Roman"/>
                <w:noProof/>
                <w:color w:val="004300"/>
                <w:sz w:val="18"/>
                <w:szCs w:val="18"/>
                <w:lang w:val="en-IE"/>
              </w:rPr>
            </w:pPr>
            <w:r w:rsidRPr="002B6CA7">
              <w:rPr>
                <w:rFonts w:eastAsia="Times New Roman"/>
                <w:noProof/>
                <w:color w:val="004300"/>
                <w:sz w:val="18"/>
                <w:szCs w:val="18"/>
                <w:lang w:val="en-IE"/>
              </w:rPr>
              <w:t>333</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Reform 3: Improving the regulatory </w:t>
            </w:r>
            <w:r w:rsidRPr="00FE48E2">
              <w:rPr>
                <w:rFonts w:eastAsia="Times New Roman"/>
                <w:noProof/>
                <w:color w:val="004300"/>
                <w:sz w:val="18"/>
                <w:szCs w:val="18"/>
                <w:lang w:val="en-IE"/>
              </w:rPr>
              <w:lastRenderedPageBreak/>
              <w:t>framework for renewable hydrogen</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3"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lastRenderedPageBreak/>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Revision of </w:t>
            </w:r>
            <w:r>
              <w:rPr>
                <w:rFonts w:eastAsia="Times New Roman"/>
                <w:noProof/>
                <w:color w:val="004300"/>
                <w:sz w:val="18"/>
                <w:szCs w:val="18"/>
                <w:lang w:val="en-IE"/>
              </w:rPr>
              <w:t xml:space="preserve">the Czech </w:t>
            </w:r>
            <w:r w:rsidRPr="00FE48E2">
              <w:rPr>
                <w:rFonts w:eastAsia="Times New Roman"/>
                <w:noProof/>
                <w:color w:val="004300"/>
                <w:sz w:val="18"/>
                <w:szCs w:val="18"/>
                <w:lang w:val="en-IE"/>
              </w:rPr>
              <w:t>Hydrogen Strategy</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Adoption by the Government</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6"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7"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8"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Q2</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BFB" w14:textId="77777777">
            <w:pPr>
              <w:spacing w:before="0" w:after="0" w:line="240" w:lineRule="auto"/>
              <w:rPr>
                <w:rFonts w:eastAsia="Times New Roman"/>
                <w:noProof/>
                <w:color w:val="004300"/>
                <w:sz w:val="18"/>
                <w:szCs w:val="18"/>
                <w:lang w:val="en-IE"/>
              </w:rPr>
            </w:pPr>
            <w:r w:rsidRPr="00AE6459">
              <w:rPr>
                <w:rFonts w:eastAsia="Times New Roman"/>
                <w:noProof/>
                <w:color w:val="006100"/>
                <w:sz w:val="18"/>
                <w:szCs w:val="18"/>
                <w:lang w:val="en-IE"/>
              </w:rPr>
              <w:t>The</w:t>
            </w:r>
            <w:r w:rsidRPr="00FE48E2">
              <w:rPr>
                <w:rFonts w:eastAsia="Times New Roman"/>
                <w:noProof/>
                <w:color w:val="004300"/>
                <w:sz w:val="18"/>
                <w:szCs w:val="18"/>
                <w:lang w:val="en-IE"/>
              </w:rPr>
              <w:t xml:space="preserve"> </w:t>
            </w:r>
            <w:r>
              <w:rPr>
                <w:rFonts w:eastAsia="Times New Roman"/>
                <w:noProof/>
                <w:color w:val="004300"/>
                <w:sz w:val="18"/>
                <w:szCs w:val="18"/>
                <w:lang w:val="en-IE"/>
              </w:rPr>
              <w:t>Czech</w:t>
            </w:r>
            <w:r w:rsidRPr="00FE48E2">
              <w:rPr>
                <w:rFonts w:eastAsia="Times New Roman"/>
                <w:noProof/>
                <w:color w:val="004300"/>
                <w:sz w:val="18"/>
                <w:szCs w:val="18"/>
                <w:lang w:val="en-IE"/>
              </w:rPr>
              <w:t xml:space="preserve"> Hydrogen Strategy shall be revised to define the priorities of developing primarily a </w:t>
            </w:r>
            <w:r w:rsidRPr="00FE48E2">
              <w:rPr>
                <w:rFonts w:eastAsia="Times New Roman"/>
                <w:noProof/>
                <w:color w:val="004300"/>
                <w:sz w:val="18"/>
                <w:szCs w:val="18"/>
                <w:lang w:val="en-IE"/>
              </w:rPr>
              <w:lastRenderedPageBreak/>
              <w:t xml:space="preserve">renewable hydrogen-based ecosystem in Czechia. The revised strategy shall be based on an analysis of the various </w:t>
            </w:r>
            <w:r w:rsidRPr="264650F5">
              <w:rPr>
                <w:rFonts w:eastAsia="Times New Roman"/>
                <w:noProof/>
                <w:color w:val="004300"/>
                <w:sz w:val="18"/>
                <w:szCs w:val="18"/>
                <w:lang w:val="en-IE"/>
              </w:rPr>
              <w:t>segments</w:t>
            </w:r>
            <w:r w:rsidRPr="00FE48E2">
              <w:rPr>
                <w:rFonts w:eastAsia="Times New Roman"/>
                <w:noProof/>
                <w:color w:val="004300"/>
                <w:sz w:val="18"/>
                <w:szCs w:val="18"/>
                <w:lang w:val="en-IE"/>
              </w:rPr>
              <w:t xml:space="preserve"> of the Czech hydrogen economy and take into account relevant EU requirements. The revision shall define dedicated targets for the production and utilisation of hydrogen, with a primary focus on renewable hydrogen.</w:t>
            </w:r>
          </w:p>
          <w:p w:rsidRPr="00FE48E2" w:rsidR="00D87E44" w:rsidRDefault="00D87E44" w14:paraId="15458BFC"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The revised Hydrogen Strategy shall be accompanied by a list of primary legislation, secondary legislation, technical norms, and methodologies whose adoption</w:t>
            </w:r>
            <w:r>
              <w:rPr>
                <w:rFonts w:eastAsia="Times New Roman"/>
                <w:noProof/>
                <w:color w:val="004300"/>
                <w:sz w:val="18"/>
                <w:szCs w:val="18"/>
                <w:lang w:val="en-IE"/>
              </w:rPr>
              <w:t xml:space="preserve"> or amendment</w:t>
            </w:r>
            <w:r w:rsidRPr="00FE48E2">
              <w:rPr>
                <w:rFonts w:eastAsia="Times New Roman"/>
                <w:noProof/>
                <w:color w:val="004300"/>
                <w:sz w:val="18"/>
                <w:szCs w:val="18"/>
                <w:lang w:val="en-IE"/>
              </w:rPr>
              <w:t xml:space="preserve"> is necessary to ensure alignment with the EU legal framework</w:t>
            </w:r>
            <w:r>
              <w:rPr>
                <w:rFonts w:eastAsia="Times New Roman"/>
                <w:noProof/>
                <w:color w:val="004300"/>
                <w:sz w:val="18"/>
                <w:szCs w:val="18"/>
                <w:lang w:val="en-IE"/>
              </w:rPr>
              <w:t xml:space="preserve"> relating to hydrogen</w:t>
            </w:r>
            <w:r w:rsidRPr="00FE48E2">
              <w:rPr>
                <w:rFonts w:eastAsia="Times New Roman"/>
                <w:noProof/>
                <w:color w:val="004300"/>
                <w:sz w:val="18"/>
                <w:szCs w:val="18"/>
                <w:lang w:val="en-IE"/>
              </w:rPr>
              <w:t>,</w:t>
            </w:r>
            <w:r w:rsidRPr="00FE48E2" w:rsidDel="00957EAC">
              <w:rPr>
                <w:rFonts w:eastAsia="Times New Roman"/>
                <w:noProof/>
                <w:color w:val="004300"/>
                <w:sz w:val="18"/>
                <w:szCs w:val="18"/>
                <w:lang w:val="en-IE"/>
              </w:rPr>
              <w:t xml:space="preserve"> </w:t>
            </w:r>
            <w:r>
              <w:rPr>
                <w:rFonts w:eastAsia="Times New Roman"/>
                <w:noProof/>
                <w:color w:val="004300"/>
                <w:sz w:val="18"/>
                <w:szCs w:val="18"/>
                <w:lang w:val="en-IE"/>
              </w:rPr>
              <w:t>especially</w:t>
            </w:r>
            <w:r w:rsidRPr="00FE48E2">
              <w:rPr>
                <w:rFonts w:eastAsia="Times New Roman"/>
                <w:noProof/>
                <w:color w:val="004300"/>
                <w:sz w:val="18"/>
                <w:szCs w:val="18"/>
                <w:lang w:val="en-IE"/>
              </w:rPr>
              <w:t xml:space="preserve"> the Renewable Energy Directive</w:t>
            </w:r>
            <w:r>
              <w:rPr>
                <w:rFonts w:eastAsia="Times New Roman"/>
                <w:noProof/>
                <w:color w:val="004300"/>
                <w:sz w:val="18"/>
                <w:szCs w:val="18"/>
                <w:lang w:val="en-IE"/>
              </w:rPr>
              <w:t>, as well as to provide enabling conditions for the development of the Czech hydrogen ecosystem. The list shall include expected indicative timelines for the adoption or amendments of such measures.</w:t>
            </w:r>
          </w:p>
          <w:p w:rsidRPr="00FE48E2" w:rsidR="00D87E44" w:rsidRDefault="00D87E44" w14:paraId="15458BFD"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The revision shall also include an action plan which aims to define public funding priorities for different segments of the hydrogen ecosystem and set out timelines for launching relevant funding calls.</w:t>
            </w:r>
          </w:p>
          <w:p w:rsidRPr="00FE48E2" w:rsidR="00D87E44" w:rsidRDefault="00D87E44" w14:paraId="15458BFE" w14:textId="77777777">
            <w:pPr>
              <w:shd w:val="clear" w:color="auto" w:fill="C6EFCE"/>
              <w:spacing w:after="0" w:line="240" w:lineRule="auto"/>
              <w:textAlignment w:val="baseline"/>
              <w:rPr>
                <w:rFonts w:eastAsia="Times New Roman"/>
                <w:noProof/>
                <w:color w:val="004300"/>
                <w:sz w:val="18"/>
                <w:szCs w:val="18"/>
                <w:lang w:val="en-IE"/>
              </w:rPr>
            </w:pPr>
            <w:r w:rsidRPr="00FE48E2">
              <w:rPr>
                <w:rFonts w:eastAsia="Times New Roman"/>
                <w:noProof/>
                <w:color w:val="004300"/>
                <w:sz w:val="18"/>
                <w:szCs w:val="18"/>
                <w:lang w:val="en-IE"/>
              </w:rPr>
              <w:t>The revised Hydrogen Strategy shall also include an assessment and trajectory for suppliers of hydrogen and operators of hydrogen refuelling stations to supply renewable hydrogen at hydrogen refuelling stations in Czechia. Notably, the trajectory shall set a target for Czech hydrogen refuelling stations to cumulatively supply volumes of renewable hydrogen in line with the sub-targets of the Renewable Energy Directive and ensures that hydrogen refuelling stations which received support under General Block Ex</w:t>
            </w:r>
            <w:r w:rsidRPr="00FE48E2">
              <w:rPr>
                <w:rFonts w:eastAsia="Times New Roman"/>
                <w:noProof/>
                <w:color w:val="004300"/>
                <w:sz w:val="18"/>
                <w:szCs w:val="18"/>
                <w:lang w:val="en-IE"/>
              </w:rPr>
              <w:t>emption rules solely supply renewable hydrogen from 2035 onwards.</w:t>
            </w:r>
          </w:p>
        </w:tc>
      </w:tr>
      <w:tr w:rsidRPr="00FE48E2" w:rsidR="00E3458A" w:rsidTr="4A45BCA2" w14:paraId="15458C0F"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0" w14:textId="77777777">
            <w:pPr>
              <w:spacing w:before="0" w:after="0" w:line="240" w:lineRule="auto"/>
              <w:rPr>
                <w:rFonts w:eastAsia="Times New Roman"/>
                <w:noProof/>
                <w:color w:val="004300"/>
                <w:sz w:val="18"/>
                <w:szCs w:val="18"/>
                <w:lang w:val="en-IE"/>
              </w:rPr>
            </w:pPr>
            <w:r w:rsidRPr="1B282876">
              <w:rPr>
                <w:rFonts w:eastAsia="Times New Roman"/>
                <w:noProof/>
                <w:color w:val="004300"/>
                <w:sz w:val="18"/>
                <w:szCs w:val="18"/>
                <w:lang w:val="en-IE"/>
              </w:rPr>
              <w:lastRenderedPageBreak/>
              <w:t>334</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Reform 3: Improving the </w:t>
            </w:r>
            <w:r w:rsidRPr="00FE48E2">
              <w:rPr>
                <w:rFonts w:eastAsia="Times New Roman"/>
                <w:noProof/>
                <w:color w:val="004300"/>
                <w:sz w:val="18"/>
                <w:szCs w:val="18"/>
                <w:lang w:val="en-IE"/>
              </w:rPr>
              <w:t>regulatory framework for renewable hydrogen</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3"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Legislation</w:t>
            </w:r>
            <w:r w:rsidRPr="00FE48E2">
              <w:rPr>
                <w:rFonts w:eastAsia="Times New Roman"/>
                <w:noProof/>
                <w:color w:val="004300"/>
                <w:sz w:val="18"/>
                <w:szCs w:val="18"/>
                <w:lang w:val="en-IE"/>
              </w:rPr>
              <w:t xml:space="preserve"> </w:t>
            </w:r>
            <w:r>
              <w:rPr>
                <w:rFonts w:eastAsia="Times New Roman"/>
                <w:noProof/>
                <w:color w:val="004300"/>
                <w:sz w:val="18"/>
                <w:szCs w:val="18"/>
                <w:lang w:val="en-IE"/>
              </w:rPr>
              <w:t>supporting the</w:t>
            </w:r>
            <w:r w:rsidRPr="00FE48E2">
              <w:rPr>
                <w:rFonts w:eastAsia="Times New Roman"/>
                <w:noProof/>
                <w:color w:val="004300"/>
                <w:sz w:val="18"/>
                <w:szCs w:val="18"/>
                <w:lang w:val="en-IE"/>
              </w:rPr>
              <w:t xml:space="preserve"> uptake of hydrogen</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Entry into force of </w:t>
            </w:r>
            <w:r>
              <w:rPr>
                <w:rFonts w:eastAsia="Times New Roman"/>
                <w:noProof/>
                <w:color w:val="004300"/>
                <w:sz w:val="18"/>
                <w:szCs w:val="18"/>
                <w:lang w:val="en-IE"/>
              </w:rPr>
              <w:t>legislation</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5"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6"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7"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2</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0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2025</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101CF6" w:rsidR="00D87E44" w:rsidRDefault="00D87E44" w14:paraId="15458C0A"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 xml:space="preserve">Primary or secondary legislation </w:t>
            </w:r>
            <w:r w:rsidRPr="00101CF6">
              <w:rPr>
                <w:rFonts w:eastAsia="Times New Roman"/>
                <w:noProof/>
                <w:color w:val="004300"/>
                <w:sz w:val="18"/>
                <w:szCs w:val="18"/>
                <w:lang w:val="en-IE"/>
              </w:rPr>
              <w:t xml:space="preserve">shall enter into force </w:t>
            </w:r>
            <w:r>
              <w:rPr>
                <w:rFonts w:eastAsia="Times New Roman"/>
                <w:noProof/>
                <w:color w:val="004300"/>
                <w:sz w:val="18"/>
                <w:szCs w:val="18"/>
                <w:lang w:val="en-IE"/>
              </w:rPr>
              <w:t>to</w:t>
            </w:r>
            <w:r w:rsidRPr="00101CF6">
              <w:rPr>
                <w:rFonts w:eastAsia="Times New Roman"/>
                <w:noProof/>
                <w:color w:val="004300"/>
                <w:sz w:val="18"/>
                <w:szCs w:val="18"/>
                <w:lang w:val="en-IE"/>
              </w:rPr>
              <w:t>:</w:t>
            </w:r>
          </w:p>
          <w:p w:rsidRPr="002B6CA7" w:rsidR="00D87E44" w:rsidP="00D226F4" w:rsidRDefault="00D87E44" w14:paraId="15458C0B" w14:textId="77777777">
            <w:pPr>
              <w:pStyle w:val="ListParagraph"/>
              <w:numPr>
                <w:ilvl w:val="0"/>
                <w:numId w:val="88"/>
              </w:numPr>
              <w:spacing w:before="0" w:after="0" w:line="240" w:lineRule="auto"/>
              <w:rPr>
                <w:rFonts w:eastAsia="Times New Roman"/>
                <w:noProof/>
                <w:color w:val="004300"/>
                <w:sz w:val="18"/>
                <w:szCs w:val="18"/>
                <w:lang w:val="en-IE"/>
              </w:rPr>
            </w:pPr>
            <w:r w:rsidRPr="002B6CA7">
              <w:rPr>
                <w:rFonts w:eastAsia="Times New Roman"/>
                <w:noProof/>
                <w:color w:val="004300"/>
                <w:sz w:val="18"/>
                <w:szCs w:val="18"/>
                <w:lang w:val="en-IE"/>
              </w:rPr>
              <w:t xml:space="preserve">define pure hydrogen and hydrogen–natural gas blends as </w:t>
            </w:r>
            <w:r>
              <w:rPr>
                <w:rFonts w:eastAsia="Times New Roman"/>
                <w:noProof/>
                <w:color w:val="004300"/>
                <w:sz w:val="18"/>
                <w:szCs w:val="18"/>
                <w:lang w:val="en-IE"/>
              </w:rPr>
              <w:t>a</w:t>
            </w:r>
            <w:r w:rsidRPr="002B6CA7">
              <w:rPr>
                <w:rFonts w:eastAsia="Times New Roman"/>
                <w:noProof/>
                <w:color w:val="004300"/>
                <w:sz w:val="18"/>
                <w:szCs w:val="18"/>
                <w:lang w:val="en-IE"/>
              </w:rPr>
              <w:t xml:space="preserve"> gas under the Energy Act;</w:t>
            </w:r>
          </w:p>
          <w:p w:rsidR="00D87E44" w:rsidP="00D226F4" w:rsidRDefault="00D87E44" w14:paraId="15458C0C" w14:textId="77777777">
            <w:pPr>
              <w:pStyle w:val="ListParagraph"/>
              <w:numPr>
                <w:ilvl w:val="0"/>
                <w:numId w:val="88"/>
              </w:numPr>
              <w:spacing w:before="0" w:after="0" w:line="240" w:lineRule="auto"/>
              <w:rPr>
                <w:rFonts w:eastAsia="Times New Roman"/>
                <w:noProof/>
                <w:color w:val="004300"/>
                <w:sz w:val="18"/>
                <w:szCs w:val="18"/>
                <w:lang w:val="en-IE"/>
              </w:rPr>
            </w:pPr>
            <w:r w:rsidRPr="002B6CA7">
              <w:rPr>
                <w:rFonts w:eastAsia="Times New Roman"/>
                <w:noProof/>
                <w:color w:val="004300"/>
                <w:sz w:val="18"/>
                <w:szCs w:val="18"/>
                <w:lang w:val="en-IE"/>
              </w:rPr>
              <w:t>establish the maximum permissible hydrogen content in the natural gas grid and specify the quality parameters for high-purity hydrogen;</w:t>
            </w:r>
          </w:p>
          <w:p w:rsidRPr="00E3458A" w:rsidR="00D87E44" w:rsidRDefault="00D87E44" w14:paraId="15458C0D" w14:textId="77777777">
            <w:pPr>
              <w:pStyle w:val="ListParagraph"/>
              <w:numPr>
                <w:ilvl w:val="0"/>
                <w:numId w:val="88"/>
              </w:numPr>
              <w:spacing w:before="0" w:after="0" w:line="240" w:lineRule="auto"/>
              <w:rPr>
                <w:color w:val="004300"/>
                <w:sz w:val="18"/>
                <w:lang w:val="en-IE"/>
              </w:rPr>
            </w:pPr>
            <w:r w:rsidRPr="002B6CA7">
              <w:rPr>
                <w:rFonts w:eastAsia="Times New Roman"/>
                <w:noProof/>
                <w:color w:val="004300"/>
                <w:sz w:val="18"/>
                <w:szCs w:val="18"/>
                <w:lang w:val="en-IE"/>
              </w:rPr>
              <w:t xml:space="preserve">update the </w:t>
            </w:r>
            <w:r w:rsidRPr="00E3458A">
              <w:rPr>
                <w:color w:val="004300"/>
                <w:sz w:val="18"/>
                <w:lang w:val="en-IE"/>
              </w:rPr>
              <w:t>requirements for connection to the gas system</w:t>
            </w:r>
            <w:r w:rsidRPr="002B6CA7">
              <w:rPr>
                <w:rFonts w:eastAsia="Times New Roman"/>
                <w:noProof/>
                <w:color w:val="004300"/>
                <w:sz w:val="18"/>
                <w:szCs w:val="18"/>
                <w:lang w:val="en-IE"/>
              </w:rPr>
              <w:t xml:space="preserve"> to include hydrogen;</w:t>
            </w:r>
            <w:r w:rsidRPr="00E3458A">
              <w:rPr>
                <w:color w:val="004300"/>
                <w:sz w:val="18"/>
                <w:lang w:val="en-IE"/>
              </w:rPr>
              <w:t xml:space="preserve"> and</w:t>
            </w:r>
          </w:p>
          <w:p w:rsidRPr="00FF1320" w:rsidR="00D87E44" w:rsidP="00441DE3" w:rsidRDefault="00D87E44" w14:paraId="15458C0E" w14:textId="77777777">
            <w:pPr>
              <w:pStyle w:val="ListParagraph"/>
              <w:numPr>
                <w:ilvl w:val="0"/>
                <w:numId w:val="88"/>
              </w:numPr>
              <w:spacing w:before="0" w:after="0" w:line="240" w:lineRule="auto"/>
              <w:rPr>
                <w:sz w:val="22"/>
                <w:lang w:val="en-IE"/>
              </w:rPr>
            </w:pPr>
            <w:r w:rsidRPr="00EE0C44">
              <w:rPr>
                <w:rFonts w:eastAsia="Times New Roman"/>
                <w:noProof/>
                <w:color w:val="004300"/>
                <w:sz w:val="18"/>
                <w:szCs w:val="18"/>
                <w:lang w:val="en-IE"/>
              </w:rPr>
              <w:t>amend the rules</w:t>
            </w:r>
            <w:r w:rsidRPr="00E3458A">
              <w:rPr>
                <w:color w:val="004300"/>
                <w:sz w:val="18"/>
                <w:lang w:val="en-IE"/>
              </w:rPr>
              <w:t xml:space="preserve"> on mandatory verification </w:t>
            </w:r>
            <w:r w:rsidRPr="00EE0C44">
              <w:rPr>
                <w:rFonts w:eastAsia="Times New Roman"/>
                <w:noProof/>
                <w:color w:val="004300"/>
                <w:sz w:val="18"/>
                <w:szCs w:val="18"/>
                <w:lang w:val="en-IE"/>
              </w:rPr>
              <w:t>of gas</w:t>
            </w:r>
            <w:r w:rsidRPr="00E3458A">
              <w:rPr>
                <w:color w:val="004300"/>
                <w:sz w:val="18"/>
                <w:lang w:val="en-IE"/>
              </w:rPr>
              <w:t xml:space="preserve"> measuring instruments to </w:t>
            </w:r>
            <w:r w:rsidRPr="00EE0C44">
              <w:rPr>
                <w:rFonts w:eastAsia="Times New Roman"/>
                <w:noProof/>
                <w:color w:val="004300"/>
                <w:sz w:val="18"/>
                <w:szCs w:val="18"/>
                <w:lang w:val="en-IE"/>
              </w:rPr>
              <w:t xml:space="preserve">cover </w:t>
            </w:r>
            <w:r w:rsidRPr="00E3458A">
              <w:rPr>
                <w:color w:val="004300"/>
                <w:sz w:val="18"/>
                <w:lang w:val="en-IE"/>
              </w:rPr>
              <w:t>hydrogen.</w:t>
            </w:r>
          </w:p>
        </w:tc>
      </w:tr>
      <w:tr w:rsidRPr="00FE48E2" w:rsidR="00E3458A" w:rsidTr="4A45BCA2" w14:paraId="15458C1B"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0" w14:textId="77777777">
            <w:pPr>
              <w:spacing w:before="0" w:after="0" w:line="240" w:lineRule="auto"/>
              <w:rPr>
                <w:rFonts w:eastAsia="Times New Roman"/>
                <w:noProof/>
                <w:color w:val="004300"/>
                <w:sz w:val="18"/>
                <w:szCs w:val="18"/>
                <w:lang w:val="en-IE"/>
              </w:rPr>
            </w:pPr>
            <w:r w:rsidRPr="1B282876">
              <w:rPr>
                <w:rFonts w:eastAsia="Times New Roman"/>
                <w:noProof/>
                <w:color w:val="004300"/>
                <w:sz w:val="18"/>
                <w:szCs w:val="18"/>
                <w:lang w:val="en-IE"/>
              </w:rPr>
              <w:t>335</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Reform 4: Enabling conditions for zero-emission alternative fuels infrastructure</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3" w14:textId="77777777">
            <w:pPr>
              <w:spacing w:before="0" w:after="0" w:line="240" w:lineRule="auto"/>
              <w:rPr>
                <w:rFonts w:eastAsia="Times New Roman"/>
                <w:noProof/>
                <w:color w:val="004300"/>
                <w:sz w:val="18"/>
                <w:szCs w:val="18"/>
                <w:lang w:val="en-IE"/>
              </w:rPr>
            </w:pPr>
            <w:r w:rsidRPr="4D16805A">
              <w:rPr>
                <w:rFonts w:eastAsia="Times New Roman"/>
                <w:noProof/>
                <w:color w:val="004300"/>
                <w:sz w:val="18"/>
                <w:szCs w:val="18"/>
                <w:lang w:val="en-IE"/>
              </w:rPr>
              <w:t xml:space="preserve">Preferential </w:t>
            </w:r>
            <w:r>
              <w:rPr>
                <w:rFonts w:eastAsia="Times New Roman"/>
                <w:noProof/>
                <w:color w:val="004300"/>
                <w:sz w:val="18"/>
                <w:szCs w:val="18"/>
                <w:lang w:val="en-IE"/>
              </w:rPr>
              <w:t xml:space="preserve">treatment for </w:t>
            </w:r>
            <w:r w:rsidRPr="4D16805A">
              <w:rPr>
                <w:rFonts w:eastAsia="Times New Roman"/>
                <w:noProof/>
                <w:color w:val="004300"/>
                <w:sz w:val="18"/>
                <w:szCs w:val="18"/>
                <w:lang w:val="en-IE"/>
              </w:rPr>
              <w:t>registration of  fuel distributor</w:t>
            </w:r>
            <w:r>
              <w:rPr>
                <w:rFonts w:eastAsia="Times New Roman"/>
                <w:noProof/>
                <w:color w:val="004300"/>
                <w:sz w:val="18"/>
                <w:szCs w:val="18"/>
                <w:lang w:val="en-IE"/>
              </w:rPr>
              <w:t>s</w:t>
            </w:r>
            <w:r w:rsidRPr="4D16805A">
              <w:rPr>
                <w:rFonts w:eastAsia="Times New Roman"/>
                <w:noProof/>
                <w:color w:val="004300"/>
                <w:sz w:val="18"/>
                <w:szCs w:val="18"/>
                <w:lang w:val="en-IE"/>
              </w:rPr>
              <w:t xml:space="preserve"> authorized to sell hydrogen.</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4" w14:textId="77777777">
            <w:pPr>
              <w:spacing w:before="0" w:after="0" w:line="240" w:lineRule="auto"/>
              <w:rPr>
                <w:rFonts w:eastAsia="Times New Roman"/>
                <w:noProof/>
                <w:color w:val="004300"/>
                <w:sz w:val="18"/>
                <w:szCs w:val="18"/>
                <w:lang w:val="en-IE"/>
              </w:rPr>
            </w:pPr>
            <w:r w:rsidRPr="33012CC6">
              <w:rPr>
                <w:rFonts w:eastAsia="Times New Roman"/>
                <w:noProof/>
                <w:color w:val="004300"/>
                <w:sz w:val="18"/>
                <w:szCs w:val="18"/>
                <w:lang w:val="en-IE"/>
              </w:rPr>
              <w:t xml:space="preserve">Entry into force of </w:t>
            </w:r>
            <w:r>
              <w:rPr>
                <w:rFonts w:eastAsia="Times New Roman"/>
                <w:noProof/>
                <w:color w:val="004300"/>
                <w:sz w:val="18"/>
                <w:szCs w:val="18"/>
                <w:lang w:val="en-IE"/>
              </w:rPr>
              <w:t xml:space="preserve">legislative </w:t>
            </w:r>
            <w:r w:rsidRPr="33012CC6">
              <w:rPr>
                <w:rFonts w:eastAsia="Times New Roman"/>
                <w:noProof/>
                <w:color w:val="004300"/>
                <w:sz w:val="18"/>
                <w:szCs w:val="18"/>
                <w:lang w:val="en-IE"/>
              </w:rPr>
              <w:t>amendment</w:t>
            </w:r>
            <w:r>
              <w:rPr>
                <w:rFonts w:eastAsia="Times New Roman"/>
                <w:noProof/>
                <w:color w:val="004300"/>
                <w:sz w:val="18"/>
                <w:szCs w:val="18"/>
                <w:lang w:val="en-IE"/>
              </w:rPr>
              <w:t>s</w:t>
            </w:r>
            <w:r w:rsidRPr="33012CC6">
              <w:rPr>
                <w:rFonts w:eastAsia="Times New Roman"/>
                <w:noProof/>
                <w:color w:val="004300"/>
                <w:sz w:val="18"/>
                <w:szCs w:val="18"/>
                <w:lang w:val="en-IE"/>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5"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6"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7"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8"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sidRPr="4D16805A">
              <w:rPr>
                <w:rFonts w:eastAsia="Times New Roman"/>
                <w:noProof/>
                <w:color w:val="004300"/>
                <w:sz w:val="18"/>
                <w:szCs w:val="18"/>
                <w:lang w:val="en-IE"/>
              </w:rPr>
              <w:t>2</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sidRPr="4D16805A">
              <w:rPr>
                <w:rFonts w:eastAsia="Times New Roman"/>
                <w:noProof/>
                <w:color w:val="004300"/>
                <w:sz w:val="18"/>
                <w:szCs w:val="18"/>
                <w:lang w:val="en-IE"/>
              </w:rPr>
              <w:t>5</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A" w14:textId="77777777">
            <w:pPr>
              <w:spacing w:before="0" w:after="0" w:line="240" w:lineRule="auto"/>
              <w:rPr>
                <w:rFonts w:eastAsia="Times New Roman"/>
                <w:noProof/>
                <w:color w:val="004300"/>
                <w:sz w:val="18"/>
                <w:szCs w:val="18"/>
                <w:lang w:val="en-IE"/>
              </w:rPr>
            </w:pPr>
            <w:r w:rsidRPr="4D16805A">
              <w:rPr>
                <w:rFonts w:eastAsia="Times New Roman"/>
                <w:noProof/>
                <w:color w:val="004300"/>
                <w:sz w:val="18"/>
                <w:szCs w:val="18"/>
                <w:lang w:val="en-IE"/>
              </w:rPr>
              <w:t xml:space="preserve">Entry into force of amendments </w:t>
            </w:r>
            <w:r>
              <w:rPr>
                <w:rFonts w:eastAsia="Times New Roman"/>
                <w:noProof/>
                <w:color w:val="004300"/>
                <w:sz w:val="18"/>
                <w:szCs w:val="18"/>
                <w:lang w:val="en-IE"/>
              </w:rPr>
              <w:t xml:space="preserve">to </w:t>
            </w:r>
            <w:r w:rsidRPr="0015301E">
              <w:rPr>
                <w:rFonts w:eastAsia="Times New Roman"/>
                <w:noProof/>
                <w:color w:val="004300"/>
                <w:sz w:val="18"/>
                <w:szCs w:val="18"/>
                <w:lang w:val="en-IE"/>
              </w:rPr>
              <w:t>benefit</w:t>
            </w:r>
            <w:r w:rsidRPr="4D16805A">
              <w:rPr>
                <w:rFonts w:eastAsia="Times New Roman"/>
                <w:noProof/>
                <w:color w:val="004300"/>
                <w:sz w:val="18"/>
                <w:szCs w:val="18"/>
                <w:lang w:val="en-IE"/>
              </w:rPr>
              <w:t xml:space="preserve"> </w:t>
            </w:r>
            <w:r w:rsidRPr="006A438D">
              <w:rPr>
                <w:rFonts w:eastAsia="Times New Roman"/>
                <w:noProof/>
                <w:color w:val="004300"/>
                <w:sz w:val="18"/>
                <w:szCs w:val="18"/>
                <w:lang w:val="en-IE"/>
              </w:rPr>
              <w:t>hydrogen refuelling stations over conventional fuel stations by granting them a waiver from</w:t>
            </w:r>
            <w:r w:rsidRPr="4D16805A">
              <w:rPr>
                <w:rFonts w:eastAsia="Times New Roman"/>
                <w:noProof/>
                <w:color w:val="004300"/>
                <w:sz w:val="18"/>
                <w:szCs w:val="18"/>
                <w:lang w:val="en-IE"/>
              </w:rPr>
              <w:t xml:space="preserve"> fuel distributors</w:t>
            </w:r>
            <w:r>
              <w:rPr>
                <w:rFonts w:eastAsia="Times New Roman"/>
                <w:noProof/>
                <w:color w:val="004300"/>
                <w:sz w:val="18"/>
                <w:szCs w:val="18"/>
                <w:lang w:val="en-IE"/>
              </w:rPr>
              <w:t>’</w:t>
            </w:r>
            <w:r w:rsidRPr="4D16805A">
              <w:rPr>
                <w:rFonts w:eastAsia="Times New Roman"/>
                <w:noProof/>
                <w:color w:val="004300"/>
                <w:sz w:val="18"/>
                <w:szCs w:val="18"/>
                <w:lang w:val="en-IE"/>
              </w:rPr>
              <w:t xml:space="preserve"> deposit upon registration</w:t>
            </w:r>
            <w:r>
              <w:rPr>
                <w:rFonts w:eastAsia="Times New Roman"/>
                <w:noProof/>
                <w:color w:val="004300"/>
                <w:sz w:val="18"/>
                <w:szCs w:val="18"/>
                <w:lang w:val="en-IE"/>
              </w:rPr>
              <w:t>.</w:t>
            </w:r>
          </w:p>
        </w:tc>
      </w:tr>
      <w:tr w:rsidRPr="00FE48E2" w:rsidR="00E3458A" w:rsidTr="4A45BCA2" w14:paraId="15458C27"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C" w14:textId="77777777">
            <w:pPr>
              <w:spacing w:before="0" w:after="0" w:line="240" w:lineRule="auto"/>
              <w:rPr>
                <w:rFonts w:eastAsia="Times New Roman"/>
                <w:noProof/>
                <w:color w:val="004300"/>
                <w:sz w:val="18"/>
                <w:szCs w:val="18"/>
                <w:lang w:val="en-IE"/>
              </w:rPr>
            </w:pPr>
            <w:r w:rsidRPr="1B282876">
              <w:rPr>
                <w:rFonts w:eastAsia="Times New Roman"/>
                <w:noProof/>
                <w:color w:val="004300"/>
                <w:sz w:val="18"/>
                <w:szCs w:val="18"/>
                <w:lang w:val="en-IE"/>
              </w:rPr>
              <w:t>336</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D"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Reform 4: Enabling conditions for zero-emission alternative fuels infrastructure</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E"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1F"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 xml:space="preserve">Supporting the rollout </w:t>
            </w:r>
            <w:r w:rsidRPr="00FE48E2">
              <w:rPr>
                <w:rFonts w:eastAsia="Times New Roman"/>
                <w:noProof/>
                <w:color w:val="004300"/>
                <w:sz w:val="18"/>
                <w:szCs w:val="18"/>
                <w:lang w:val="en-IE"/>
              </w:rPr>
              <w:t xml:space="preserve">of electric charging stations and hydrogen refuelling stations </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Adoption of</w:t>
            </w:r>
            <w:r>
              <w:rPr>
                <w:rFonts w:eastAsia="Times New Roman"/>
                <w:noProof/>
                <w:color w:val="004300"/>
                <w:sz w:val="18"/>
                <w:szCs w:val="18"/>
                <w:lang w:val="en-IE"/>
              </w:rPr>
              <w:t xml:space="preserve"> additional </w:t>
            </w:r>
            <w:r w:rsidRPr="00FE48E2">
              <w:rPr>
                <w:rFonts w:eastAsia="Times New Roman"/>
                <w:noProof/>
                <w:color w:val="004300"/>
                <w:sz w:val="18"/>
                <w:szCs w:val="18"/>
                <w:lang w:val="en-IE"/>
              </w:rPr>
              <w:t xml:space="preserve">measures </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1"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2"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3"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Del="00C05346" w:rsidRDefault="00D87E44" w14:paraId="15458C24"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Del="00C05346" w:rsidRDefault="00D87E44" w14:paraId="15458C25"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2025</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F1320" w:rsidR="00D87E44" w:rsidP="4A45BCA2" w:rsidRDefault="00D87E44" w14:paraId="15458C26" w14:textId="77777777">
            <w:pPr>
              <w:spacing w:before="0" w:after="0" w:line="240" w:lineRule="auto"/>
              <w:rPr>
                <w:rFonts w:asciiTheme="minorHAnsi" w:hAnsiTheme="minorHAnsi"/>
                <w:color w:val="004300"/>
                <w:kern w:val="2"/>
                <w:sz w:val="18"/>
                <w:szCs w:val="18"/>
                <w:lang w:val="en-IE"/>
              </w:rPr>
            </w:pPr>
            <w:r w:rsidRPr="4A45BCA2">
              <w:rPr>
                <w:rFonts w:eastAsia="Times New Roman"/>
                <w:noProof/>
                <w:color w:val="004300"/>
                <w:sz w:val="18"/>
                <w:szCs w:val="18"/>
                <w:lang w:val="en-IE"/>
              </w:rPr>
              <w:t xml:space="preserve">For the purpose of this milestone, additional legal acts, technical norms, and methodologies shall be adopted </w:t>
            </w:r>
            <w:bookmarkStart w:name="_Hlk213425382" w:id="18"/>
            <w:r w:rsidRPr="4A45BCA2">
              <w:rPr>
                <w:rFonts w:eastAsia="Times New Roman"/>
                <w:noProof/>
                <w:color w:val="004300"/>
                <w:sz w:val="18"/>
                <w:szCs w:val="18"/>
                <w:lang w:val="en-IE"/>
              </w:rPr>
              <w:t xml:space="preserve">to facilitate the rollout of </w:t>
            </w:r>
            <w:bookmarkEnd w:id="18"/>
            <w:r w:rsidRPr="4A45BCA2">
              <w:rPr>
                <w:rFonts w:eastAsia="Times New Roman"/>
                <w:noProof/>
                <w:color w:val="004300"/>
                <w:sz w:val="18"/>
                <w:szCs w:val="18"/>
                <w:lang w:val="en-IE"/>
              </w:rPr>
              <w:t>recharging points and hydrogen refuelling stations. Any legal acts adopted shall also enter into force.</w:t>
            </w:r>
          </w:p>
        </w:tc>
      </w:tr>
      <w:tr w:rsidRPr="00FE48E2" w:rsidR="00E3458A" w:rsidTr="4A45BCA2" w14:paraId="15458C33"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8" w14:textId="77777777">
            <w:pPr>
              <w:spacing w:before="0" w:after="0" w:line="240" w:lineRule="auto"/>
              <w:rPr>
                <w:rFonts w:eastAsia="Times New Roman"/>
                <w:noProof/>
                <w:color w:val="004300"/>
                <w:sz w:val="18"/>
                <w:szCs w:val="18"/>
                <w:lang w:val="en-IE"/>
              </w:rPr>
            </w:pPr>
            <w:r w:rsidRPr="00D67788">
              <w:rPr>
                <w:rFonts w:eastAsia="Times New Roman"/>
                <w:noProof/>
                <w:color w:val="004300"/>
                <w:sz w:val="18"/>
                <w:szCs w:val="18"/>
                <w:lang w:val="en-IE"/>
              </w:rPr>
              <w:t>337</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9"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Reform 5: Incentivising zero-emission mobility through changes highway vignette</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Milestone</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Revising the highway vignette costs </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C"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Entry into force of amendment of the Road Act </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D"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E" w14:textId="77777777">
            <w:pPr>
              <w:spacing w:before="0" w:after="0" w:line="240" w:lineRule="auto"/>
              <w:rPr>
                <w:rFonts w:eastAsia="Times New Roman"/>
                <w:noProof/>
                <w:color w:val="0043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2F" w14:textId="77777777">
            <w:pPr>
              <w:spacing w:before="0" w:after="0" w:line="240" w:lineRule="auto"/>
              <w:rPr>
                <w:rFonts w:eastAsia="Times New Roman"/>
                <w:noProof/>
                <w:color w:val="004300"/>
                <w:sz w:val="18"/>
                <w:szCs w:val="18"/>
                <w:lang w:val="en-IE"/>
              </w:rPr>
            </w:pP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Del="00C05346" w:rsidRDefault="00D87E44" w14:paraId="15458C30"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Q4</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Del="00C05346" w:rsidRDefault="00D87E44" w14:paraId="15458C31"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2024</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FE48E2" w:rsidR="00D87E44" w:rsidRDefault="00D87E44" w14:paraId="15458C32"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 xml:space="preserve">Entry into force of amendments to the Road Act to modify the highway vignette fees and the cost structure of the highway vignette for vehicle </w:t>
            </w:r>
            <w:r>
              <w:rPr>
                <w:rFonts w:eastAsia="Times New Roman"/>
                <w:noProof/>
                <w:color w:val="004300"/>
                <w:sz w:val="18"/>
                <w:szCs w:val="18"/>
                <w:lang w:val="en-IE"/>
              </w:rPr>
              <w:t>categories</w:t>
            </w:r>
            <w:r w:rsidRPr="00FE48E2">
              <w:rPr>
                <w:rFonts w:eastAsia="Times New Roman"/>
                <w:noProof/>
                <w:color w:val="004300"/>
                <w:sz w:val="18"/>
                <w:szCs w:val="18"/>
                <w:lang w:val="en-IE"/>
              </w:rPr>
              <w:t xml:space="preserve"> below 3.5 tonnes (M1- passenger cars, N1 - light commercial vehicles based on UNECE standards), based on their CO2 performance. The amendments shall ensure a tax differentiation between conventional and low-emission vehicles below 50gCO2/km, and zero-emission vehicles of type M1 and N1, with zero-emission vehicles of the said types being exempted from highway vignette fees. The amendment shall also ensure an increase of the annual highway vignette for M1 and N1 </w:t>
            </w:r>
            <w:r w:rsidRPr="00FE48E2">
              <w:rPr>
                <w:rFonts w:eastAsia="Times New Roman"/>
                <w:noProof/>
                <w:color w:val="004300"/>
                <w:sz w:val="18"/>
                <w:szCs w:val="18"/>
                <w:lang w:val="en-IE"/>
              </w:rPr>
              <w:lastRenderedPageBreak/>
              <w:t xml:space="preserve">conventionally fuelled vehicles by </w:t>
            </w:r>
            <w:r w:rsidRPr="00FE48E2">
              <w:rPr>
                <w:rFonts w:eastAsia="Times New Roman"/>
                <w:noProof/>
                <w:color w:val="004300"/>
                <w:sz w:val="18"/>
                <w:szCs w:val="18"/>
                <w:lang w:val="en-IE"/>
              </w:rPr>
              <w:t>no less than 50% compared to 2022 baseline.</w:t>
            </w:r>
          </w:p>
        </w:tc>
      </w:tr>
      <w:tr w:rsidRPr="00FE48E2" w:rsidR="00E3458A" w:rsidTr="4A45BCA2" w14:paraId="15458C3F" w14:textId="77777777">
        <w:trPr>
          <w:trHeight w:val="309"/>
          <w:jc w:val="center"/>
        </w:trPr>
        <w:tc>
          <w:tcPr>
            <w:tcW w:w="704"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4"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lastRenderedPageBreak/>
              <w:t>338</w:t>
            </w:r>
          </w:p>
        </w:tc>
        <w:tc>
          <w:tcPr>
            <w:tcW w:w="1701"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5" w14:textId="77777777">
            <w:pPr>
              <w:spacing w:before="0" w:after="0" w:line="240" w:lineRule="auto"/>
              <w:rPr>
                <w:rFonts w:eastAsia="Times New Roman"/>
                <w:noProof/>
                <w:color w:val="004300"/>
                <w:sz w:val="18"/>
                <w:szCs w:val="18"/>
                <w:lang w:val="en-IE"/>
              </w:rPr>
            </w:pPr>
            <w:r w:rsidRPr="4E57C747">
              <w:rPr>
                <w:rFonts w:eastAsia="Times New Roman"/>
                <w:noProof/>
                <w:color w:val="004300"/>
                <w:sz w:val="18"/>
                <w:szCs w:val="18"/>
                <w:lang w:val="en-IE"/>
              </w:rPr>
              <w:t xml:space="preserve">Investment 1: Scaled up measure: Aid for purchase of </w:t>
            </w:r>
            <w:r w:rsidRPr="4E57C747">
              <w:rPr>
                <w:rFonts w:eastAsia="Times New Roman"/>
                <w:noProof/>
                <w:color w:val="004300"/>
                <w:sz w:val="18"/>
                <w:szCs w:val="18"/>
                <w:lang w:val="en-IE"/>
              </w:rPr>
              <w:t>vehicles – zero-emission vehicles  for private companies</w:t>
            </w: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6"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Target</w:t>
            </w:r>
          </w:p>
        </w:tc>
        <w:tc>
          <w:tcPr>
            <w:tcW w:w="1645"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7"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Scale-up of target 119 of Component 2.4</w:t>
            </w:r>
          </w:p>
        </w:tc>
        <w:tc>
          <w:tcPr>
            <w:tcW w:w="1332"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8" w14:textId="77777777">
            <w:pPr>
              <w:spacing w:before="0" w:after="0" w:line="240" w:lineRule="auto"/>
              <w:rPr>
                <w:rFonts w:eastAsia="Times New Roman"/>
                <w:noProof/>
                <w:color w:val="004300"/>
                <w:sz w:val="18"/>
                <w:szCs w:val="18"/>
                <w:lang w:val="en-IE"/>
              </w:rPr>
            </w:pPr>
          </w:p>
        </w:tc>
        <w:tc>
          <w:tcPr>
            <w:tcW w:w="1134"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9"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 xml:space="preserve">Increase in the number </w:t>
            </w: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A"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2</w:t>
            </w:r>
            <w:r>
              <w:rPr>
                <w:rFonts w:eastAsia="Times New Roman"/>
                <w:noProof/>
                <w:color w:val="004300"/>
                <w:sz w:val="18"/>
                <w:szCs w:val="18"/>
                <w:lang w:val="en-IE"/>
              </w:rPr>
              <w:t> </w:t>
            </w:r>
            <w:r w:rsidRPr="005E54BC">
              <w:rPr>
                <w:rFonts w:eastAsia="Times New Roman"/>
                <w:noProof/>
                <w:color w:val="004300"/>
                <w:sz w:val="18"/>
                <w:szCs w:val="18"/>
                <w:lang w:val="en-IE"/>
              </w:rPr>
              <w:t>900</w:t>
            </w:r>
          </w:p>
        </w:tc>
        <w:tc>
          <w:tcPr>
            <w:tcW w:w="992"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B" w14:textId="77777777">
            <w:pPr>
              <w:spacing w:before="0" w:after="0" w:line="240" w:lineRule="auto"/>
              <w:rPr>
                <w:rFonts w:eastAsia="Times New Roman"/>
                <w:noProof/>
                <w:sz w:val="18"/>
                <w:szCs w:val="18"/>
                <w:lang w:val="en-IE"/>
              </w:rPr>
            </w:pPr>
            <w:r w:rsidRPr="005E54BC">
              <w:rPr>
                <w:rFonts w:eastAsia="Times New Roman"/>
                <w:noProof/>
                <w:color w:val="004300"/>
                <w:sz w:val="18"/>
                <w:szCs w:val="18"/>
                <w:lang w:val="en-IE"/>
              </w:rPr>
              <w:t>5</w:t>
            </w:r>
            <w:r>
              <w:rPr>
                <w:rFonts w:eastAsia="Times New Roman"/>
                <w:noProof/>
                <w:color w:val="004300"/>
                <w:sz w:val="18"/>
                <w:szCs w:val="18"/>
                <w:lang w:val="en-IE"/>
              </w:rPr>
              <w:t> </w:t>
            </w:r>
            <w:r w:rsidRPr="005E54BC">
              <w:rPr>
                <w:rFonts w:eastAsia="Times New Roman"/>
                <w:noProof/>
                <w:color w:val="004300"/>
                <w:sz w:val="18"/>
                <w:szCs w:val="18"/>
                <w:lang w:val="en-IE"/>
              </w:rPr>
              <w:t>800</w:t>
            </w:r>
          </w:p>
        </w:tc>
        <w:tc>
          <w:tcPr>
            <w:tcW w:w="993"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C"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 xml:space="preserve">Q2 </w:t>
            </w:r>
          </w:p>
        </w:tc>
        <w:tc>
          <w:tcPr>
            <w:tcW w:w="840"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D" w14:textId="77777777">
            <w:pPr>
              <w:spacing w:before="0" w:after="0" w:line="240" w:lineRule="auto"/>
              <w:rPr>
                <w:rFonts w:eastAsia="Times New Roman"/>
                <w:noProof/>
                <w:color w:val="004300"/>
                <w:sz w:val="18"/>
                <w:szCs w:val="18"/>
                <w:lang w:val="en-IE"/>
              </w:rPr>
            </w:pPr>
            <w:r w:rsidRPr="005E54BC">
              <w:rPr>
                <w:rFonts w:eastAsia="Times New Roman"/>
                <w:noProof/>
                <w:color w:val="004300"/>
                <w:sz w:val="18"/>
                <w:szCs w:val="18"/>
                <w:lang w:val="en-IE"/>
              </w:rPr>
              <w:t>2025</w:t>
            </w:r>
          </w:p>
        </w:tc>
        <w:tc>
          <w:tcPr>
            <w:tcW w:w="3843" w:type="dxa"/>
            <w:tcBorders>
              <w:top w:val="single" w:color="auto" w:sz="4" w:space="0"/>
              <w:left w:val="single" w:color="auto" w:sz="4" w:space="0"/>
              <w:bottom w:val="single" w:color="auto" w:sz="4" w:space="0"/>
              <w:right w:val="single" w:color="auto" w:sz="4" w:space="0"/>
            </w:tcBorders>
            <w:shd w:val="clear" w:color="auto" w:fill="C6EFCE"/>
          </w:tcPr>
          <w:p w:rsidRPr="005E54BC" w:rsidR="00D87E44" w:rsidRDefault="00D87E44" w14:paraId="15458C3E"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 xml:space="preserve">Purchase of </w:t>
            </w:r>
            <w:r w:rsidRPr="005E54BC">
              <w:rPr>
                <w:rFonts w:eastAsia="Times New Roman"/>
                <w:noProof/>
                <w:color w:val="004300"/>
                <w:sz w:val="18"/>
                <w:szCs w:val="18"/>
                <w:lang w:val="en-IE"/>
              </w:rPr>
              <w:t>2</w:t>
            </w:r>
            <w:r>
              <w:rPr>
                <w:rFonts w:eastAsia="Times New Roman"/>
                <w:noProof/>
                <w:color w:val="004300"/>
                <w:sz w:val="18"/>
                <w:szCs w:val="18"/>
                <w:lang w:val="en-IE"/>
              </w:rPr>
              <w:t> </w:t>
            </w:r>
            <w:r w:rsidRPr="005E54BC">
              <w:rPr>
                <w:rFonts w:eastAsia="Times New Roman"/>
                <w:noProof/>
                <w:color w:val="004300"/>
                <w:sz w:val="18"/>
                <w:szCs w:val="18"/>
                <w:lang w:val="en-IE"/>
              </w:rPr>
              <w:t>900 additional units of zero-emission vehicles</w:t>
            </w:r>
            <w:r>
              <w:rPr>
                <w:rFonts w:eastAsia="Times New Roman"/>
                <w:noProof/>
                <w:color w:val="004300"/>
                <w:sz w:val="18"/>
                <w:szCs w:val="18"/>
                <w:lang w:val="en-IE"/>
              </w:rPr>
              <w:t xml:space="preserve"> (cars and vans) for private companies and self-employed persons.</w:t>
            </w:r>
          </w:p>
        </w:tc>
      </w:tr>
    </w:tbl>
    <w:p w:rsidRPr="00FE48E2" w:rsidR="00D87E44" w:rsidP="00D226F4" w:rsidRDefault="00D87E44" w14:paraId="15458C40" w14:textId="77777777">
      <w:pPr>
        <w:keepNext/>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eastAsia="cs-CZ"/>
        </w:rPr>
        <w:sectPr w:rsidRPr="00FE48E2" w:rsidR="00C16C1F" w:rsidSect="00D226F4">
          <w:headerReference w:type="even" r:id="R1995584dc26944e9"/>
          <w:headerReference w:type="default" r:id="Rcdc7fc3a264e48c1"/>
          <w:footerReference w:type="even" r:id="R7666e8b09419462a"/>
          <w:footerReference w:type="default" r:id="Rdba047a6046e4fc0"/>
          <w:headerReference w:type="first" r:id="R082aa3b9659c4d11"/>
          <w:footerReference w:type="first" r:id="Rf788908b2ad94be4"/>
          <w:pgSz w:w="16839" w:h="11907" w:orient="landscape"/>
          <w:pgMar w:top="1134" w:right="1134" w:bottom="1134" w:left="1134" w:header="567" w:footer="567" w:gutter="0"/>
          <w:cols w:space="720"/>
          <w:docGrid w:linePitch="360"/>
        </w:sectPr>
      </w:pPr>
    </w:p>
    <w:p w:rsidRPr="00FE48E2" w:rsidR="00D87E44" w:rsidP="00D226F4" w:rsidRDefault="00D87E44" w14:paraId="15458C41" w14:textId="77777777">
      <w:pPr>
        <w:keepNext/>
        <w:tabs>
          <w:tab w:val="left" w:pos="850"/>
        </w:tabs>
        <w:spacing w:line="240" w:lineRule="auto"/>
        <w:jc w:val="both"/>
        <w:outlineLvl w:val="0"/>
        <w:rPr>
          <w:b/>
          <w:bCs/>
          <w:caps/>
          <w:noProof/>
          <w:lang w:val="en-IE"/>
        </w:rPr>
      </w:pPr>
      <w:r w:rsidRPr="1B282876">
        <w:rPr>
          <w:b/>
          <w:bCs/>
          <w:caps/>
          <w:noProof/>
          <w:lang w:val="en-IE"/>
        </w:rPr>
        <w:lastRenderedPageBreak/>
        <w:t xml:space="preserve">JJ. </w:t>
      </w:r>
      <w:r w:rsidRPr="001E2831">
        <w:rPr>
          <w:b/>
          <w:bCs/>
          <w:caps/>
          <w:noProof/>
          <w:lang w:val="en-IE"/>
        </w:rPr>
        <w:t>COMPONENT</w:t>
      </w:r>
      <w:r w:rsidRPr="1B282876">
        <w:rPr>
          <w:b/>
          <w:bCs/>
          <w:caps/>
          <w:noProof/>
          <w:lang w:val="en-IE"/>
        </w:rPr>
        <w:t xml:space="preserve"> 7.6 </w:t>
      </w:r>
      <w:r w:rsidRPr="1B282876">
        <w:rPr>
          <w:b/>
          <w:bCs/>
          <w:smallCaps/>
          <w:noProof/>
          <w:lang w:val="en-IE"/>
        </w:rPr>
        <w:t>Electrification of Rail TRANSPORT (REPowerEU)</w:t>
      </w:r>
    </w:p>
    <w:p w:rsidRPr="00FE48E2" w:rsidR="00D87E44" w:rsidP="00D226F4" w:rsidRDefault="00D87E44" w14:paraId="15458C42" w14:textId="77777777">
      <w:pPr>
        <w:pBdr>
          <w:top w:val="nil"/>
          <w:left w:val="nil"/>
          <w:bottom w:val="nil"/>
          <w:right w:val="nil"/>
          <w:between w:val="nil"/>
        </w:pBdr>
        <w:tabs>
          <w:tab w:val="left" w:pos="993"/>
        </w:tabs>
        <w:spacing w:line="240" w:lineRule="auto"/>
        <w:jc w:val="both"/>
        <w:rPr>
          <w:rFonts w:eastAsia="Times New Roman"/>
          <w:noProof/>
          <w:szCs w:val="24"/>
          <w:shd w:val="clear" w:color="auto" w:fill="E6E6E6"/>
          <w:lang w:val="en-IE" w:eastAsia="cs-CZ"/>
        </w:rPr>
      </w:pPr>
      <w:r w:rsidRPr="00FE48E2">
        <w:rPr>
          <w:rFonts w:eastAsia="Times New Roman"/>
          <w:noProof/>
          <w:szCs w:val="24"/>
          <w:lang w:val="en-IE" w:eastAsia="cs-CZ"/>
        </w:rPr>
        <w:t>This component of the Czech recovery and resilience plan addresses the ongoing need to transition European transport sector towards more sustainable modes of transport, particularly by promoting the modal shift to rail.</w:t>
      </w:r>
    </w:p>
    <w:p w:rsidRPr="00FE48E2" w:rsidR="00D87E44" w:rsidP="00D226F4" w:rsidRDefault="00D87E44" w14:paraId="15458C43" w14:textId="77777777">
      <w:pPr>
        <w:pBdr>
          <w:top w:val="nil"/>
          <w:left w:val="nil"/>
          <w:bottom w:val="nil"/>
          <w:right w:val="nil"/>
          <w:between w:val="nil"/>
        </w:pBdr>
        <w:tabs>
          <w:tab w:val="left" w:pos="993"/>
        </w:tabs>
        <w:spacing w:line="240" w:lineRule="auto"/>
        <w:jc w:val="both"/>
        <w:rPr>
          <w:rFonts w:eastAsia="Times New Roman"/>
          <w:noProof/>
          <w:lang w:val="en-IE" w:eastAsia="cs-CZ"/>
        </w:rPr>
      </w:pPr>
      <w:r w:rsidRPr="6E04217D">
        <w:rPr>
          <w:rFonts w:eastAsia="Times New Roman"/>
          <w:noProof/>
          <w:lang w:val="en-IE" w:eastAsia="cs-CZ"/>
        </w:rPr>
        <w:t>The component aims to increase the electrification of Czech rail networks and is meant to modernise the Czech rail networks.</w:t>
      </w:r>
    </w:p>
    <w:p w:rsidR="00D87E44" w:rsidP="00D226F4" w:rsidRDefault="00D87E44" w14:paraId="15458C44" w14:textId="77777777">
      <w:pPr>
        <w:pBdr>
          <w:top w:val="nil"/>
          <w:left w:val="nil"/>
          <w:bottom w:val="nil"/>
          <w:right w:val="nil"/>
          <w:between w:val="nil"/>
        </w:pBdr>
        <w:tabs>
          <w:tab w:val="left" w:pos="993"/>
        </w:tabs>
        <w:spacing w:line="240" w:lineRule="auto"/>
        <w:jc w:val="both"/>
        <w:rPr>
          <w:rFonts w:eastAsia="Times New Roman"/>
          <w:noProof/>
          <w:szCs w:val="24"/>
          <w:lang w:val="en-IE" w:eastAsia="cs-CZ"/>
        </w:rPr>
      </w:pPr>
      <w:r w:rsidRPr="00FE48E2">
        <w:rPr>
          <w:rFonts w:eastAsia="Times New Roman"/>
          <w:noProof/>
          <w:szCs w:val="24"/>
          <w:lang w:val="en-IE" w:eastAsia="cs-CZ"/>
        </w:rPr>
        <w:t>The component is linked to the implementation of the 2022 CSR 4, notably by seeking to decrease the use of fossil fuels in Czech transport system.</w:t>
      </w:r>
    </w:p>
    <w:p w:rsidRPr="00FE48E2" w:rsidR="00D87E44" w:rsidP="00D226F4" w:rsidRDefault="00D87E44" w14:paraId="15458C45" w14:textId="77777777">
      <w:pPr>
        <w:pBdr>
          <w:top w:val="nil"/>
          <w:left w:val="nil"/>
          <w:bottom w:val="nil"/>
          <w:right w:val="nil"/>
          <w:between w:val="nil"/>
        </w:pBdr>
        <w:tabs>
          <w:tab w:val="left" w:pos="993"/>
        </w:tabs>
        <w:spacing w:line="240" w:lineRule="auto"/>
        <w:jc w:val="both"/>
        <w:rPr>
          <w:rFonts w:eastAsia="Times New Roman"/>
          <w:noProof/>
          <w:szCs w:val="24"/>
          <w:lang w:val="en-IE" w:eastAsia="cs-CZ"/>
        </w:rPr>
      </w:pPr>
    </w:p>
    <w:p w:rsidRPr="00FE48E2" w:rsidR="00D87E44" w:rsidP="00D226F4" w:rsidRDefault="00D87E44" w14:paraId="15458C46" w14:textId="77777777">
      <w:pPr>
        <w:spacing w:before="0" w:after="200" w:line="276" w:lineRule="auto"/>
        <w:jc w:val="both"/>
        <w:rPr>
          <w:b/>
          <w:bCs/>
          <w:noProof/>
          <w:u w:val="single"/>
          <w:shd w:val="clear" w:color="auto" w:fill="E6E6E6"/>
          <w:lang w:val="en-IE"/>
        </w:rPr>
      </w:pPr>
      <w:r w:rsidRPr="1B282876">
        <w:rPr>
          <w:b/>
          <w:bCs/>
          <w:noProof/>
          <w:u w:val="single"/>
          <w:lang w:val="en-IE"/>
        </w:rPr>
        <w:t>JJ.1 Description of investments for non-repayable financial support</w:t>
      </w:r>
      <w:r w:rsidRPr="1B282876">
        <w:rPr>
          <w:b/>
          <w:bCs/>
          <w:noProof/>
          <w:u w:val="single"/>
          <w:shd w:val="clear" w:color="auto" w:fill="E6E6E6"/>
          <w:lang w:val="en-IE"/>
        </w:rPr>
        <w:t xml:space="preserve"> </w:t>
      </w:r>
    </w:p>
    <w:p w:rsidRPr="00FE48E2" w:rsidR="00D87E44" w:rsidP="00D226F4" w:rsidRDefault="00D87E44" w14:paraId="15458C47" w14:textId="77777777">
      <w:pPr>
        <w:spacing w:before="0" w:after="200" w:line="276" w:lineRule="auto"/>
        <w:jc w:val="both"/>
        <w:rPr>
          <w:b/>
          <w:noProof/>
          <w:szCs w:val="24"/>
          <w:lang w:val="en-IE"/>
        </w:rPr>
      </w:pPr>
      <w:r w:rsidRPr="00FE48E2">
        <w:rPr>
          <w:b/>
          <w:noProof/>
          <w:szCs w:val="24"/>
          <w:lang w:val="en-IE"/>
        </w:rPr>
        <w:t xml:space="preserve">Investment </w:t>
      </w:r>
      <w:r>
        <w:rPr>
          <w:b/>
          <w:noProof/>
          <w:szCs w:val="24"/>
          <w:lang w:val="en-IE"/>
        </w:rPr>
        <w:t>1</w:t>
      </w:r>
      <w:r w:rsidRPr="00FE48E2">
        <w:rPr>
          <w:b/>
          <w:noProof/>
          <w:szCs w:val="24"/>
          <w:lang w:val="en-IE"/>
        </w:rPr>
        <w:t>: Electrification in Brno region</w:t>
      </w:r>
    </w:p>
    <w:p w:rsidRPr="00FE48E2" w:rsidR="00D87E44" w:rsidP="00D226F4" w:rsidRDefault="00D87E44" w14:paraId="15458C48" w14:textId="77777777">
      <w:pPr>
        <w:spacing w:before="0" w:after="200" w:line="276" w:lineRule="auto"/>
        <w:jc w:val="both"/>
        <w:rPr>
          <w:noProof/>
          <w:lang w:val="en-IE"/>
        </w:rPr>
      </w:pPr>
      <w:r w:rsidRPr="6E04217D">
        <w:rPr>
          <w:noProof/>
          <w:lang w:val="en-IE"/>
        </w:rPr>
        <w:t xml:space="preserve">The </w:t>
      </w:r>
      <w:r>
        <w:rPr>
          <w:noProof/>
          <w:lang w:val="en-IE"/>
        </w:rPr>
        <w:t>objective of the measure</w:t>
      </w:r>
      <w:r w:rsidRPr="6E04217D">
        <w:rPr>
          <w:noProof/>
          <w:lang w:val="en-IE"/>
        </w:rPr>
        <w:t xml:space="preserve"> </w:t>
      </w:r>
      <w:r>
        <w:rPr>
          <w:noProof/>
          <w:lang w:val="en-IE"/>
        </w:rPr>
        <w:t>is</w:t>
      </w:r>
      <w:r w:rsidRPr="6E04217D">
        <w:rPr>
          <w:noProof/>
          <w:lang w:val="en-IE"/>
        </w:rPr>
        <w:t xml:space="preserve"> to </w:t>
      </w:r>
      <w:r>
        <w:rPr>
          <w:noProof/>
          <w:lang w:val="en-IE"/>
        </w:rPr>
        <w:t>electrify a</w:t>
      </w:r>
      <w:r w:rsidRPr="00FF1320">
        <w:rPr>
          <w:lang w:val="en-IE"/>
        </w:rPr>
        <w:t xml:space="preserve"> </w:t>
      </w:r>
      <w:r>
        <w:rPr>
          <w:noProof/>
          <w:lang w:val="en-IE"/>
        </w:rPr>
        <w:t>rail line</w:t>
      </w:r>
      <w:r w:rsidRPr="6E04217D">
        <w:rPr>
          <w:noProof/>
          <w:lang w:val="en-IE"/>
        </w:rPr>
        <w:t xml:space="preserve"> in the Brno region, thus reducing reliance on fossil fuels in the local transport system. The investment </w:t>
      </w:r>
      <w:r>
        <w:rPr>
          <w:noProof/>
          <w:lang w:val="en-IE"/>
        </w:rPr>
        <w:t>consists of</w:t>
      </w:r>
      <w:r w:rsidRPr="6E04217D">
        <w:rPr>
          <w:noProof/>
          <w:lang w:val="en-IE"/>
        </w:rPr>
        <w:t xml:space="preserve"> the </w:t>
      </w:r>
      <w:r>
        <w:rPr>
          <w:noProof/>
          <w:szCs w:val="24"/>
          <w:lang w:val="en-IE"/>
        </w:rPr>
        <w:t>“</w:t>
      </w:r>
      <w:r w:rsidRPr="6E04217D">
        <w:rPr>
          <w:noProof/>
          <w:lang w:val="en-IE"/>
        </w:rPr>
        <w:t xml:space="preserve">Electrification </w:t>
      </w:r>
      <w:r>
        <w:rPr>
          <w:noProof/>
          <w:lang w:val="en-IE"/>
        </w:rPr>
        <w:t>of</w:t>
      </w:r>
      <w:r w:rsidRPr="6E04217D">
        <w:rPr>
          <w:noProof/>
          <w:lang w:val="en-IE"/>
        </w:rPr>
        <w:t xml:space="preserve"> Brno</w:t>
      </w:r>
      <w:r>
        <w:rPr>
          <w:noProof/>
          <w:lang w:val="en-IE"/>
        </w:rPr>
        <w:t xml:space="preserve"> – </w:t>
      </w:r>
      <w:r w:rsidRPr="6E04217D">
        <w:rPr>
          <w:noProof/>
          <w:lang w:val="en-IE"/>
        </w:rPr>
        <w:t>Zastávka u Brna, stage 2</w:t>
      </w:r>
      <w:r>
        <w:rPr>
          <w:noProof/>
          <w:lang w:val="en-IE"/>
        </w:rPr>
        <w:t>” project</w:t>
      </w:r>
      <w:r w:rsidRPr="6E04217D">
        <w:rPr>
          <w:noProof/>
          <w:lang w:val="en-IE"/>
        </w:rPr>
        <w:t>.</w:t>
      </w:r>
    </w:p>
    <w:p w:rsidR="00D87E44" w:rsidP="00D226F4" w:rsidRDefault="00D87E44" w14:paraId="15458C49" w14:textId="77777777">
      <w:pPr>
        <w:spacing w:before="0" w:after="200" w:line="276" w:lineRule="auto"/>
        <w:jc w:val="both"/>
        <w:rPr>
          <w:noProof/>
          <w:lang w:val="en-IE"/>
        </w:rPr>
        <w:sectPr w:rsidR="00C16C1F" w:rsidSect="00D226F4">
          <w:headerReference w:type="even" r:id="R690f04bbcd40449b"/>
          <w:headerReference w:type="default" r:id="R5100332c16ad40a3"/>
          <w:footerReference w:type="even" r:id="Rbb9329ee13b64299"/>
          <w:footerReference w:type="default" r:id="R1518cf35119c4786"/>
          <w:headerReference w:type="first" r:id="R64853d497bca4503"/>
          <w:footerReference w:type="first" r:id="R8280fc5eabe34d28"/>
          <w:pgSz w:w="11907" w:h="16839" w:code="9"/>
          <w:pgMar w:top="1134" w:right="1134" w:bottom="1134" w:left="1134" w:header="567" w:footer="567" w:gutter="0"/>
          <w:cols w:space="720"/>
          <w:docGrid w:linePitch="360"/>
        </w:sectPr>
      </w:pPr>
    </w:p>
    <w:p w:rsidRPr="00FE48E2" w:rsidR="00D87E44" w:rsidP="00D226F4" w:rsidRDefault="00D87E44" w14:paraId="15458C4A" w14:textId="77777777">
      <w:pPr>
        <w:pBdr>
          <w:top w:val="nil"/>
          <w:left w:val="nil"/>
          <w:bottom w:val="nil"/>
          <w:right w:val="nil"/>
          <w:between w:val="nil"/>
        </w:pBdr>
        <w:tabs>
          <w:tab w:val="left" w:pos="993"/>
        </w:tabs>
        <w:spacing w:line="240" w:lineRule="auto"/>
        <w:jc w:val="both"/>
        <w:rPr>
          <w:rFonts w:eastAsia="Times New Roman"/>
          <w:b/>
          <w:bCs/>
          <w:noProof/>
          <w:color w:val="000000" w:themeColor="text1"/>
          <w:u w:val="single"/>
          <w:lang w:val="en-IE"/>
        </w:rPr>
      </w:pPr>
      <w:r w:rsidRPr="1B282876">
        <w:rPr>
          <w:rFonts w:eastAsia="Times New Roman"/>
          <w:b/>
          <w:bCs/>
          <w:noProof/>
          <w:u w:val="single"/>
          <w:lang w:val="en-IE"/>
        </w:rPr>
        <w:lastRenderedPageBreak/>
        <w:t xml:space="preserve">JJ.2. Milestones, targets, indicators, and timetable for monitoring and implementation for </w:t>
      </w:r>
      <w:r w:rsidRPr="1B282876">
        <w:rPr>
          <w:rFonts w:eastAsia="Times New Roman"/>
          <w:b/>
          <w:bCs/>
          <w:noProof/>
          <w:color w:val="000000" w:themeColor="text1"/>
          <w:u w:val="single"/>
          <w:lang w:val="en-IE"/>
        </w:rPr>
        <w:t>non-repayable financial support</w:t>
      </w:r>
    </w:p>
    <w:tbl>
      <w:tblPr>
        <w:tblW w:w="15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704"/>
        <w:gridCol w:w="1559"/>
        <w:gridCol w:w="1134"/>
        <w:gridCol w:w="1695"/>
        <w:gridCol w:w="1738"/>
        <w:gridCol w:w="958"/>
        <w:gridCol w:w="958"/>
        <w:gridCol w:w="958"/>
        <w:gridCol w:w="990"/>
        <w:gridCol w:w="641"/>
        <w:gridCol w:w="3975"/>
      </w:tblGrid>
      <w:tr w:rsidRPr="00FE48E2" w:rsidR="00E3458A" w14:paraId="15458C53" w14:textId="77777777">
        <w:trPr>
          <w:trHeight w:val="672"/>
          <w:tblHeader/>
          <w:jc w:val="center"/>
        </w:trPr>
        <w:tc>
          <w:tcPr>
            <w:tcW w:w="704" w:type="dxa"/>
            <w:vMerge w:val="restart"/>
            <w:shd w:val="clear" w:color="auto" w:fill="BDD7EE"/>
            <w:vAlign w:val="center"/>
            <w:hideMark/>
          </w:tcPr>
          <w:p w:rsidRPr="00FE48E2" w:rsidR="00D87E44" w:rsidRDefault="00D87E44" w14:paraId="15458C4B"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Seq. Num.</w:t>
            </w:r>
          </w:p>
        </w:tc>
        <w:tc>
          <w:tcPr>
            <w:tcW w:w="1559" w:type="dxa"/>
            <w:vMerge w:val="restart"/>
            <w:shd w:val="clear" w:color="auto" w:fill="BDD7EE"/>
            <w:vAlign w:val="center"/>
            <w:hideMark/>
          </w:tcPr>
          <w:p w:rsidRPr="00FE48E2" w:rsidR="00D87E44" w:rsidRDefault="00D87E44" w14:paraId="15458C4C"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Related Measure (Reform or Investment)</w:t>
            </w:r>
          </w:p>
        </w:tc>
        <w:tc>
          <w:tcPr>
            <w:tcW w:w="1134" w:type="dxa"/>
            <w:vMerge w:val="restart"/>
            <w:shd w:val="clear" w:color="auto" w:fill="BDD7EE"/>
            <w:vAlign w:val="center"/>
            <w:hideMark/>
          </w:tcPr>
          <w:p w:rsidRPr="00FE48E2" w:rsidR="00D87E44" w:rsidRDefault="00D87E44" w14:paraId="15458C4D"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Milestone / Target</w:t>
            </w:r>
          </w:p>
        </w:tc>
        <w:tc>
          <w:tcPr>
            <w:tcW w:w="1695" w:type="dxa"/>
            <w:vMerge w:val="restart"/>
            <w:shd w:val="clear" w:color="auto" w:fill="BDD7EE"/>
            <w:vAlign w:val="center"/>
            <w:hideMark/>
          </w:tcPr>
          <w:p w:rsidRPr="00FE48E2" w:rsidR="00D87E44" w:rsidRDefault="00D87E44" w14:paraId="15458C4E"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Name</w:t>
            </w:r>
          </w:p>
        </w:tc>
        <w:tc>
          <w:tcPr>
            <w:tcW w:w="1738" w:type="dxa"/>
            <w:vMerge w:val="restart"/>
            <w:shd w:val="clear" w:color="auto" w:fill="BDD7EE"/>
            <w:vAlign w:val="center"/>
            <w:hideMark/>
          </w:tcPr>
          <w:p w:rsidRPr="00FE48E2" w:rsidR="00D87E44" w:rsidRDefault="00D87E44" w14:paraId="15458C4F"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Qualitative indicators </w:t>
            </w:r>
            <w:r w:rsidRPr="00FE48E2">
              <w:rPr>
                <w:rFonts w:eastAsia="Times New Roman"/>
                <w:b/>
                <w:noProof/>
                <w:sz w:val="18"/>
                <w:szCs w:val="18"/>
                <w:lang w:val="en-IE"/>
              </w:rPr>
              <w:br/>
              <w:t>(for milestones)</w:t>
            </w:r>
          </w:p>
        </w:tc>
        <w:tc>
          <w:tcPr>
            <w:tcW w:w="2874" w:type="dxa"/>
            <w:gridSpan w:val="3"/>
            <w:shd w:val="clear" w:color="auto" w:fill="BDD7EE"/>
            <w:vAlign w:val="center"/>
            <w:hideMark/>
          </w:tcPr>
          <w:p w:rsidRPr="00FE48E2" w:rsidR="00D87E44" w:rsidRDefault="00D87E44" w14:paraId="15458C50"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Quantitative indicators </w:t>
            </w:r>
            <w:r w:rsidRPr="00FE48E2">
              <w:rPr>
                <w:rFonts w:eastAsia="Times New Roman"/>
                <w:b/>
                <w:noProof/>
                <w:sz w:val="18"/>
                <w:szCs w:val="18"/>
                <w:lang w:val="en-IE"/>
              </w:rPr>
              <w:br/>
              <w:t>(for targets)</w:t>
            </w:r>
          </w:p>
        </w:tc>
        <w:tc>
          <w:tcPr>
            <w:tcW w:w="1631" w:type="dxa"/>
            <w:gridSpan w:val="2"/>
            <w:shd w:val="clear" w:color="auto" w:fill="BDD7EE"/>
            <w:vAlign w:val="center"/>
            <w:hideMark/>
          </w:tcPr>
          <w:p w:rsidRPr="00FE48E2" w:rsidR="00D87E44" w:rsidRDefault="00D87E44" w14:paraId="15458C51"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 xml:space="preserve">Indicative timeline for completion </w:t>
            </w:r>
          </w:p>
        </w:tc>
        <w:tc>
          <w:tcPr>
            <w:tcW w:w="3975" w:type="dxa"/>
            <w:vMerge w:val="restart"/>
            <w:shd w:val="clear" w:color="auto" w:fill="BDD7EE"/>
            <w:vAlign w:val="center"/>
            <w:hideMark/>
          </w:tcPr>
          <w:p w:rsidRPr="00FE48E2" w:rsidR="00D87E44" w:rsidRDefault="00D87E44" w14:paraId="15458C52" w14:textId="77777777">
            <w:pPr>
              <w:spacing w:before="0" w:after="0" w:line="240" w:lineRule="auto"/>
              <w:jc w:val="center"/>
              <w:rPr>
                <w:rFonts w:eastAsia="Times New Roman"/>
                <w:b/>
                <w:noProof/>
                <w:sz w:val="18"/>
                <w:szCs w:val="18"/>
                <w:lang w:val="en-IE"/>
              </w:rPr>
            </w:pPr>
            <w:r w:rsidRPr="00FE48E2">
              <w:rPr>
                <w:rFonts w:eastAsia="Times New Roman"/>
                <w:b/>
                <w:noProof/>
                <w:sz w:val="18"/>
                <w:szCs w:val="18"/>
                <w:lang w:val="en-IE"/>
              </w:rPr>
              <w:t>Description of each milestone and target</w:t>
            </w:r>
          </w:p>
        </w:tc>
      </w:tr>
      <w:tr w:rsidRPr="00FE48E2" w:rsidR="00E3458A" w14:paraId="15458C5F" w14:textId="77777777">
        <w:trPr>
          <w:trHeight w:val="458"/>
          <w:tblHeader/>
          <w:jc w:val="center"/>
        </w:trPr>
        <w:tc>
          <w:tcPr>
            <w:tcW w:w="704" w:type="dxa"/>
            <w:vMerge/>
            <w:vAlign w:val="center"/>
            <w:hideMark/>
          </w:tcPr>
          <w:p w:rsidRPr="00FE48E2" w:rsidR="00D87E44" w:rsidRDefault="00D87E44" w14:paraId="15458C54" w14:textId="77777777">
            <w:pPr>
              <w:spacing w:before="0" w:after="0" w:line="240" w:lineRule="auto"/>
              <w:rPr>
                <w:rFonts w:eastAsia="Times New Roman"/>
                <w:b/>
                <w:noProof/>
                <w:sz w:val="18"/>
                <w:szCs w:val="18"/>
                <w:lang w:val="en-IE"/>
              </w:rPr>
            </w:pPr>
          </w:p>
        </w:tc>
        <w:tc>
          <w:tcPr>
            <w:tcW w:w="1559" w:type="dxa"/>
            <w:vMerge/>
            <w:vAlign w:val="center"/>
            <w:hideMark/>
          </w:tcPr>
          <w:p w:rsidRPr="00FE48E2" w:rsidR="00D87E44" w:rsidRDefault="00D87E44" w14:paraId="15458C55" w14:textId="77777777">
            <w:pPr>
              <w:spacing w:before="0" w:after="0" w:line="240" w:lineRule="auto"/>
              <w:rPr>
                <w:rFonts w:eastAsia="Times New Roman"/>
                <w:b/>
                <w:noProof/>
                <w:sz w:val="18"/>
                <w:szCs w:val="18"/>
                <w:lang w:val="en-IE"/>
              </w:rPr>
            </w:pPr>
          </w:p>
        </w:tc>
        <w:tc>
          <w:tcPr>
            <w:tcW w:w="1134" w:type="dxa"/>
            <w:vMerge/>
            <w:vAlign w:val="center"/>
            <w:hideMark/>
          </w:tcPr>
          <w:p w:rsidRPr="00FE48E2" w:rsidR="00D87E44" w:rsidRDefault="00D87E44" w14:paraId="15458C56" w14:textId="77777777">
            <w:pPr>
              <w:spacing w:before="0" w:after="0" w:line="240" w:lineRule="auto"/>
              <w:rPr>
                <w:rFonts w:eastAsia="Times New Roman"/>
                <w:b/>
                <w:noProof/>
                <w:sz w:val="18"/>
                <w:szCs w:val="18"/>
                <w:lang w:val="en-IE"/>
              </w:rPr>
            </w:pPr>
          </w:p>
        </w:tc>
        <w:tc>
          <w:tcPr>
            <w:tcW w:w="1695" w:type="dxa"/>
            <w:vMerge/>
            <w:vAlign w:val="center"/>
            <w:hideMark/>
          </w:tcPr>
          <w:p w:rsidRPr="00FE48E2" w:rsidR="00D87E44" w:rsidRDefault="00D87E44" w14:paraId="15458C57" w14:textId="77777777">
            <w:pPr>
              <w:spacing w:before="0" w:after="0" w:line="240" w:lineRule="auto"/>
              <w:rPr>
                <w:rFonts w:eastAsia="Times New Roman"/>
                <w:b/>
                <w:noProof/>
                <w:sz w:val="18"/>
                <w:szCs w:val="18"/>
                <w:lang w:val="en-IE"/>
              </w:rPr>
            </w:pPr>
          </w:p>
        </w:tc>
        <w:tc>
          <w:tcPr>
            <w:tcW w:w="1738" w:type="dxa"/>
            <w:vMerge/>
            <w:vAlign w:val="center"/>
            <w:hideMark/>
          </w:tcPr>
          <w:p w:rsidRPr="00FE48E2" w:rsidR="00D87E44" w:rsidRDefault="00D87E44" w14:paraId="15458C58" w14:textId="77777777">
            <w:pPr>
              <w:spacing w:before="0" w:after="0" w:line="240" w:lineRule="auto"/>
              <w:rPr>
                <w:rFonts w:eastAsia="Times New Roman"/>
                <w:b/>
                <w:noProof/>
                <w:sz w:val="18"/>
                <w:szCs w:val="18"/>
                <w:lang w:val="en-IE"/>
              </w:rPr>
            </w:pPr>
          </w:p>
        </w:tc>
        <w:tc>
          <w:tcPr>
            <w:tcW w:w="958" w:type="dxa"/>
            <w:shd w:val="clear" w:color="auto" w:fill="BDD7EE"/>
            <w:vAlign w:val="center"/>
            <w:hideMark/>
          </w:tcPr>
          <w:p w:rsidRPr="00275E81" w:rsidR="00D87E44" w:rsidRDefault="00D87E44" w14:paraId="15458C59"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Unit of measure</w:t>
            </w:r>
          </w:p>
        </w:tc>
        <w:tc>
          <w:tcPr>
            <w:tcW w:w="958" w:type="dxa"/>
            <w:shd w:val="clear" w:color="auto" w:fill="BDD7EE"/>
            <w:vAlign w:val="center"/>
            <w:hideMark/>
          </w:tcPr>
          <w:p w:rsidRPr="00275E81" w:rsidR="00D87E44" w:rsidRDefault="00D87E44" w14:paraId="15458C5A"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Baseline </w:t>
            </w:r>
          </w:p>
        </w:tc>
        <w:tc>
          <w:tcPr>
            <w:tcW w:w="958" w:type="dxa"/>
            <w:shd w:val="clear" w:color="auto" w:fill="BDD7EE"/>
            <w:vAlign w:val="center"/>
            <w:hideMark/>
          </w:tcPr>
          <w:p w:rsidRPr="00275E81" w:rsidR="00D87E44" w:rsidRDefault="00D87E44" w14:paraId="15458C5B"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 xml:space="preserve">Goal </w:t>
            </w:r>
          </w:p>
        </w:tc>
        <w:tc>
          <w:tcPr>
            <w:tcW w:w="990" w:type="dxa"/>
            <w:shd w:val="clear" w:color="auto" w:fill="BDD7EE"/>
            <w:vAlign w:val="center"/>
            <w:hideMark/>
          </w:tcPr>
          <w:p w:rsidRPr="00275E81" w:rsidR="00D87E44" w:rsidRDefault="00D87E44" w14:paraId="15458C5C"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Quarter</w:t>
            </w:r>
          </w:p>
        </w:tc>
        <w:tc>
          <w:tcPr>
            <w:tcW w:w="641" w:type="dxa"/>
            <w:shd w:val="clear" w:color="auto" w:fill="BDD7EE"/>
            <w:vAlign w:val="center"/>
            <w:hideMark/>
          </w:tcPr>
          <w:p w:rsidRPr="00275E81" w:rsidR="00D87E44" w:rsidRDefault="00D87E44" w14:paraId="15458C5D" w14:textId="77777777">
            <w:pPr>
              <w:spacing w:before="0" w:after="0" w:line="240" w:lineRule="auto"/>
              <w:jc w:val="center"/>
              <w:rPr>
                <w:rFonts w:eastAsia="Times New Roman"/>
                <w:b/>
                <w:noProof/>
                <w:sz w:val="18"/>
                <w:szCs w:val="18"/>
                <w:lang w:val="en-IE"/>
              </w:rPr>
            </w:pPr>
            <w:r w:rsidRPr="00275E81">
              <w:rPr>
                <w:rFonts w:eastAsia="Times New Roman"/>
                <w:b/>
                <w:noProof/>
                <w:sz w:val="18"/>
                <w:szCs w:val="18"/>
                <w:lang w:val="en-IE"/>
              </w:rPr>
              <w:t>Year</w:t>
            </w:r>
          </w:p>
        </w:tc>
        <w:tc>
          <w:tcPr>
            <w:tcW w:w="3975" w:type="dxa"/>
            <w:vMerge/>
            <w:vAlign w:val="center"/>
            <w:hideMark/>
          </w:tcPr>
          <w:p w:rsidRPr="00FE48E2" w:rsidR="00D87E44" w:rsidRDefault="00D87E44" w14:paraId="15458C5E" w14:textId="77777777">
            <w:pPr>
              <w:spacing w:before="0" w:after="0" w:line="240" w:lineRule="auto"/>
              <w:rPr>
                <w:rFonts w:eastAsia="Times New Roman"/>
                <w:b/>
                <w:noProof/>
                <w:sz w:val="18"/>
                <w:szCs w:val="18"/>
                <w:lang w:val="en-IE"/>
              </w:rPr>
            </w:pPr>
          </w:p>
        </w:tc>
      </w:tr>
      <w:tr w:rsidRPr="00FE48E2" w:rsidR="00E3458A" w14:paraId="15458C6D" w14:textId="77777777">
        <w:trPr>
          <w:trHeight w:val="309"/>
          <w:jc w:val="center"/>
        </w:trPr>
        <w:tc>
          <w:tcPr>
            <w:tcW w:w="704" w:type="dxa"/>
            <w:shd w:val="clear" w:color="auto" w:fill="C6EFCE"/>
            <w:hideMark/>
          </w:tcPr>
          <w:p w:rsidRPr="00FE48E2" w:rsidR="00D87E44" w:rsidRDefault="00D87E44" w14:paraId="15458C60" w14:textId="77777777">
            <w:pPr>
              <w:spacing w:before="0" w:after="0" w:line="240" w:lineRule="auto"/>
              <w:rPr>
                <w:rFonts w:eastAsia="Times New Roman"/>
                <w:noProof/>
                <w:color w:val="004300"/>
                <w:sz w:val="18"/>
                <w:szCs w:val="18"/>
                <w:lang w:val="en-IE"/>
              </w:rPr>
            </w:pPr>
            <w:r w:rsidRPr="00AE6459">
              <w:rPr>
                <w:rFonts w:eastAsia="Times New Roman"/>
                <w:noProof/>
                <w:color w:val="006100"/>
                <w:sz w:val="18"/>
                <w:szCs w:val="18"/>
                <w:lang w:val="en-IE"/>
              </w:rPr>
              <w:t>339</w:t>
            </w:r>
          </w:p>
        </w:tc>
        <w:tc>
          <w:tcPr>
            <w:tcW w:w="1559" w:type="dxa"/>
            <w:shd w:val="clear" w:color="auto" w:fill="C6EFCE"/>
            <w:hideMark/>
          </w:tcPr>
          <w:p w:rsidRPr="00AE6459" w:rsidR="00D87E44" w:rsidRDefault="00D87E44" w14:paraId="15458C61" w14:textId="77777777">
            <w:pPr>
              <w:spacing w:before="0" w:after="0" w:line="240" w:lineRule="auto"/>
              <w:rPr>
                <w:rFonts w:eastAsia="Times New Roman"/>
                <w:noProof/>
                <w:color w:val="006100"/>
                <w:sz w:val="18"/>
                <w:szCs w:val="18"/>
                <w:lang w:val="en-IE"/>
              </w:rPr>
            </w:pPr>
            <w:r w:rsidRPr="00AE6459">
              <w:rPr>
                <w:rFonts w:eastAsia="Times New Roman"/>
                <w:noProof/>
                <w:color w:val="006100"/>
                <w:sz w:val="18"/>
                <w:szCs w:val="18"/>
                <w:lang w:val="en-IE"/>
              </w:rPr>
              <w:t xml:space="preserve">Investment 1: </w:t>
            </w:r>
            <w:r w:rsidRPr="00AE6459">
              <w:rPr>
                <w:rFonts w:eastAsia="Times New Roman"/>
                <w:noProof/>
                <w:color w:val="006100"/>
                <w:sz w:val="18"/>
                <w:szCs w:val="18"/>
                <w:lang w:val="en-IE"/>
              </w:rPr>
              <w:t>Electrification of Brno region</w:t>
            </w:r>
          </w:p>
        </w:tc>
        <w:tc>
          <w:tcPr>
            <w:tcW w:w="1134" w:type="dxa"/>
            <w:shd w:val="clear" w:color="auto" w:fill="C6EFCE"/>
            <w:hideMark/>
          </w:tcPr>
          <w:p w:rsidRPr="00FE48E2" w:rsidR="00D87E44" w:rsidRDefault="00D87E44" w14:paraId="15458C62"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Milestone</w:t>
            </w:r>
          </w:p>
        </w:tc>
        <w:tc>
          <w:tcPr>
            <w:tcW w:w="1695" w:type="dxa"/>
            <w:shd w:val="clear" w:color="auto" w:fill="C6EFCE"/>
            <w:hideMark/>
          </w:tcPr>
          <w:p w:rsidRPr="00FE48E2" w:rsidR="00D87E44" w:rsidRDefault="00D87E44" w14:paraId="15458C63"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R</w:t>
            </w:r>
            <w:r w:rsidRPr="00FE48E2">
              <w:rPr>
                <w:rFonts w:eastAsia="Times New Roman"/>
                <w:noProof/>
                <w:color w:val="004300"/>
                <w:sz w:val="18"/>
                <w:szCs w:val="18"/>
                <w:lang w:val="en-IE"/>
              </w:rPr>
              <w:t>ail electrification project “Electrification of Brno</w:t>
            </w:r>
            <w:r>
              <w:rPr>
                <w:rFonts w:eastAsia="Times New Roman"/>
                <w:noProof/>
                <w:color w:val="004300"/>
                <w:sz w:val="18"/>
                <w:szCs w:val="18"/>
                <w:lang w:val="en-IE"/>
              </w:rPr>
              <w:t xml:space="preserve"> –</w:t>
            </w:r>
            <w:r w:rsidRPr="00FE48E2">
              <w:rPr>
                <w:rFonts w:eastAsia="Times New Roman"/>
                <w:noProof/>
                <w:color w:val="004300"/>
                <w:sz w:val="18"/>
                <w:szCs w:val="18"/>
                <w:lang w:val="en-IE"/>
              </w:rPr>
              <w:t xml:space="preserve"> Zastávka u Brna, stage 2”</w:t>
            </w:r>
          </w:p>
        </w:tc>
        <w:tc>
          <w:tcPr>
            <w:tcW w:w="1738" w:type="dxa"/>
            <w:shd w:val="clear" w:color="auto" w:fill="C6EFCE"/>
            <w:hideMark/>
          </w:tcPr>
          <w:p w:rsidR="00D87E44" w:rsidRDefault="00D87E44" w14:paraId="15458C64"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Acceptance of the project</w:t>
            </w:r>
          </w:p>
          <w:p w:rsidR="00D87E44" w:rsidRDefault="00D87E44" w14:paraId="15458C65" w14:textId="77777777">
            <w:pPr>
              <w:rPr>
                <w:rFonts w:eastAsia="Times New Roman"/>
                <w:noProof/>
                <w:color w:val="004300"/>
                <w:sz w:val="18"/>
                <w:szCs w:val="18"/>
                <w:lang w:val="en-IE"/>
              </w:rPr>
            </w:pPr>
          </w:p>
          <w:p w:rsidRPr="00FF1320" w:rsidR="00D87E44" w:rsidP="00E3458A" w:rsidRDefault="00D87E44" w14:paraId="15458C66" w14:textId="77777777">
            <w:pPr>
              <w:rPr>
                <w:sz w:val="18"/>
                <w:lang w:val="en-IE"/>
              </w:rPr>
            </w:pPr>
          </w:p>
        </w:tc>
        <w:tc>
          <w:tcPr>
            <w:tcW w:w="958" w:type="dxa"/>
            <w:shd w:val="clear" w:color="auto" w:fill="C6EFCE"/>
          </w:tcPr>
          <w:p w:rsidRPr="00FE48E2" w:rsidR="00D87E44" w:rsidRDefault="00D87E44" w14:paraId="15458C67" w14:textId="77777777">
            <w:pPr>
              <w:spacing w:before="0" w:after="0" w:line="240" w:lineRule="auto"/>
              <w:rPr>
                <w:rFonts w:eastAsia="Times New Roman"/>
                <w:noProof/>
                <w:color w:val="004300"/>
                <w:sz w:val="18"/>
                <w:szCs w:val="18"/>
                <w:lang w:val="en-IE"/>
              </w:rPr>
            </w:pPr>
          </w:p>
        </w:tc>
        <w:tc>
          <w:tcPr>
            <w:tcW w:w="958" w:type="dxa"/>
            <w:shd w:val="clear" w:color="auto" w:fill="C6EFCE"/>
          </w:tcPr>
          <w:p w:rsidRPr="00FE48E2" w:rsidR="00D87E44" w:rsidRDefault="00D87E44" w14:paraId="15458C68" w14:textId="77777777">
            <w:pPr>
              <w:spacing w:before="0" w:after="0" w:line="240" w:lineRule="auto"/>
              <w:rPr>
                <w:rFonts w:eastAsia="Times New Roman"/>
                <w:noProof/>
                <w:color w:val="004300"/>
                <w:sz w:val="18"/>
                <w:szCs w:val="18"/>
                <w:lang w:val="en-IE"/>
              </w:rPr>
            </w:pPr>
          </w:p>
        </w:tc>
        <w:tc>
          <w:tcPr>
            <w:tcW w:w="958" w:type="dxa"/>
            <w:shd w:val="clear" w:color="auto" w:fill="C6EFCE"/>
          </w:tcPr>
          <w:p w:rsidRPr="00FE48E2" w:rsidR="00D87E44" w:rsidRDefault="00D87E44" w14:paraId="15458C69" w14:textId="77777777">
            <w:pPr>
              <w:spacing w:before="0" w:after="0" w:line="240" w:lineRule="auto"/>
              <w:rPr>
                <w:rFonts w:eastAsia="Times New Roman"/>
                <w:noProof/>
                <w:color w:val="004300"/>
                <w:sz w:val="18"/>
                <w:szCs w:val="18"/>
                <w:lang w:val="en-IE"/>
              </w:rPr>
            </w:pPr>
          </w:p>
        </w:tc>
        <w:tc>
          <w:tcPr>
            <w:tcW w:w="990" w:type="dxa"/>
            <w:shd w:val="clear" w:color="auto" w:fill="C6EFCE"/>
            <w:hideMark/>
          </w:tcPr>
          <w:p w:rsidRPr="00FE48E2" w:rsidR="00D87E44" w:rsidRDefault="00D87E44" w14:paraId="15458C6A"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Q</w:t>
            </w:r>
            <w:r>
              <w:rPr>
                <w:rFonts w:eastAsia="Times New Roman"/>
                <w:noProof/>
                <w:color w:val="004300"/>
                <w:sz w:val="18"/>
                <w:szCs w:val="18"/>
                <w:lang w:val="en-IE"/>
              </w:rPr>
              <w:t>4</w:t>
            </w:r>
          </w:p>
        </w:tc>
        <w:tc>
          <w:tcPr>
            <w:tcW w:w="641" w:type="dxa"/>
            <w:shd w:val="clear" w:color="auto" w:fill="C6EFCE"/>
            <w:hideMark/>
          </w:tcPr>
          <w:p w:rsidRPr="00FE48E2" w:rsidR="00D87E44" w:rsidRDefault="00D87E44" w14:paraId="15458C6B" w14:textId="77777777">
            <w:pPr>
              <w:spacing w:before="0" w:after="0" w:line="240" w:lineRule="auto"/>
              <w:rPr>
                <w:rFonts w:eastAsia="Times New Roman"/>
                <w:noProof/>
                <w:color w:val="004300"/>
                <w:sz w:val="18"/>
                <w:szCs w:val="18"/>
                <w:lang w:val="en-IE"/>
              </w:rPr>
            </w:pPr>
            <w:r w:rsidRPr="00FE48E2">
              <w:rPr>
                <w:rFonts w:eastAsia="Times New Roman"/>
                <w:noProof/>
                <w:color w:val="004300"/>
                <w:sz w:val="18"/>
                <w:szCs w:val="18"/>
                <w:lang w:val="en-IE"/>
              </w:rPr>
              <w:t>202</w:t>
            </w:r>
            <w:r w:rsidRPr="0A4DE686">
              <w:rPr>
                <w:rFonts w:eastAsia="Times New Roman"/>
                <w:noProof/>
                <w:color w:val="004300"/>
                <w:sz w:val="18"/>
                <w:szCs w:val="18"/>
                <w:lang w:val="en-IE"/>
              </w:rPr>
              <w:t>5</w:t>
            </w:r>
          </w:p>
        </w:tc>
        <w:tc>
          <w:tcPr>
            <w:tcW w:w="3975" w:type="dxa"/>
            <w:shd w:val="clear" w:color="auto" w:fill="C6EFCE"/>
            <w:hideMark/>
          </w:tcPr>
          <w:p w:rsidRPr="00FE48E2" w:rsidR="00D87E44" w:rsidRDefault="00D87E44" w14:paraId="15458C6C" w14:textId="77777777">
            <w:pPr>
              <w:spacing w:before="0" w:after="0" w:line="240" w:lineRule="auto"/>
              <w:rPr>
                <w:rFonts w:eastAsia="Times New Roman"/>
                <w:noProof/>
                <w:color w:val="004300"/>
                <w:sz w:val="18"/>
                <w:szCs w:val="18"/>
                <w:lang w:val="en-IE"/>
              </w:rPr>
            </w:pPr>
            <w:r>
              <w:rPr>
                <w:rFonts w:eastAsia="Times New Roman"/>
                <w:noProof/>
                <w:color w:val="004300"/>
                <w:sz w:val="18"/>
                <w:szCs w:val="18"/>
                <w:lang w:val="en-IE"/>
              </w:rPr>
              <w:t xml:space="preserve">Handover protocol and permit for trial operation issued for </w:t>
            </w:r>
            <w:r w:rsidRPr="00FE48E2">
              <w:rPr>
                <w:rFonts w:eastAsia="Times New Roman"/>
                <w:noProof/>
                <w:color w:val="004300"/>
                <w:sz w:val="18"/>
                <w:szCs w:val="18"/>
                <w:lang w:val="en-IE"/>
              </w:rPr>
              <w:t>project “Electrification of Brno</w:t>
            </w:r>
            <w:r>
              <w:rPr>
                <w:rFonts w:eastAsia="Times New Roman"/>
                <w:noProof/>
                <w:color w:val="004300"/>
                <w:sz w:val="18"/>
                <w:szCs w:val="18"/>
                <w:lang w:val="en-IE"/>
              </w:rPr>
              <w:t xml:space="preserve"> –</w:t>
            </w:r>
            <w:r w:rsidRPr="00FE48E2">
              <w:rPr>
                <w:rFonts w:eastAsia="Times New Roman"/>
                <w:noProof/>
                <w:color w:val="004300"/>
                <w:sz w:val="18"/>
                <w:szCs w:val="18"/>
                <w:lang w:val="en-IE"/>
              </w:rPr>
              <w:t xml:space="preserve"> Zastávka u Brna, stage 2”. </w:t>
            </w:r>
          </w:p>
        </w:tc>
      </w:tr>
    </w:tbl>
    <w:p w:rsidRPr="00FE48E2" w:rsidR="00D87E44" w:rsidP="00D226F4" w:rsidRDefault="00D87E44" w14:paraId="15458C6E"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rPr>
      </w:pPr>
    </w:p>
    <w:p w:rsidRPr="00FE48E2" w:rsidR="00D87E44" w:rsidP="00D226F4" w:rsidRDefault="00D87E44" w14:paraId="15458C6F" w14:textId="77777777">
      <w:pPr>
        <w:pBdr>
          <w:top w:val="nil"/>
          <w:left w:val="nil"/>
          <w:bottom w:val="nil"/>
          <w:right w:val="nil"/>
          <w:between w:val="nil"/>
        </w:pBdr>
        <w:tabs>
          <w:tab w:val="left" w:pos="993"/>
        </w:tabs>
        <w:spacing w:line="240" w:lineRule="auto"/>
        <w:jc w:val="both"/>
        <w:rPr>
          <w:rFonts w:eastAsia="Times New Roman"/>
          <w:b/>
          <w:noProof/>
          <w:color w:val="000000" w:themeColor="text1"/>
          <w:u w:val="single"/>
          <w:lang w:val="en-IE"/>
        </w:rPr>
      </w:pPr>
    </w:p>
    <w:p w:rsidRPr="00FE48E2" w:rsidR="00D87E44" w:rsidP="00D226F4" w:rsidRDefault="00D87E44" w14:paraId="15458C70" w14:textId="77777777">
      <w:pPr>
        <w:spacing w:before="0" w:after="0" w:line="240" w:lineRule="auto"/>
        <w:rPr>
          <w:rFonts w:eastAsia="Times New Roman"/>
          <w:b/>
          <w:noProof/>
          <w:color w:val="000000" w:themeColor="text1"/>
          <w:szCs w:val="24"/>
          <w:lang w:val="en-IE"/>
        </w:rPr>
        <w:sectPr w:rsidRPr="00FE48E2" w:rsidR="00C16C1F" w:rsidSect="00D226F4">
          <w:headerReference w:type="even" r:id="R1741884f69f94484"/>
          <w:headerReference w:type="default" r:id="Re78892e1e6de43ac"/>
          <w:footerReference w:type="even" r:id="R2a8ce9bc36644685"/>
          <w:footerReference w:type="default" r:id="Rf1d72e636e76484c"/>
          <w:headerReference w:type="first" r:id="R01efa29cbb174340"/>
          <w:footerReference w:type="first" r:id="R8eb72519f3984af0"/>
          <w:pgSz w:w="16839" w:h="11907" w:orient="landscape" w:code="9"/>
          <w:pgMar w:top="1134" w:right="1134" w:bottom="1134" w:left="1134" w:header="567" w:footer="567" w:gutter="0"/>
          <w:cols w:space="720"/>
          <w:docGrid w:linePitch="360"/>
        </w:sectPr>
      </w:pPr>
    </w:p>
    <w:p w:rsidRPr="00FE48E2" w:rsidR="00D87E44" w:rsidP="00D226F4" w:rsidRDefault="00D87E44" w14:paraId="15458C71" w14:textId="77777777">
      <w:pPr>
        <w:keepNext/>
        <w:tabs>
          <w:tab w:val="left" w:pos="850"/>
        </w:tabs>
        <w:spacing w:line="240" w:lineRule="auto"/>
        <w:jc w:val="both"/>
        <w:outlineLvl w:val="0"/>
        <w:rPr>
          <w:b/>
          <w:bCs/>
          <w:smallCaps/>
          <w:noProof/>
          <w:lang w:val="en-IE"/>
        </w:rPr>
      </w:pPr>
      <w:r w:rsidRPr="1B282876">
        <w:rPr>
          <w:b/>
          <w:bCs/>
          <w:caps/>
          <w:noProof/>
          <w:lang w:val="en-IE"/>
        </w:rPr>
        <w:lastRenderedPageBreak/>
        <w:t xml:space="preserve">KK. </w:t>
      </w:r>
      <w:r>
        <w:rPr>
          <w:b/>
          <w:bCs/>
          <w:caps/>
          <w:noProof/>
          <w:lang w:val="en-IE"/>
        </w:rPr>
        <w:t>COMPONENT</w:t>
      </w:r>
      <w:r w:rsidRPr="1B282876">
        <w:rPr>
          <w:b/>
          <w:bCs/>
          <w:caps/>
          <w:noProof/>
          <w:lang w:val="en-IE"/>
        </w:rPr>
        <w:t xml:space="preserve"> 7.7</w:t>
      </w:r>
      <w:r w:rsidRPr="1B282876">
        <w:rPr>
          <w:b/>
          <w:bCs/>
          <w:smallCaps/>
          <w:noProof/>
          <w:lang w:val="en-IE"/>
        </w:rPr>
        <w:t xml:space="preserve"> Simplifying environmental permitting processes and defining areas for the development of renewable energy sources (REPOWER EU)</w:t>
      </w:r>
    </w:p>
    <w:p w:rsidRPr="00FE48E2" w:rsidR="00D87E44" w:rsidP="00D226F4" w:rsidRDefault="00D87E44" w14:paraId="15458C72"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 xml:space="preserve">The component aims to simplify the environmental permitting process for renewable energy projects and accelerate the </w:t>
      </w:r>
      <w:r w:rsidRPr="00FE48E2">
        <w:rPr>
          <w:rFonts w:eastAsia="Times New Roman"/>
          <w:noProof/>
          <w:color w:val="000000" w:themeColor="text1"/>
          <w:szCs w:val="24"/>
          <w:lang w:val="en-IE"/>
        </w:rPr>
        <w:t>deployment of renewable energy sources through the creation of specific areas where administrative and permitting procedures are being streamlined and simplified.</w:t>
      </w:r>
    </w:p>
    <w:p w:rsidRPr="00FE48E2" w:rsidR="00D87E44" w:rsidP="00D226F4" w:rsidRDefault="00D87E44" w14:paraId="15458C73"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rPr>
      </w:pPr>
      <w:r w:rsidRPr="00FE48E2">
        <w:rPr>
          <w:rFonts w:eastAsia="Times New Roman"/>
          <w:noProof/>
          <w:color w:val="000000" w:themeColor="text1"/>
          <w:szCs w:val="24"/>
          <w:lang w:val="en-IE"/>
        </w:rPr>
        <w:t>The component supports addressing the country specific recommendation to reduce overall reliance on, and consumption of fossil fuels by accelerating the deployment of renewables, including through further streamlining permit procedures and making grid access easier (CSR 4, 2022).</w:t>
      </w:r>
    </w:p>
    <w:p w:rsidRPr="00FE48E2" w:rsidR="00D87E44" w:rsidP="00D226F4" w:rsidRDefault="00D87E44" w14:paraId="15458C74" w14:textId="77777777">
      <w:pPr>
        <w:pBdr>
          <w:top w:val="nil"/>
          <w:left w:val="nil"/>
          <w:bottom w:val="nil"/>
          <w:right w:val="nil"/>
          <w:between w:val="nil"/>
        </w:pBdr>
        <w:tabs>
          <w:tab w:val="left" w:pos="993"/>
        </w:tabs>
        <w:spacing w:line="240" w:lineRule="auto"/>
        <w:jc w:val="both"/>
        <w:rPr>
          <w:rFonts w:eastAsia="Times New Roman"/>
          <w:noProof/>
          <w:color w:val="000000" w:themeColor="text1"/>
          <w:szCs w:val="24"/>
          <w:lang w:val="en-IE"/>
        </w:rPr>
      </w:pPr>
    </w:p>
    <w:p w:rsidRPr="00FE48E2" w:rsidR="00D87E44" w:rsidP="00D226F4" w:rsidRDefault="00D87E44" w14:paraId="15458C75" w14:textId="77777777">
      <w:pPr>
        <w:spacing w:line="240" w:lineRule="auto"/>
        <w:jc w:val="both"/>
        <w:rPr>
          <w:rFonts w:eastAsia="Times New Roman"/>
          <w:b/>
          <w:bCs/>
          <w:noProof/>
          <w:u w:val="single"/>
          <w:lang w:val="en-IE"/>
        </w:rPr>
      </w:pPr>
      <w:r w:rsidRPr="1B282876">
        <w:rPr>
          <w:rFonts w:eastAsia="Times New Roman"/>
          <w:b/>
          <w:bCs/>
          <w:noProof/>
          <w:u w:val="single"/>
          <w:lang w:val="en-IE"/>
        </w:rPr>
        <w:t xml:space="preserve">KK.1. Description of the reforms </w:t>
      </w:r>
      <w:r w:rsidRPr="0070162F">
        <w:rPr>
          <w:rFonts w:eastAsia="Times New Roman"/>
          <w:b/>
          <w:bCs/>
          <w:noProof/>
          <w:u w:val="single"/>
          <w:lang w:val="en-IE"/>
        </w:rPr>
        <w:t>for non-repayable financial support</w:t>
      </w:r>
      <w:r w:rsidRPr="00856ADA" w:rsidDel="00D619FF">
        <w:rPr>
          <w:rFonts w:eastAsia="Times New Roman"/>
          <w:b/>
          <w:bCs/>
          <w:noProof/>
          <w:color w:val="2B579A"/>
          <w:highlight w:val="green"/>
          <w:u w:val="single"/>
          <w:shd w:val="clear" w:color="auto" w:fill="E6E6E6"/>
          <w:lang w:val="en-IE"/>
        </w:rPr>
        <w:t xml:space="preserve"> </w:t>
      </w:r>
    </w:p>
    <w:p w:rsidRPr="00FE48E2" w:rsidR="00D87E44" w:rsidP="00D226F4" w:rsidRDefault="00D87E44" w14:paraId="15458C76" w14:textId="77777777">
      <w:pPr>
        <w:spacing w:line="240" w:lineRule="auto"/>
        <w:jc w:val="both"/>
        <w:rPr>
          <w:b/>
          <w:noProof/>
          <w:szCs w:val="24"/>
          <w:lang w:val="en-IE"/>
        </w:rPr>
      </w:pPr>
      <w:r w:rsidRPr="00ED56CE">
        <w:rPr>
          <w:b/>
          <w:noProof/>
          <w:szCs w:val="24"/>
          <w:lang w:val="en-IE"/>
        </w:rPr>
        <w:t>Reform 1: Single environmental opinion</w:t>
      </w:r>
    </w:p>
    <w:p w:rsidRPr="00FE48E2" w:rsidR="00D87E44" w:rsidP="00D226F4" w:rsidRDefault="00D87E44" w14:paraId="15458C77" w14:textId="77777777">
      <w:pPr>
        <w:pStyle w:val="paragraph"/>
        <w:spacing w:before="0" w:beforeAutospacing="0" w:after="0" w:afterAutospacing="0"/>
        <w:jc w:val="both"/>
        <w:textAlignment w:val="baseline"/>
        <w:rPr>
          <w:rFonts w:ascii="Segoe UI" w:hAnsi="Segoe UI" w:cs="Segoe UI"/>
          <w:noProof/>
          <w:color w:val="000000" w:themeColor="text1"/>
          <w:lang w:val="en-IE"/>
        </w:rPr>
      </w:pPr>
      <w:r w:rsidRPr="00FE48E2">
        <w:rPr>
          <w:rStyle w:val="normaltextrun"/>
          <w:noProof/>
          <w:color w:val="000000" w:themeColor="text1"/>
          <w:lang w:val="en-IE"/>
        </w:rPr>
        <w:t>The objective of the measure is to introduce a single environmental opinion and support its implementation by the Czech administration. The reform on</w:t>
      </w:r>
      <w:r w:rsidRPr="00FE48E2">
        <w:rPr>
          <w:rStyle w:val="normaltextrun"/>
          <w:strike/>
          <w:noProof/>
          <w:color w:val="000000" w:themeColor="text1"/>
          <w:lang w:val="en-IE"/>
        </w:rPr>
        <w:t xml:space="preserve"> </w:t>
      </w:r>
      <w:r w:rsidRPr="00FE48E2">
        <w:rPr>
          <w:rStyle w:val="normaltextrun"/>
          <w:noProof/>
          <w:color w:val="000000" w:themeColor="text1"/>
          <w:lang w:val="en-IE"/>
        </w:rPr>
        <w:t xml:space="preserve">the Single Environmental opinion aims to simplify and streamline the environmental permitting process, including for renewable energy projects while taking into account the environmental interests of nature and landscape conservation and the requirements under EU law as well as other international legal </w:t>
      </w:r>
      <w:r>
        <w:rPr>
          <w:rStyle w:val="normaltextrun"/>
          <w:noProof/>
          <w:color w:val="000000" w:themeColor="text1"/>
          <w:lang w:val="en-IE"/>
        </w:rPr>
        <w:t xml:space="preserve">requirements </w:t>
      </w:r>
      <w:r w:rsidRPr="00FE48E2">
        <w:rPr>
          <w:rStyle w:val="normaltextrun"/>
          <w:noProof/>
          <w:color w:val="000000" w:themeColor="text1"/>
          <w:lang w:val="en-IE"/>
        </w:rPr>
        <w:t>on public participation and access to justice in environmental matters.</w:t>
      </w:r>
      <w:r w:rsidRPr="00FE48E2">
        <w:rPr>
          <w:rStyle w:val="eop"/>
          <w:noProof/>
          <w:color w:val="000000" w:themeColor="text1"/>
          <w:lang w:val="en-IE"/>
        </w:rPr>
        <w:t> </w:t>
      </w:r>
    </w:p>
    <w:p w:rsidRPr="00FE48E2" w:rsidR="00D87E44" w:rsidP="00D226F4" w:rsidRDefault="00D87E44" w14:paraId="15458C78" w14:textId="77777777">
      <w:pPr>
        <w:pStyle w:val="paragraph"/>
        <w:spacing w:before="0" w:beforeAutospacing="0" w:after="0" w:afterAutospacing="0"/>
        <w:jc w:val="both"/>
        <w:rPr>
          <w:rStyle w:val="eop"/>
          <w:noProof/>
          <w:color w:val="000000" w:themeColor="text1"/>
          <w:lang w:val="en-IE"/>
        </w:rPr>
      </w:pPr>
    </w:p>
    <w:p w:rsidRPr="00FE48E2" w:rsidR="00D87E44" w:rsidP="00D226F4" w:rsidRDefault="00D87E44" w14:paraId="15458C79" w14:textId="77777777">
      <w:pPr>
        <w:pStyle w:val="paragraph"/>
        <w:spacing w:before="0" w:beforeAutospacing="0" w:after="0" w:afterAutospacing="0"/>
        <w:jc w:val="both"/>
        <w:textAlignment w:val="baseline"/>
        <w:rPr>
          <w:rFonts w:ascii="Segoe UI" w:hAnsi="Segoe UI" w:cs="Segoe UI"/>
          <w:noProof/>
          <w:color w:val="000000" w:themeColor="text1"/>
          <w:lang w:val="en-IE"/>
        </w:rPr>
      </w:pPr>
      <w:r w:rsidRPr="00FE48E2">
        <w:rPr>
          <w:rStyle w:val="normaltextrun"/>
          <w:noProof/>
          <w:color w:val="000000" w:themeColor="text1"/>
          <w:lang w:val="en-IE"/>
        </w:rPr>
        <w:t>The reform shall establish one single procedure covering different environmental statements issued under sectoral environmental legislation for the projects covered by the Construction Act and, if so requested by the project applicant, also for projects subject to an environmental impact assessment under the Environmental Impact Assessment Act (No. 100/2001 Coll.)  </w:t>
      </w:r>
      <w:r w:rsidRPr="00FE48E2">
        <w:rPr>
          <w:rStyle w:val="eop"/>
          <w:noProof/>
          <w:color w:val="000000" w:themeColor="text1"/>
          <w:lang w:val="en-IE"/>
        </w:rPr>
        <w:t xml:space="preserve">  </w:t>
      </w:r>
      <w:r w:rsidRPr="00FE48E2">
        <w:rPr>
          <w:rStyle w:val="normaltextrun"/>
          <w:noProof/>
          <w:color w:val="000000" w:themeColor="text1"/>
          <w:lang w:val="en-IE"/>
        </w:rPr>
        <w:t>The reform is expected to result in shorter environmental assessment processes for renewable energy projects including those falling under a full mandatory assessment or screening process.</w:t>
      </w:r>
      <w:r w:rsidRPr="00FE48E2">
        <w:rPr>
          <w:rStyle w:val="eop"/>
          <w:noProof/>
          <w:color w:val="000000" w:themeColor="text1"/>
          <w:lang w:val="en-IE"/>
        </w:rPr>
        <w:t> </w:t>
      </w:r>
    </w:p>
    <w:p w:rsidRPr="00FE48E2" w:rsidR="00D87E44" w:rsidP="00D226F4" w:rsidRDefault="00D87E44" w14:paraId="15458C7A" w14:textId="77777777">
      <w:pPr>
        <w:pStyle w:val="paragraph"/>
        <w:spacing w:before="0" w:beforeAutospacing="0" w:after="0" w:afterAutospacing="0"/>
        <w:jc w:val="both"/>
        <w:rPr>
          <w:rStyle w:val="eop"/>
          <w:noProof/>
          <w:color w:val="000000" w:themeColor="text1"/>
          <w:lang w:val="en-IE"/>
        </w:rPr>
      </w:pPr>
    </w:p>
    <w:p w:rsidRPr="00FE48E2" w:rsidR="00D87E44" w:rsidP="00D226F4" w:rsidRDefault="00D87E44" w14:paraId="15458C7B" w14:textId="77777777">
      <w:pPr>
        <w:pStyle w:val="paragraph"/>
        <w:spacing w:before="0" w:beforeAutospacing="0" w:after="0" w:afterAutospacing="0"/>
        <w:jc w:val="both"/>
        <w:textAlignment w:val="baseline"/>
        <w:rPr>
          <w:noProof/>
          <w:lang w:val="en-IE"/>
        </w:rPr>
      </w:pPr>
      <w:r w:rsidRPr="00FE48E2">
        <w:rPr>
          <w:rStyle w:val="normaltextrun"/>
          <w:noProof/>
          <w:color w:val="000000" w:themeColor="text1"/>
          <w:lang w:val="en-IE"/>
        </w:rPr>
        <w:t>The support to the implementation shall consists of</w:t>
      </w:r>
      <w:r w:rsidRPr="00FE48E2">
        <w:rPr>
          <w:rStyle w:val="normaltextrun"/>
          <w:strike/>
          <w:noProof/>
          <w:color w:val="000000" w:themeColor="text1"/>
          <w:lang w:val="en-IE"/>
        </w:rPr>
        <w:t xml:space="preserve"> </w:t>
      </w:r>
      <w:r w:rsidRPr="00FE48E2">
        <w:rPr>
          <w:rStyle w:val="normaltextrun"/>
          <w:noProof/>
          <w:color w:val="000000" w:themeColor="text1"/>
          <w:lang w:val="en-IE"/>
        </w:rPr>
        <w:t>the recruitment of additional staff to draft and implement methodological</w:t>
      </w:r>
      <w:r>
        <w:rPr>
          <w:rStyle w:val="normaltextrun"/>
          <w:noProof/>
          <w:color w:val="000000" w:themeColor="text1"/>
          <w:lang w:val="en-IE"/>
        </w:rPr>
        <w:t xml:space="preserve"> guidance and</w:t>
      </w:r>
      <w:r w:rsidRPr="00FE48E2">
        <w:rPr>
          <w:rStyle w:val="normaltextrun"/>
          <w:noProof/>
          <w:color w:val="000000" w:themeColor="text1"/>
          <w:lang w:val="en-IE"/>
        </w:rPr>
        <w:t xml:space="preserve"> guidelines to support administrative bodies affected by the introduction of the Single Environmental Opinion (e.g., regional authorities, municipalities. </w:t>
      </w:r>
      <w:r w:rsidRPr="00FE48E2">
        <w:rPr>
          <w:rStyle w:val="normaltextrun"/>
          <w:noProof/>
          <w:lang w:val="en-IE"/>
        </w:rPr>
        <w:t xml:space="preserve"> </w:t>
      </w:r>
      <w:r w:rsidRPr="00FE48E2">
        <w:rPr>
          <w:rStyle w:val="normaltextrun"/>
          <w:noProof/>
          <w:color w:val="000000" w:themeColor="text1"/>
          <w:lang w:val="en-IE"/>
        </w:rPr>
        <w:t>In addition, the Single Environmental Opinion for projects subject to the Environmental Impact Assessment shall be made available via the national EIA/SEA Information system.</w:t>
      </w:r>
    </w:p>
    <w:p w:rsidRPr="00FE48E2" w:rsidR="00D87E44" w:rsidP="00D226F4" w:rsidRDefault="00D87E44" w14:paraId="15458C7C" w14:textId="77777777">
      <w:pPr>
        <w:tabs>
          <w:tab w:val="left" w:pos="993"/>
        </w:tabs>
        <w:spacing w:line="240" w:lineRule="auto"/>
        <w:jc w:val="both"/>
        <w:textAlignment w:val="baseline"/>
        <w:rPr>
          <w:noProof/>
          <w:color w:val="000000"/>
          <w:szCs w:val="24"/>
          <w:shd w:val="clear" w:color="auto" w:fill="FFFFFF"/>
          <w:lang w:val="en-IE"/>
        </w:rPr>
      </w:pPr>
      <w:r w:rsidRPr="00FE48E2">
        <w:rPr>
          <w:rStyle w:val="normaltextrun"/>
          <w:noProof/>
          <w:color w:val="000000"/>
          <w:szCs w:val="24"/>
          <w:shd w:val="clear" w:color="auto" w:fill="FFFFFF"/>
          <w:lang w:val="en-IE"/>
        </w:rPr>
        <w:t>The measure shall be implemented by December 2024. </w:t>
      </w:r>
    </w:p>
    <w:p w:rsidRPr="00FE48E2" w:rsidR="00D87E44" w:rsidP="00D226F4" w:rsidRDefault="00D87E44" w14:paraId="15458C7D" w14:textId="77777777">
      <w:pPr>
        <w:spacing w:line="240" w:lineRule="auto"/>
        <w:jc w:val="both"/>
        <w:rPr>
          <w:b/>
          <w:noProof/>
          <w:szCs w:val="24"/>
          <w:lang w:val="en-IE"/>
        </w:rPr>
      </w:pPr>
      <w:r w:rsidRPr="00FE48E2">
        <w:rPr>
          <w:b/>
          <w:noProof/>
          <w:lang w:val="en-IE"/>
        </w:rPr>
        <w:t>Reform 2: Renewable acceleration areas</w:t>
      </w:r>
    </w:p>
    <w:p w:rsidRPr="00FE48E2" w:rsidR="00D87E44" w:rsidP="00D226F4" w:rsidRDefault="00D87E44" w14:paraId="15458C7E" w14:textId="77777777">
      <w:pPr>
        <w:spacing w:line="240" w:lineRule="auto"/>
        <w:jc w:val="both"/>
        <w:rPr>
          <w:noProof/>
          <w:szCs w:val="24"/>
          <w:lang w:val="en-IE"/>
        </w:rPr>
      </w:pPr>
      <w:r w:rsidRPr="00FE48E2">
        <w:rPr>
          <w:noProof/>
          <w:szCs w:val="24"/>
          <w:lang w:val="en-IE"/>
        </w:rPr>
        <w:t xml:space="preserve">The objective of the measure is to support the accelerated </w:t>
      </w:r>
      <w:r>
        <w:rPr>
          <w:noProof/>
          <w:szCs w:val="24"/>
          <w:lang w:val="en-IE"/>
        </w:rPr>
        <w:t>installation</w:t>
      </w:r>
      <w:r w:rsidRPr="00FE48E2">
        <w:rPr>
          <w:noProof/>
          <w:szCs w:val="24"/>
          <w:lang w:val="en-IE"/>
        </w:rPr>
        <w:t xml:space="preserve"> of wind and solar in specific locations called </w:t>
      </w:r>
      <w:r>
        <w:rPr>
          <w:noProof/>
          <w:szCs w:val="24"/>
          <w:lang w:val="en-IE"/>
        </w:rPr>
        <w:t>“</w:t>
      </w:r>
      <w:r w:rsidRPr="00FE48E2">
        <w:rPr>
          <w:noProof/>
          <w:szCs w:val="24"/>
          <w:lang w:val="en-IE"/>
        </w:rPr>
        <w:t>renewables acceleration areas</w:t>
      </w:r>
      <w:r>
        <w:rPr>
          <w:noProof/>
          <w:szCs w:val="24"/>
          <w:lang w:val="en-IE"/>
        </w:rPr>
        <w:t>”</w:t>
      </w:r>
      <w:r w:rsidRPr="00FE48E2">
        <w:rPr>
          <w:noProof/>
          <w:szCs w:val="24"/>
          <w:lang w:val="en-IE"/>
        </w:rPr>
        <w:t xml:space="preserve">, with a total capacity of at least </w:t>
      </w:r>
      <w:r w:rsidRPr="00E34F16">
        <w:rPr>
          <w:noProof/>
          <w:lang w:val="en-IE"/>
        </w:rPr>
        <w:t>3</w:t>
      </w:r>
      <w:r>
        <w:rPr>
          <w:noProof/>
          <w:lang w:val="en-IE"/>
        </w:rPr>
        <w:t> </w:t>
      </w:r>
      <w:r w:rsidRPr="00E34F16">
        <w:rPr>
          <w:noProof/>
          <w:lang w:val="en-IE"/>
        </w:rPr>
        <w:t>0</w:t>
      </w:r>
      <w:r w:rsidRPr="00FE48E2">
        <w:rPr>
          <w:noProof/>
          <w:szCs w:val="24"/>
          <w:lang w:val="en-IE"/>
        </w:rPr>
        <w:t>0</w:t>
      </w:r>
      <w:r w:rsidRPr="00B90996">
        <w:rPr>
          <w:noProof/>
          <w:lang w:val="en-IE"/>
        </w:rPr>
        <w:t>0</w:t>
      </w:r>
      <w:r w:rsidRPr="00FE48E2">
        <w:rPr>
          <w:noProof/>
          <w:szCs w:val="24"/>
          <w:lang w:val="en-IE"/>
        </w:rPr>
        <w:t xml:space="preserve"> MW.  </w:t>
      </w:r>
    </w:p>
    <w:p w:rsidRPr="00FE48E2" w:rsidR="00D87E44" w:rsidP="00D226F4" w:rsidRDefault="00D87E44" w14:paraId="15458C7F" w14:textId="77777777">
      <w:pPr>
        <w:spacing w:line="240" w:lineRule="auto"/>
        <w:jc w:val="both"/>
        <w:rPr>
          <w:rStyle w:val="normaltextrun"/>
          <w:noProof/>
          <w:color w:val="000000"/>
          <w:shd w:val="clear" w:color="auto" w:fill="FFFFFF"/>
          <w:lang w:val="en-IE"/>
        </w:rPr>
      </w:pPr>
      <w:r w:rsidRPr="6040ED17">
        <w:rPr>
          <w:noProof/>
          <w:lang w:val="en-IE"/>
        </w:rPr>
        <w:t>The reform</w:t>
      </w:r>
      <w:r>
        <w:rPr>
          <w:noProof/>
          <w:lang w:val="en-IE"/>
        </w:rPr>
        <w:t xml:space="preserve"> consists of the publication of a methodology and the entry into force of a legislative framework for the designation of renewable acceleration areas as well as the increase of resources for administrative capacity.  </w:t>
      </w:r>
      <w:r w:rsidRPr="6040ED17">
        <w:rPr>
          <w:noProof/>
          <w:lang w:val="en-IE"/>
        </w:rPr>
        <w:t xml:space="preserve"> </w:t>
      </w:r>
    </w:p>
    <w:p w:rsidRPr="00FE48E2" w:rsidR="00D87E44" w:rsidP="00D226F4" w:rsidRDefault="00D87E44" w14:paraId="15458C80" w14:textId="77777777">
      <w:pPr>
        <w:tabs>
          <w:tab w:val="left" w:pos="993"/>
        </w:tabs>
        <w:spacing w:line="240" w:lineRule="auto"/>
        <w:jc w:val="both"/>
        <w:textAlignment w:val="baseline"/>
        <w:rPr>
          <w:rFonts w:eastAsia="Times New Roman"/>
          <w:b/>
          <w:noProof/>
          <w:color w:val="000000" w:themeColor="text1"/>
          <w:u w:val="single"/>
          <w:lang w:val="en-IE"/>
        </w:rPr>
        <w:sectPr w:rsidRPr="00FE48E2" w:rsidR="00C16C1F" w:rsidSect="00D226F4">
          <w:headerReference w:type="even" r:id="R22c04ca78eab4a06"/>
          <w:headerReference w:type="default" r:id="Rcc6cd27eaf3f4028"/>
          <w:footerReference w:type="even" r:id="R6192a883dc704b45"/>
          <w:footerReference w:type="default" r:id="R24441a88440849bd"/>
          <w:headerReference w:type="first" r:id="Rf79bd1db98ec443f"/>
          <w:footerReference w:type="first" r:id="R9cbfcf466eb34620"/>
          <w:pgSz w:w="11907" w:h="16839"/>
          <w:pgMar w:top="1134" w:right="1134" w:bottom="1134" w:left="1134" w:header="567" w:footer="567" w:gutter="0"/>
          <w:cols w:space="720"/>
          <w:docGrid w:linePitch="360"/>
        </w:sectPr>
      </w:pPr>
      <w:r w:rsidRPr="00FE48E2">
        <w:rPr>
          <w:rFonts w:ascii="Calibri" w:hAnsi="Calibri" w:eastAsia="Times New Roman" w:cs="Segoe UI"/>
          <w:noProof/>
          <w:szCs w:val="24"/>
          <w:lang w:val="en-IE"/>
        </w:rPr>
        <w:t> </w:t>
      </w:r>
      <w:r w:rsidRPr="00FE48E2">
        <w:rPr>
          <w:rFonts w:eastAsia="Times New Roman"/>
          <w:b/>
          <w:noProof/>
          <w:color w:val="000000" w:themeColor="text1"/>
          <w:u w:val="single"/>
          <w:lang w:val="en-IE"/>
        </w:rPr>
        <w:t xml:space="preserve"> </w:t>
      </w:r>
    </w:p>
    <w:p w:rsidRPr="00FE48E2" w:rsidR="00D87E44" w:rsidP="00D226F4" w:rsidRDefault="00D87E44" w14:paraId="15458C81" w14:textId="77777777">
      <w:pPr>
        <w:tabs>
          <w:tab w:val="left" w:pos="993"/>
        </w:tabs>
        <w:spacing w:line="240" w:lineRule="auto"/>
        <w:jc w:val="both"/>
        <w:textAlignment w:val="baseline"/>
        <w:rPr>
          <w:rFonts w:eastAsia="Times New Roman"/>
          <w:b/>
          <w:bCs/>
          <w:noProof/>
          <w:color w:val="000000" w:themeColor="text1"/>
          <w:u w:val="single"/>
          <w:lang w:val="en-IE"/>
        </w:rPr>
      </w:pPr>
      <w:r w:rsidRPr="1B282876">
        <w:rPr>
          <w:rFonts w:eastAsia="Times New Roman"/>
          <w:b/>
          <w:bCs/>
          <w:noProof/>
          <w:color w:val="000000" w:themeColor="text1"/>
          <w:u w:val="single"/>
          <w:lang w:val="en-IE"/>
        </w:rPr>
        <w:lastRenderedPageBreak/>
        <w:t xml:space="preserve">KK.2. Milestones, targets, indicators, and timetable for monitoring and implementation for </w:t>
      </w:r>
      <w:r w:rsidRPr="0070162F">
        <w:rPr>
          <w:rFonts w:eastAsia="Times New Roman"/>
          <w:b/>
          <w:bCs/>
          <w:noProof/>
          <w:color w:val="000000" w:themeColor="text1"/>
          <w:u w:val="single"/>
          <w:lang w:val="en-IE"/>
        </w:rPr>
        <w:t>non-repayable financial support</w:t>
      </w:r>
    </w:p>
    <w:tbl>
      <w:tblPr>
        <w:tblW w:w="14634" w:type="dxa"/>
        <w:tblInd w:w="-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798"/>
        <w:gridCol w:w="1288"/>
        <w:gridCol w:w="1116"/>
        <w:gridCol w:w="1366"/>
        <w:gridCol w:w="1578"/>
        <w:gridCol w:w="930"/>
        <w:gridCol w:w="982"/>
        <w:gridCol w:w="982"/>
        <w:gridCol w:w="992"/>
        <w:gridCol w:w="714"/>
        <w:gridCol w:w="3888"/>
      </w:tblGrid>
      <w:tr w:rsidRPr="00FE48E2" w:rsidR="00E3458A" w:rsidTr="001C7166" w14:paraId="15458C8A" w14:textId="77777777">
        <w:trPr>
          <w:trHeight w:val="120"/>
          <w:tblHeader/>
        </w:trPr>
        <w:tc>
          <w:tcPr>
            <w:tcW w:w="798" w:type="dxa"/>
            <w:vMerge w:val="restart"/>
            <w:shd w:val="clear" w:color="auto" w:fill="BDD7EE"/>
            <w:tcMar>
              <w:left w:w="105" w:type="dxa"/>
              <w:right w:w="105" w:type="dxa"/>
            </w:tcMar>
            <w:vAlign w:val="center"/>
          </w:tcPr>
          <w:p w:rsidRPr="00FE48E2" w:rsidR="00D87E44" w:rsidRDefault="00D87E44" w14:paraId="15458C82"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Seq. Num</w:t>
            </w:r>
            <w:r>
              <w:rPr>
                <w:rFonts w:eastAsia="Times New Roman"/>
                <w:b/>
                <w:noProof/>
                <w:color w:val="000000" w:themeColor="text1"/>
                <w:sz w:val="18"/>
                <w:szCs w:val="18"/>
                <w:lang w:val="en-IE"/>
              </w:rPr>
              <w:t>.</w:t>
            </w:r>
          </w:p>
        </w:tc>
        <w:tc>
          <w:tcPr>
            <w:tcW w:w="1288" w:type="dxa"/>
            <w:vMerge w:val="restart"/>
            <w:shd w:val="clear" w:color="auto" w:fill="BDD7EE"/>
            <w:tcMar>
              <w:left w:w="105" w:type="dxa"/>
              <w:right w:w="105" w:type="dxa"/>
            </w:tcMar>
            <w:vAlign w:val="center"/>
          </w:tcPr>
          <w:p w:rsidRPr="00FE48E2" w:rsidR="00D87E44" w:rsidRDefault="00D87E44" w14:paraId="15458C83"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 xml:space="preserve">Related measure (Reform or Investment) </w:t>
            </w:r>
          </w:p>
        </w:tc>
        <w:tc>
          <w:tcPr>
            <w:tcW w:w="1116" w:type="dxa"/>
            <w:vMerge w:val="restart"/>
            <w:shd w:val="clear" w:color="auto" w:fill="BDD7EE"/>
            <w:tcMar>
              <w:left w:w="105" w:type="dxa"/>
              <w:right w:w="105" w:type="dxa"/>
            </w:tcMar>
            <w:vAlign w:val="center"/>
          </w:tcPr>
          <w:p w:rsidRPr="00FE48E2" w:rsidR="00D87E44" w:rsidRDefault="00D87E44" w14:paraId="15458C84"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 xml:space="preserve">Milestone / Target </w:t>
            </w:r>
          </w:p>
        </w:tc>
        <w:tc>
          <w:tcPr>
            <w:tcW w:w="1366" w:type="dxa"/>
            <w:vMerge w:val="restart"/>
            <w:shd w:val="clear" w:color="auto" w:fill="BDD7EE"/>
            <w:tcMar>
              <w:left w:w="105" w:type="dxa"/>
              <w:right w:w="105" w:type="dxa"/>
            </w:tcMar>
            <w:vAlign w:val="center"/>
          </w:tcPr>
          <w:p w:rsidRPr="00FE48E2" w:rsidR="00D87E44" w:rsidRDefault="00D87E44" w14:paraId="15458C85"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 xml:space="preserve">Name </w:t>
            </w:r>
          </w:p>
        </w:tc>
        <w:tc>
          <w:tcPr>
            <w:tcW w:w="1578" w:type="dxa"/>
            <w:vMerge w:val="restart"/>
            <w:shd w:val="clear" w:color="auto" w:fill="BDD7EE"/>
            <w:tcMar>
              <w:left w:w="105" w:type="dxa"/>
              <w:right w:w="105" w:type="dxa"/>
            </w:tcMar>
            <w:vAlign w:val="center"/>
          </w:tcPr>
          <w:p w:rsidRPr="00FE48E2" w:rsidR="00D87E44" w:rsidRDefault="00D87E44" w14:paraId="15458C86"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Qualitative indicators</w:t>
            </w:r>
            <w:r w:rsidRPr="00FE48E2">
              <w:rPr>
                <w:noProof/>
                <w:sz w:val="18"/>
                <w:szCs w:val="18"/>
                <w:lang w:val="en-IE"/>
              </w:rPr>
              <w:br/>
            </w:r>
            <w:r w:rsidRPr="00FE48E2">
              <w:rPr>
                <w:rFonts w:eastAsia="Times New Roman"/>
                <w:b/>
                <w:noProof/>
                <w:color w:val="000000" w:themeColor="text1"/>
                <w:sz w:val="18"/>
                <w:szCs w:val="18"/>
                <w:lang w:val="en-IE"/>
              </w:rPr>
              <w:t xml:space="preserve">(for milestones) </w:t>
            </w:r>
          </w:p>
        </w:tc>
        <w:tc>
          <w:tcPr>
            <w:tcW w:w="2894" w:type="dxa"/>
            <w:gridSpan w:val="3"/>
            <w:shd w:val="clear" w:color="auto" w:fill="BDD7EE"/>
            <w:tcMar>
              <w:left w:w="105" w:type="dxa"/>
              <w:right w:w="105" w:type="dxa"/>
            </w:tcMar>
            <w:vAlign w:val="center"/>
          </w:tcPr>
          <w:p w:rsidRPr="00FE48E2" w:rsidR="00D87E44" w:rsidRDefault="00D87E44" w14:paraId="15458C87"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Quantitative indicators</w:t>
            </w:r>
            <w:r w:rsidRPr="00FE48E2">
              <w:rPr>
                <w:noProof/>
                <w:sz w:val="18"/>
                <w:szCs w:val="18"/>
                <w:lang w:val="en-IE"/>
              </w:rPr>
              <w:br/>
            </w:r>
            <w:r w:rsidRPr="00FE48E2">
              <w:rPr>
                <w:rFonts w:eastAsia="Times New Roman"/>
                <w:b/>
                <w:noProof/>
                <w:color w:val="000000" w:themeColor="text1"/>
                <w:sz w:val="18"/>
                <w:szCs w:val="18"/>
                <w:lang w:val="en-IE"/>
              </w:rPr>
              <w:t>(for targets)</w:t>
            </w:r>
          </w:p>
        </w:tc>
        <w:tc>
          <w:tcPr>
            <w:tcW w:w="1706" w:type="dxa"/>
            <w:gridSpan w:val="2"/>
            <w:shd w:val="clear" w:color="auto" w:fill="BDD7EE"/>
            <w:tcMar>
              <w:left w:w="105" w:type="dxa"/>
              <w:right w:w="105" w:type="dxa"/>
            </w:tcMar>
            <w:vAlign w:val="center"/>
          </w:tcPr>
          <w:p w:rsidRPr="00FE48E2" w:rsidR="00D87E44" w:rsidRDefault="00D87E44" w14:paraId="15458C88"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 xml:space="preserve">Indicative timeline for completion </w:t>
            </w:r>
          </w:p>
        </w:tc>
        <w:tc>
          <w:tcPr>
            <w:tcW w:w="3888" w:type="dxa"/>
            <w:vMerge w:val="restart"/>
            <w:shd w:val="clear" w:color="auto" w:fill="BDD7EE"/>
            <w:tcMar>
              <w:left w:w="105" w:type="dxa"/>
              <w:right w:w="105" w:type="dxa"/>
            </w:tcMar>
            <w:vAlign w:val="center"/>
          </w:tcPr>
          <w:p w:rsidRPr="00FE48E2" w:rsidR="00D87E44" w:rsidRDefault="00D87E44" w14:paraId="15458C89"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Description and clear definition of each milestone and target</w:t>
            </w:r>
          </w:p>
        </w:tc>
      </w:tr>
      <w:tr w:rsidRPr="00FE48E2" w:rsidR="00E3458A" w:rsidTr="001C7166" w14:paraId="15458C96" w14:textId="77777777">
        <w:trPr>
          <w:trHeight w:val="210"/>
          <w:tblHeader/>
        </w:trPr>
        <w:tc>
          <w:tcPr>
            <w:tcW w:w="798" w:type="dxa"/>
            <w:vMerge/>
            <w:vAlign w:val="center"/>
          </w:tcPr>
          <w:p w:rsidRPr="00FE48E2" w:rsidR="00D87E44" w:rsidRDefault="00D87E44" w14:paraId="15458C8B" w14:textId="77777777">
            <w:pPr>
              <w:spacing w:line="240" w:lineRule="auto"/>
              <w:rPr>
                <w:noProof/>
                <w:sz w:val="18"/>
                <w:szCs w:val="18"/>
                <w:lang w:val="en-IE"/>
              </w:rPr>
            </w:pPr>
          </w:p>
        </w:tc>
        <w:tc>
          <w:tcPr>
            <w:tcW w:w="1288" w:type="dxa"/>
            <w:vMerge/>
            <w:vAlign w:val="center"/>
          </w:tcPr>
          <w:p w:rsidRPr="00FE48E2" w:rsidR="00D87E44" w:rsidRDefault="00D87E44" w14:paraId="15458C8C" w14:textId="77777777">
            <w:pPr>
              <w:spacing w:line="240" w:lineRule="auto"/>
              <w:rPr>
                <w:noProof/>
                <w:sz w:val="18"/>
                <w:szCs w:val="18"/>
                <w:lang w:val="en-IE"/>
              </w:rPr>
            </w:pPr>
          </w:p>
        </w:tc>
        <w:tc>
          <w:tcPr>
            <w:tcW w:w="1116" w:type="dxa"/>
            <w:vMerge/>
            <w:vAlign w:val="center"/>
          </w:tcPr>
          <w:p w:rsidRPr="00FE48E2" w:rsidR="00D87E44" w:rsidRDefault="00D87E44" w14:paraId="15458C8D" w14:textId="77777777">
            <w:pPr>
              <w:spacing w:line="240" w:lineRule="auto"/>
              <w:rPr>
                <w:noProof/>
                <w:sz w:val="18"/>
                <w:szCs w:val="18"/>
                <w:lang w:val="en-IE"/>
              </w:rPr>
            </w:pPr>
          </w:p>
        </w:tc>
        <w:tc>
          <w:tcPr>
            <w:tcW w:w="1366" w:type="dxa"/>
            <w:vMerge/>
            <w:vAlign w:val="center"/>
          </w:tcPr>
          <w:p w:rsidRPr="00FE48E2" w:rsidR="00D87E44" w:rsidRDefault="00D87E44" w14:paraId="15458C8E" w14:textId="77777777">
            <w:pPr>
              <w:spacing w:line="240" w:lineRule="auto"/>
              <w:rPr>
                <w:noProof/>
                <w:sz w:val="18"/>
                <w:szCs w:val="18"/>
                <w:lang w:val="en-IE"/>
              </w:rPr>
            </w:pPr>
          </w:p>
        </w:tc>
        <w:tc>
          <w:tcPr>
            <w:tcW w:w="1578" w:type="dxa"/>
            <w:vMerge/>
            <w:vAlign w:val="center"/>
          </w:tcPr>
          <w:p w:rsidRPr="00FE48E2" w:rsidR="00D87E44" w:rsidRDefault="00D87E44" w14:paraId="15458C8F" w14:textId="77777777">
            <w:pPr>
              <w:spacing w:line="240" w:lineRule="auto"/>
              <w:rPr>
                <w:noProof/>
                <w:sz w:val="18"/>
                <w:szCs w:val="18"/>
                <w:lang w:val="en-IE"/>
              </w:rPr>
            </w:pPr>
          </w:p>
        </w:tc>
        <w:tc>
          <w:tcPr>
            <w:tcW w:w="930" w:type="dxa"/>
            <w:shd w:val="clear" w:color="auto" w:fill="BDD7EE"/>
            <w:tcMar>
              <w:left w:w="105" w:type="dxa"/>
              <w:right w:w="105" w:type="dxa"/>
            </w:tcMar>
            <w:vAlign w:val="center"/>
          </w:tcPr>
          <w:p w:rsidRPr="00FE48E2" w:rsidR="00D87E44" w:rsidRDefault="00D87E44" w14:paraId="15458C90"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Unit of measure</w:t>
            </w:r>
          </w:p>
        </w:tc>
        <w:tc>
          <w:tcPr>
            <w:tcW w:w="982" w:type="dxa"/>
            <w:shd w:val="clear" w:color="auto" w:fill="BDD7EE"/>
            <w:tcMar>
              <w:left w:w="105" w:type="dxa"/>
              <w:right w:w="105" w:type="dxa"/>
            </w:tcMar>
            <w:vAlign w:val="center"/>
          </w:tcPr>
          <w:p w:rsidRPr="00FE48E2" w:rsidR="00D87E44" w:rsidRDefault="00D87E44" w14:paraId="15458C91"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Baseline</w:t>
            </w:r>
          </w:p>
        </w:tc>
        <w:tc>
          <w:tcPr>
            <w:tcW w:w="982" w:type="dxa"/>
            <w:shd w:val="clear" w:color="auto" w:fill="BDD7EE"/>
            <w:tcMar>
              <w:left w:w="105" w:type="dxa"/>
              <w:right w:w="105" w:type="dxa"/>
            </w:tcMar>
            <w:vAlign w:val="center"/>
          </w:tcPr>
          <w:p w:rsidRPr="00FE48E2" w:rsidR="00D87E44" w:rsidRDefault="00D87E44" w14:paraId="15458C92"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Goal</w:t>
            </w:r>
          </w:p>
        </w:tc>
        <w:tc>
          <w:tcPr>
            <w:tcW w:w="992" w:type="dxa"/>
            <w:shd w:val="clear" w:color="auto" w:fill="BDD7EE"/>
            <w:tcMar>
              <w:left w:w="105" w:type="dxa"/>
              <w:right w:w="105" w:type="dxa"/>
            </w:tcMar>
            <w:vAlign w:val="center"/>
          </w:tcPr>
          <w:p w:rsidRPr="00FE48E2" w:rsidR="00D87E44" w:rsidRDefault="00D87E44" w14:paraId="15458C93"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Quarter</w:t>
            </w:r>
          </w:p>
        </w:tc>
        <w:tc>
          <w:tcPr>
            <w:tcW w:w="714" w:type="dxa"/>
            <w:shd w:val="clear" w:color="auto" w:fill="BDD7EE"/>
            <w:tcMar>
              <w:left w:w="105" w:type="dxa"/>
              <w:right w:w="105" w:type="dxa"/>
            </w:tcMar>
            <w:vAlign w:val="center"/>
          </w:tcPr>
          <w:p w:rsidRPr="00FE48E2" w:rsidR="00D87E44" w:rsidRDefault="00D87E44" w14:paraId="15458C94" w14:textId="77777777">
            <w:pPr>
              <w:spacing w:line="240" w:lineRule="auto"/>
              <w:jc w:val="center"/>
              <w:rPr>
                <w:rFonts w:eastAsia="Times New Roman"/>
                <w:noProof/>
                <w:color w:val="000000" w:themeColor="text1"/>
                <w:sz w:val="18"/>
                <w:szCs w:val="18"/>
                <w:lang w:val="en-IE"/>
              </w:rPr>
            </w:pPr>
            <w:r w:rsidRPr="00FE48E2">
              <w:rPr>
                <w:rFonts w:eastAsia="Times New Roman"/>
                <w:b/>
                <w:noProof/>
                <w:color w:val="000000" w:themeColor="text1"/>
                <w:sz w:val="18"/>
                <w:szCs w:val="18"/>
                <w:lang w:val="en-IE"/>
              </w:rPr>
              <w:t>Year</w:t>
            </w:r>
          </w:p>
        </w:tc>
        <w:tc>
          <w:tcPr>
            <w:tcW w:w="3888" w:type="dxa"/>
            <w:vMerge/>
            <w:vAlign w:val="center"/>
          </w:tcPr>
          <w:p w:rsidRPr="00FE48E2" w:rsidR="00D87E44" w:rsidRDefault="00D87E44" w14:paraId="15458C95" w14:textId="77777777">
            <w:pPr>
              <w:spacing w:line="240" w:lineRule="auto"/>
              <w:rPr>
                <w:noProof/>
                <w:sz w:val="18"/>
                <w:szCs w:val="18"/>
                <w:lang w:val="en-IE"/>
              </w:rPr>
            </w:pPr>
          </w:p>
        </w:tc>
      </w:tr>
      <w:tr w:rsidRPr="00FE48E2" w:rsidR="00E3458A" w:rsidTr="001C7166" w14:paraId="15458CA7" w14:textId="77777777">
        <w:trPr>
          <w:trHeight w:val="300"/>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97" w14:textId="77777777">
            <w:pPr>
              <w:spacing w:before="0" w:after="0" w:line="240" w:lineRule="auto"/>
              <w:rPr>
                <w:rFonts w:eastAsia="Times New Roman"/>
                <w:noProof/>
                <w:color w:val="004300"/>
                <w:sz w:val="18"/>
                <w:szCs w:val="18"/>
                <w:lang w:val="en-IE"/>
              </w:rPr>
            </w:pPr>
            <w:r w:rsidRPr="00307985">
              <w:rPr>
                <w:rFonts w:eastAsia="Times New Roman"/>
                <w:noProof/>
                <w:color w:val="004300"/>
                <w:sz w:val="18"/>
                <w:szCs w:val="18"/>
                <w:lang w:val="en-IE"/>
              </w:rPr>
              <w:t>340</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8"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1:</w:t>
            </w:r>
          </w:p>
          <w:p w:rsidRPr="00FE48E2" w:rsidR="00D87E44" w:rsidRDefault="00D87E44" w14:paraId="15458C99" w14:textId="77777777">
            <w:pPr>
              <w:spacing w:line="240" w:lineRule="auto"/>
              <w:rPr>
                <w:rFonts w:eastAsia="Times New Roman"/>
                <w:noProof/>
                <w:color w:val="006100"/>
                <w:sz w:val="18"/>
                <w:szCs w:val="18"/>
                <w:highlight w:val="yellow"/>
                <w:lang w:val="en-IE"/>
              </w:rPr>
            </w:pPr>
            <w:r w:rsidRPr="00FE48E2">
              <w:rPr>
                <w:rFonts w:eastAsia="Times New Roman"/>
                <w:noProof/>
                <w:color w:val="006100"/>
                <w:sz w:val="18"/>
                <w:szCs w:val="18"/>
                <w:lang w:val="en-IE"/>
              </w:rPr>
              <w:t>Single Environmental Opinion  </w:t>
            </w: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A" w14:textId="77777777">
            <w:pPr>
              <w:spacing w:before="0" w:after="0" w:line="240" w:lineRule="auto"/>
              <w:textAlignment w:val="baseline"/>
              <w:rPr>
                <w:rFonts w:eastAsia="Times New Roman"/>
                <w:noProof/>
                <w:color w:val="000000" w:themeColor="text1"/>
                <w:sz w:val="18"/>
                <w:szCs w:val="18"/>
                <w:lang w:val="en-IE"/>
              </w:rPr>
            </w:pPr>
            <w:r w:rsidRPr="00FE48E2">
              <w:rPr>
                <w:rFonts w:eastAsia="Times New Roman"/>
                <w:noProof/>
                <w:color w:val="006100"/>
                <w:sz w:val="18"/>
                <w:szCs w:val="18"/>
                <w:lang w:val="en-IE"/>
              </w:rPr>
              <w:t>Milestone </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B"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Entry into Force of the Single Environmental Opinion </w:t>
            </w: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C" w14:textId="77777777">
            <w:pPr>
              <w:spacing w:before="0" w:after="0" w:line="240" w:lineRule="auto"/>
              <w:textAlignment w:val="baseline"/>
              <w:rPr>
                <w:rFonts w:eastAsia="Times New Roman"/>
                <w:noProof/>
                <w:color w:val="000000" w:themeColor="text1"/>
                <w:sz w:val="18"/>
                <w:szCs w:val="18"/>
                <w:lang w:val="en-IE"/>
              </w:rPr>
            </w:pPr>
            <w:r w:rsidRPr="00FE48E2">
              <w:rPr>
                <w:rFonts w:eastAsia="Times New Roman"/>
                <w:noProof/>
                <w:color w:val="006100"/>
                <w:sz w:val="18"/>
                <w:szCs w:val="18"/>
                <w:lang w:val="en-IE"/>
              </w:rPr>
              <w:t> Provision in the law indicating the entry into force of the law </w:t>
            </w: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D"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E"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9F"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w:t>
            </w: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0"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Q</w:t>
            </w:r>
            <w:r w:rsidRPr="12F60D16">
              <w:rPr>
                <w:rFonts w:eastAsia="Times New Roman"/>
                <w:noProof/>
                <w:color w:val="006100"/>
                <w:sz w:val="18"/>
                <w:szCs w:val="18"/>
                <w:lang w:val="en-IE"/>
              </w:rPr>
              <w:t>3</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1"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2023 </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2"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Entry into force of legislation on the Single Environmental Opinion</w:t>
            </w:r>
            <w:r>
              <w:rPr>
                <w:rFonts w:eastAsia="Times New Roman"/>
                <w:noProof/>
                <w:color w:val="006100"/>
                <w:sz w:val="18"/>
                <w:szCs w:val="18"/>
                <w:lang w:val="en-IE"/>
              </w:rPr>
              <w:t xml:space="preserve">. </w:t>
            </w:r>
            <w:r w:rsidRPr="00FE48E2">
              <w:rPr>
                <w:rFonts w:eastAsia="Times New Roman"/>
                <w:noProof/>
                <w:color w:val="006100"/>
                <w:sz w:val="18"/>
                <w:szCs w:val="18"/>
                <w:lang w:val="en-IE"/>
              </w:rPr>
              <w:t>The opinion shall merge environmental permits procedure into a binding single opinion for all projects authorised under the Construction Act and projects subject to an environmental impact assessment, if requested by the project applicant. The law shall apply as of 1 January 2024 for the special structure defined by the Building Act and as of J July 2024 for other types of building. </w:t>
            </w:r>
          </w:p>
          <w:p w:rsidRPr="00FE48E2" w:rsidR="00D87E44" w:rsidRDefault="00D87E44" w14:paraId="15458CA3"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w:t>
            </w:r>
          </w:p>
          <w:p w:rsidRPr="00FE48E2" w:rsidR="00D87E44" w:rsidRDefault="00D87E44" w14:paraId="15458CA4"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The legislation shall provide for the designation of the single authorities in charge of issuing the opinion, according to the different cases (e.g. regional authorities, municipal authority with extended competence or the Ministry of Environment)</w:t>
            </w:r>
            <w:r>
              <w:rPr>
                <w:rFonts w:eastAsia="Times New Roman"/>
                <w:noProof/>
                <w:color w:val="006100"/>
                <w:sz w:val="18"/>
                <w:szCs w:val="18"/>
                <w:lang w:val="en-IE"/>
              </w:rPr>
              <w:t>.</w:t>
            </w:r>
          </w:p>
          <w:p w:rsidRPr="00FE48E2" w:rsidR="00D87E44" w:rsidRDefault="00D87E44" w14:paraId="15458CA5"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w:t>
            </w:r>
          </w:p>
          <w:p w:rsidRPr="00FE48E2" w:rsidR="00D87E44" w:rsidRDefault="00D87E44" w14:paraId="15458CA6"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It shall also provide that for projects subject to the EIA, Single environmental opinion shall be available electronically in the EIA/SEA national information system. </w:t>
            </w:r>
          </w:p>
        </w:tc>
      </w:tr>
      <w:tr w:rsidRPr="00FE48E2" w:rsidR="00E3458A" w:rsidTr="001C7166" w14:paraId="15458CB4" w14:textId="77777777">
        <w:trPr>
          <w:trHeight w:val="300"/>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A8" w14:textId="77777777">
            <w:pPr>
              <w:spacing w:before="0" w:after="0" w:line="240" w:lineRule="auto"/>
              <w:rPr>
                <w:rFonts w:eastAsia="Times New Roman"/>
                <w:noProof/>
                <w:color w:val="004300"/>
                <w:sz w:val="18"/>
                <w:szCs w:val="18"/>
                <w:lang w:val="en-IE"/>
              </w:rPr>
            </w:pPr>
            <w:r w:rsidRPr="00307985">
              <w:rPr>
                <w:rFonts w:eastAsia="Times New Roman"/>
                <w:noProof/>
                <w:color w:val="004300"/>
                <w:sz w:val="18"/>
                <w:szCs w:val="18"/>
                <w:lang w:val="en-IE"/>
              </w:rPr>
              <w:t>341</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9"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1:</w:t>
            </w:r>
          </w:p>
          <w:p w:rsidRPr="00FE48E2" w:rsidR="00D87E44" w:rsidRDefault="00D87E44" w14:paraId="15458CAA"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Single Environmental Opinion </w:t>
            </w: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B"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C"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Technical assistance to </w:t>
            </w:r>
            <w:r w:rsidRPr="00FE48E2">
              <w:rPr>
                <w:rFonts w:eastAsia="Times New Roman"/>
                <w:noProof/>
                <w:color w:val="006100"/>
                <w:sz w:val="18"/>
                <w:szCs w:val="18"/>
                <w:lang w:val="en-IE"/>
              </w:rPr>
              <w:t>accelerate and improve the quality of environmental permitting procedures   </w:t>
            </w: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D"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w:t>
            </w: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E" w14:textId="77777777">
            <w:pPr>
              <w:spacing w:before="0" w:after="0" w:line="240" w:lineRule="auto"/>
              <w:textAlignment w:val="baseline"/>
              <w:rPr>
                <w:rFonts w:eastAsia="Times New Roman"/>
                <w:noProof/>
                <w:color w:val="006100"/>
                <w:sz w:val="18"/>
                <w:szCs w:val="18"/>
                <w:lang w:val="en-IE"/>
              </w:rPr>
            </w:pPr>
            <w:r w:rsidRPr="44CBC4D2">
              <w:rPr>
                <w:rFonts w:eastAsia="Times New Roman"/>
                <w:noProof/>
                <w:color w:val="006100"/>
                <w:sz w:val="18"/>
                <w:szCs w:val="18"/>
                <w:lang w:val="en-IE"/>
              </w:rPr>
              <w:t xml:space="preserve">Number </w:t>
            </w:r>
            <w:r>
              <w:rPr>
                <w:rFonts w:eastAsia="Times New Roman"/>
                <w:noProof/>
                <w:color w:val="006100"/>
                <w:sz w:val="18"/>
                <w:szCs w:val="18"/>
                <w:lang w:val="en-IE"/>
              </w:rPr>
              <w:t>of staff</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AF"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0  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0"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36 </w:t>
            </w: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1"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Q4  </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2"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2023  </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3"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36 full-time staff shall be recruited for the implementation of the single environmental opinion reform.  </w:t>
            </w:r>
          </w:p>
        </w:tc>
      </w:tr>
      <w:tr w:rsidRPr="00FE48E2" w:rsidR="00E3458A" w:rsidTr="001C7166" w14:paraId="15458CC5" w14:textId="77777777">
        <w:trPr>
          <w:trHeight w:val="1979"/>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B5" w14:textId="77777777">
            <w:pPr>
              <w:spacing w:before="0" w:after="0" w:line="240" w:lineRule="auto"/>
              <w:rPr>
                <w:rFonts w:eastAsia="Times New Roman"/>
                <w:noProof/>
                <w:color w:val="004300"/>
                <w:sz w:val="18"/>
                <w:szCs w:val="18"/>
                <w:lang w:val="en-IE"/>
              </w:rPr>
            </w:pPr>
            <w:r w:rsidRPr="00307985">
              <w:rPr>
                <w:rFonts w:eastAsia="Times New Roman"/>
                <w:noProof/>
                <w:color w:val="004300"/>
                <w:sz w:val="18"/>
                <w:szCs w:val="18"/>
                <w:lang w:val="en-IE"/>
              </w:rPr>
              <w:lastRenderedPageBreak/>
              <w:t>342</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6"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Reform 1:  Single </w:t>
            </w:r>
            <w:r w:rsidRPr="00FE48E2">
              <w:rPr>
                <w:rFonts w:eastAsia="Times New Roman"/>
                <w:noProof/>
                <w:color w:val="006100"/>
                <w:sz w:val="18"/>
                <w:szCs w:val="18"/>
                <w:lang w:val="en-IE"/>
              </w:rPr>
              <w:t>Environmental Opinion</w:t>
            </w: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7"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8"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Publication of methodologies and templates by the Ministry of Environment  </w:t>
            </w: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9"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Publication of </w:t>
            </w:r>
            <w:r>
              <w:rPr>
                <w:rFonts w:eastAsia="Times New Roman"/>
                <w:noProof/>
                <w:color w:val="006100"/>
                <w:sz w:val="18"/>
                <w:szCs w:val="18"/>
                <w:lang w:val="en-IE"/>
              </w:rPr>
              <w:t>guidance</w:t>
            </w:r>
          </w:p>
          <w:p w:rsidRPr="00FE48E2" w:rsidR="00D87E44" w:rsidRDefault="00D87E44" w14:paraId="15458CBA" w14:textId="77777777">
            <w:pPr>
              <w:spacing w:before="0" w:after="0" w:line="240" w:lineRule="auto"/>
              <w:textAlignment w:val="baseline"/>
              <w:rPr>
                <w:rFonts w:eastAsia="Times New Roman"/>
                <w:noProof/>
                <w:color w:val="006100"/>
                <w:sz w:val="18"/>
                <w:szCs w:val="18"/>
                <w:lang w:val="en-IE"/>
              </w:rPr>
            </w:pP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B"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C"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D" w14:textId="77777777">
            <w:pPr>
              <w:spacing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 </w:t>
            </w: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E"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Q4</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BF"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2024</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0" w14:textId="77777777">
            <w:pPr>
              <w:spacing w:before="0" w:after="0" w:line="240" w:lineRule="auto"/>
              <w:textAlignment w:val="baseline"/>
              <w:rPr>
                <w:rFonts w:eastAsia="Times New Roman"/>
                <w:strike/>
                <w:noProof/>
                <w:color w:val="498205"/>
                <w:sz w:val="18"/>
                <w:szCs w:val="18"/>
                <w:lang w:val="en-IE"/>
              </w:rPr>
            </w:pPr>
            <w:r w:rsidRPr="00FE48E2">
              <w:rPr>
                <w:rFonts w:eastAsia="Times New Roman"/>
                <w:noProof/>
                <w:color w:val="006100"/>
                <w:sz w:val="18"/>
                <w:szCs w:val="18"/>
                <w:lang w:val="en-IE"/>
              </w:rPr>
              <w:t xml:space="preserve">The Ministry of Environment shall publish the </w:t>
            </w:r>
            <w:r>
              <w:rPr>
                <w:rFonts w:eastAsia="Times New Roman"/>
                <w:noProof/>
                <w:color w:val="006100"/>
                <w:sz w:val="18"/>
                <w:szCs w:val="18"/>
                <w:lang w:val="en-IE"/>
              </w:rPr>
              <w:t>methodological guidance</w:t>
            </w:r>
            <w:r w:rsidRPr="00FE48E2">
              <w:rPr>
                <w:rFonts w:eastAsia="Times New Roman"/>
                <w:noProof/>
                <w:color w:val="006100"/>
                <w:sz w:val="18"/>
                <w:szCs w:val="18"/>
                <w:lang w:val="en-IE"/>
              </w:rPr>
              <w:t xml:space="preserve"> for the state administration</w:t>
            </w:r>
            <w:r>
              <w:rPr>
                <w:rFonts w:eastAsia="Times New Roman"/>
                <w:noProof/>
                <w:color w:val="006100"/>
                <w:sz w:val="18"/>
                <w:szCs w:val="18"/>
                <w:lang w:val="en-IE"/>
              </w:rPr>
              <w:t>, that contains</w:t>
            </w:r>
            <w:r w:rsidRPr="00FE48E2">
              <w:rPr>
                <w:rFonts w:eastAsia="Times New Roman"/>
                <w:noProof/>
                <w:color w:val="498205"/>
                <w:sz w:val="18"/>
                <w:szCs w:val="18"/>
                <w:u w:val="single"/>
                <w:lang w:val="en-IE"/>
              </w:rPr>
              <w:t>:</w:t>
            </w:r>
          </w:p>
          <w:p w:rsidRPr="00FE48E2" w:rsidR="00D87E44" w:rsidRDefault="00D87E44" w14:paraId="15458CC1"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1) instruction</w:t>
            </w:r>
            <w:r>
              <w:rPr>
                <w:rFonts w:eastAsia="Times New Roman"/>
                <w:noProof/>
                <w:color w:val="006100"/>
                <w:sz w:val="18"/>
                <w:szCs w:val="18"/>
                <w:lang w:val="en-IE"/>
              </w:rPr>
              <w:t xml:space="preserve"> and</w:t>
            </w:r>
            <w:r w:rsidRPr="00FE48E2">
              <w:rPr>
                <w:rFonts w:eastAsia="Times New Roman"/>
                <w:noProof/>
                <w:color w:val="006100"/>
                <w:sz w:val="18"/>
                <w:szCs w:val="18"/>
                <w:lang w:val="en-IE"/>
              </w:rPr>
              <w:t xml:space="preserve"> templates for the procedure where binding opinion of EIA is combined with SEO</w:t>
            </w:r>
          </w:p>
          <w:p w:rsidRPr="00FE48E2" w:rsidR="00D87E44" w:rsidRDefault="00D87E44" w14:paraId="15458CC2"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2) instruction for the procedure when the SEO is issued separately, i.e. when the EIA takes place first and the SEO is issued afterwards.</w:t>
            </w:r>
          </w:p>
          <w:p w:rsidRPr="00FE48E2" w:rsidR="00D87E44" w:rsidRDefault="00D87E44" w14:paraId="15458CC3" w14:textId="77777777">
            <w:pPr>
              <w:spacing w:after="0" w:line="240" w:lineRule="auto"/>
              <w:rPr>
                <w:rFonts w:eastAsia="Times New Roman"/>
                <w:noProof/>
                <w:color w:val="006100"/>
                <w:sz w:val="18"/>
                <w:szCs w:val="18"/>
                <w:lang w:val="en-IE"/>
              </w:rPr>
            </w:pPr>
            <w:r w:rsidRPr="00FE48E2">
              <w:rPr>
                <w:rFonts w:eastAsia="Times New Roman"/>
                <w:noProof/>
                <w:color w:val="006100"/>
                <w:sz w:val="18"/>
                <w:szCs w:val="18"/>
                <w:lang w:val="en-IE"/>
              </w:rPr>
              <w:t>3) guidance describing the governance, structural changes, allocation of competences and guiding the work of</w:t>
            </w:r>
            <w:r w:rsidRPr="00FE48E2">
              <w:rPr>
                <w:rFonts w:eastAsia="Times New Roman"/>
                <w:strike/>
                <w:noProof/>
                <w:color w:val="498205"/>
                <w:sz w:val="18"/>
                <w:szCs w:val="18"/>
                <w:lang w:val="en-IE"/>
              </w:rPr>
              <w:t xml:space="preserve"> </w:t>
            </w:r>
            <w:r w:rsidRPr="00FE48E2">
              <w:rPr>
                <w:rFonts w:eastAsia="Times New Roman"/>
                <w:noProof/>
                <w:color w:val="006100"/>
                <w:sz w:val="18"/>
                <w:szCs w:val="18"/>
                <w:lang w:val="en-IE"/>
              </w:rPr>
              <w:t>different state authoritie</w:t>
            </w:r>
            <w:r w:rsidRPr="006B6900">
              <w:rPr>
                <w:rFonts w:eastAsia="Times New Roman"/>
                <w:noProof/>
                <w:color w:val="006100"/>
                <w:sz w:val="18"/>
                <w:szCs w:val="18"/>
                <w:lang w:val="en-IE"/>
              </w:rPr>
              <w:t>s</w:t>
            </w:r>
            <w:r w:rsidRPr="006B6900">
              <w:rPr>
                <w:rFonts w:eastAsia="Times New Roman"/>
                <w:noProof/>
                <w:color w:val="498205"/>
                <w:sz w:val="18"/>
                <w:szCs w:val="18"/>
                <w:lang w:val="en-IE"/>
              </w:rPr>
              <w:t>.</w:t>
            </w:r>
            <w:r w:rsidRPr="00FE48E2" w:rsidDel="4A76C914">
              <w:rPr>
                <w:rFonts w:eastAsia="Times New Roman"/>
                <w:noProof/>
                <w:color w:val="006100"/>
                <w:sz w:val="18"/>
                <w:szCs w:val="18"/>
                <w:lang w:val="en-IE"/>
              </w:rPr>
              <w:t xml:space="preserve"> </w:t>
            </w:r>
            <w:r w:rsidRPr="00FE48E2">
              <w:rPr>
                <w:rFonts w:eastAsia="Times New Roman"/>
                <w:noProof/>
                <w:color w:val="006100"/>
                <w:sz w:val="18"/>
                <w:szCs w:val="18"/>
                <w:lang w:val="en-IE"/>
              </w:rPr>
              <w:t xml:space="preserve"> </w:t>
            </w:r>
          </w:p>
          <w:p w:rsidRPr="00FE48E2" w:rsidR="00D87E44" w:rsidRDefault="00D87E44" w14:paraId="15458CC4"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The methodologies shall include also templates including the SEO application. </w:t>
            </w:r>
          </w:p>
        </w:tc>
      </w:tr>
      <w:tr w:rsidRPr="00FE48E2" w:rsidR="00E3458A" w:rsidTr="001C7166" w14:paraId="15458CD3" w14:textId="77777777">
        <w:trPr>
          <w:trHeight w:val="300"/>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C6" w14:textId="77777777">
            <w:pPr>
              <w:spacing w:before="0" w:after="0" w:line="240" w:lineRule="auto"/>
              <w:rPr>
                <w:rFonts w:eastAsia="Times New Roman"/>
                <w:noProof/>
                <w:color w:val="004300"/>
                <w:sz w:val="18"/>
                <w:szCs w:val="18"/>
                <w:lang w:val="en-IE"/>
              </w:rPr>
            </w:pPr>
            <w:r w:rsidRPr="00307985">
              <w:rPr>
                <w:rFonts w:eastAsia="Times New Roman"/>
                <w:noProof/>
                <w:color w:val="004300"/>
                <w:sz w:val="18"/>
                <w:szCs w:val="18"/>
                <w:lang w:val="en-IE"/>
              </w:rPr>
              <w:t>343</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7"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2: Renewable acceleration areas</w:t>
            </w: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8"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9"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Methodology for designating renewables acceleration areas </w:t>
            </w: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A"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Publication of the methodology</w:t>
            </w:r>
          </w:p>
          <w:p w:rsidRPr="00FE48E2" w:rsidR="00D87E44" w:rsidRDefault="00D87E44" w14:paraId="15458CCB" w14:textId="77777777">
            <w:pPr>
              <w:spacing w:line="240" w:lineRule="auto"/>
              <w:rPr>
                <w:rFonts w:eastAsia="Times New Roman"/>
                <w:noProof/>
                <w:color w:val="006100"/>
                <w:sz w:val="18"/>
                <w:szCs w:val="18"/>
                <w:lang w:val="en-IE"/>
              </w:rPr>
            </w:pP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C" w14:textId="77777777">
            <w:pPr>
              <w:spacing w:line="240" w:lineRule="auto"/>
              <w:rPr>
                <w:rFonts w:eastAsia="Times New Roman"/>
                <w:noProof/>
                <w:color w:val="006100"/>
                <w:sz w:val="18"/>
                <w:szCs w:val="18"/>
                <w:lang w:val="en-IE"/>
              </w:rPr>
            </w:pP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D" w14:textId="77777777">
            <w:pPr>
              <w:spacing w:line="240" w:lineRule="auto"/>
              <w:rPr>
                <w:rFonts w:eastAsia="Times New Roman"/>
                <w:noProof/>
                <w:color w:val="006100"/>
                <w:sz w:val="18"/>
                <w:szCs w:val="18"/>
                <w:lang w:val="en-IE"/>
              </w:rPr>
            </w:pP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E" w14:textId="77777777">
            <w:pPr>
              <w:spacing w:line="240" w:lineRule="auto"/>
              <w:rPr>
                <w:rFonts w:eastAsia="Times New Roman"/>
                <w:noProof/>
                <w:color w:val="0061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CF"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Q4</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0"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2023</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1"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The </w:t>
            </w:r>
            <w:r w:rsidRPr="00FE48E2">
              <w:rPr>
                <w:rFonts w:eastAsia="Times New Roman"/>
                <w:noProof/>
                <w:color w:val="006100"/>
                <w:sz w:val="18"/>
                <w:szCs w:val="18"/>
                <w:lang w:val="en-IE"/>
              </w:rPr>
              <w:t>methodology shall determine unified criteria for the selection and assessment of suitable areas for wind and solar energy development. This shall include the areas with the lesser environmental impact, none or low conflict with other interests, areas with sufficient potential of wind energy density, wind speed, solar irradiance and accessibility of transmission system</w:t>
            </w:r>
            <w:r w:rsidRPr="44CBC4D2">
              <w:rPr>
                <w:rFonts w:eastAsia="Times New Roman"/>
                <w:noProof/>
                <w:color w:val="006100"/>
                <w:sz w:val="18"/>
                <w:szCs w:val="18"/>
                <w:lang w:val="en-IE"/>
              </w:rPr>
              <w:t>.</w:t>
            </w:r>
            <w:r w:rsidRPr="00FE48E2">
              <w:rPr>
                <w:rFonts w:eastAsia="Times New Roman"/>
                <w:noProof/>
                <w:color w:val="006100"/>
                <w:sz w:val="18"/>
                <w:szCs w:val="18"/>
                <w:lang w:val="en-IE"/>
              </w:rPr>
              <w:t xml:space="preserve"> The financial incentives, mitigation measures and win-win solutions to improve ecosystem services in landscape shall be part of the document</w:t>
            </w:r>
            <w:r w:rsidRPr="00FE48E2">
              <w:rPr>
                <w:rFonts w:eastAsia="Times New Roman"/>
                <w:noProof/>
                <w:color w:val="006100"/>
                <w:sz w:val="18"/>
                <w:szCs w:val="18"/>
                <w:lang w:val="en-IE"/>
              </w:rPr>
              <w:t>s attached to the methodology.</w:t>
            </w:r>
            <w:r w:rsidRPr="00FE48E2" w:rsidDel="005C6AD5">
              <w:rPr>
                <w:rFonts w:eastAsia="Times New Roman"/>
                <w:noProof/>
                <w:color w:val="006100"/>
                <w:sz w:val="18"/>
                <w:szCs w:val="18"/>
                <w:lang w:val="en-IE"/>
              </w:rPr>
              <w:t xml:space="preserve"> </w:t>
            </w:r>
            <w:r>
              <w:rPr>
                <w:noProof/>
              </w:rPr>
              <w:br/>
            </w:r>
            <w:r w:rsidRPr="00FE48E2">
              <w:rPr>
                <w:rFonts w:eastAsia="Times New Roman"/>
                <w:noProof/>
                <w:color w:val="006100"/>
                <w:sz w:val="18"/>
                <w:szCs w:val="18"/>
                <w:lang w:val="en-IE"/>
              </w:rPr>
              <w:t xml:space="preserve">The methodology shall be established in cooperation with relevant stakeholders, including through </w:t>
            </w:r>
            <w:r>
              <w:rPr>
                <w:rFonts w:eastAsia="Times New Roman"/>
                <w:noProof/>
                <w:color w:val="006100"/>
                <w:sz w:val="18"/>
                <w:szCs w:val="18"/>
                <w:lang w:val="en-IE"/>
              </w:rPr>
              <w:t>communication with public</w:t>
            </w:r>
            <w:r w:rsidRPr="00FE48E2">
              <w:rPr>
                <w:rFonts w:eastAsia="Times New Roman"/>
                <w:noProof/>
                <w:color w:val="006100"/>
                <w:sz w:val="18"/>
                <w:szCs w:val="18"/>
                <w:lang w:val="en-IE"/>
              </w:rPr>
              <w:t xml:space="preserve"> and transparent dialogue.</w:t>
            </w:r>
          </w:p>
          <w:p w:rsidRPr="00FE48E2" w:rsidR="00D87E44" w:rsidRDefault="00D87E44" w14:paraId="15458CD2"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Assistance and communication outreach actions on acceleration areas shall be provided by the Ministry of Environment to the regions and municipalities.</w:t>
            </w:r>
          </w:p>
        </w:tc>
      </w:tr>
      <w:tr w:rsidRPr="00FE48E2" w:rsidR="00E3458A" w:rsidTr="001C7166" w14:paraId="15458CE8" w14:textId="77777777">
        <w:trPr>
          <w:trHeight w:val="300"/>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D4" w14:textId="77777777">
            <w:pPr>
              <w:spacing w:before="0" w:after="0" w:line="240" w:lineRule="auto"/>
              <w:rPr>
                <w:rFonts w:eastAsia="Times New Roman"/>
                <w:noProof/>
                <w:color w:val="004300"/>
                <w:sz w:val="18"/>
                <w:szCs w:val="18"/>
                <w:lang w:val="en-IE"/>
              </w:rPr>
            </w:pPr>
            <w:r w:rsidRPr="00307985">
              <w:rPr>
                <w:rFonts w:eastAsia="Times New Roman"/>
                <w:noProof/>
                <w:color w:val="004300"/>
                <w:sz w:val="18"/>
                <w:szCs w:val="18"/>
                <w:lang w:val="en-IE"/>
              </w:rPr>
              <w:lastRenderedPageBreak/>
              <w:t>344</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5"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2:</w:t>
            </w:r>
          </w:p>
          <w:p w:rsidRPr="00FE48E2" w:rsidR="00D87E44" w:rsidRDefault="00D87E44" w14:paraId="15458CD6"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Renewable acceleration areas </w:t>
            </w: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7"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Milestone</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8"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Framework supporting the renewable </w:t>
            </w:r>
            <w:r w:rsidRPr="00FE48E2">
              <w:rPr>
                <w:rFonts w:eastAsia="Times New Roman"/>
                <w:noProof/>
                <w:color w:val="006100"/>
                <w:sz w:val="18"/>
                <w:szCs w:val="18"/>
                <w:lang w:val="en-IE"/>
              </w:rPr>
              <w:t>acceleration areas</w:t>
            </w:r>
          </w:p>
          <w:p w:rsidRPr="00FE48E2" w:rsidR="00D87E44" w:rsidRDefault="00D87E44" w14:paraId="15458CD9" w14:textId="77777777">
            <w:pPr>
              <w:spacing w:line="240" w:lineRule="auto"/>
              <w:rPr>
                <w:rFonts w:eastAsia="Times New Roman"/>
                <w:noProof/>
                <w:color w:val="006100"/>
                <w:sz w:val="18"/>
                <w:szCs w:val="18"/>
                <w:lang w:val="en-IE"/>
              </w:rPr>
            </w:pP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A" w14:textId="77777777">
            <w:pPr>
              <w:spacing w:before="0" w:after="0" w:line="240" w:lineRule="auto"/>
              <w:rPr>
                <w:rFonts w:eastAsia="Times New Roman"/>
                <w:noProof/>
                <w:color w:val="006100"/>
                <w:sz w:val="18"/>
                <w:szCs w:val="18"/>
                <w:lang w:val="en-IE"/>
              </w:rPr>
            </w:pPr>
            <w:r w:rsidRPr="00FE48E2">
              <w:rPr>
                <w:rFonts w:eastAsia="Times New Roman"/>
                <w:noProof/>
                <w:color w:val="006100"/>
                <w:sz w:val="18"/>
                <w:szCs w:val="18"/>
                <w:lang w:val="en-IE"/>
              </w:rPr>
              <w:t xml:space="preserve">Entry into force of legislative </w:t>
            </w:r>
            <w:r>
              <w:rPr>
                <w:rFonts w:eastAsia="Times New Roman"/>
                <w:noProof/>
                <w:color w:val="006100"/>
                <w:sz w:val="18"/>
                <w:szCs w:val="18"/>
                <w:lang w:val="en-IE"/>
              </w:rPr>
              <w:t>act on the designation of renewable acceleration areas</w:t>
            </w:r>
            <w:r w:rsidRPr="00FE48E2">
              <w:rPr>
                <w:rFonts w:eastAsia="Times New Roman"/>
                <w:noProof/>
                <w:color w:val="006100"/>
                <w:sz w:val="18"/>
                <w:szCs w:val="18"/>
                <w:lang w:val="en-IE"/>
              </w:rPr>
              <w:t xml:space="preserve"> </w:t>
            </w: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B" w14:textId="77777777">
            <w:pPr>
              <w:spacing w:line="240" w:lineRule="auto"/>
              <w:rPr>
                <w:rFonts w:eastAsia="Times New Roman"/>
                <w:noProof/>
                <w:color w:val="006100"/>
                <w:sz w:val="18"/>
                <w:szCs w:val="18"/>
                <w:lang w:val="en-IE"/>
              </w:rPr>
            </w:pP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DC" w14:textId="77777777">
            <w:pPr>
              <w:spacing w:line="240" w:lineRule="auto"/>
              <w:rPr>
                <w:rFonts w:eastAsia="Times New Roman"/>
                <w:noProof/>
                <w:color w:val="006100"/>
                <w:sz w:val="18"/>
                <w:szCs w:val="18"/>
                <w:lang w:val="en-IE"/>
              </w:rPr>
            </w:pP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3D339E" w:rsidR="00D87E44" w:rsidRDefault="00D87E44" w14:paraId="15458CDD" w14:textId="77777777">
            <w:pPr>
              <w:spacing w:line="240" w:lineRule="auto"/>
              <w:rPr>
                <w:rFonts w:eastAsia="Times New Roman"/>
                <w:noProof/>
                <w:color w:val="006100"/>
                <w:sz w:val="18"/>
                <w:szCs w:val="18"/>
                <w:lang w:val="en-IE"/>
              </w:rPr>
            </w:pP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3D339E" w:rsidR="00D87E44" w:rsidRDefault="00D87E44" w14:paraId="15458CDE"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Q4</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3D339E" w:rsidR="00D87E44" w:rsidRDefault="00D87E44" w14:paraId="15458CDF"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2024</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3D339E" w:rsidR="00D87E44" w:rsidRDefault="00D87E44" w14:paraId="15458CE0"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The legislative act shall establish the process for designating renewables acceleration areas within the corresponding necessary areas for solar and wind technologies.</w:t>
            </w:r>
          </w:p>
          <w:p w:rsidRPr="003D339E" w:rsidR="00D87E44" w:rsidRDefault="00D87E44" w14:paraId="15458CE1"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An acceleration area shall be defined at national, regional or municipal level and it shall be defined in a way that renewable projects in the area have low environmental  impact.</w:t>
            </w:r>
          </w:p>
          <w:p w:rsidRPr="003D339E" w:rsidR="00D87E44" w:rsidRDefault="00D87E44" w14:paraId="15458CE2" w14:textId="77777777">
            <w:pPr>
              <w:spacing w:before="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An acceleration area is designed within a necessary area</w:t>
            </w:r>
            <w:r>
              <w:rPr>
                <w:rFonts w:eastAsia="Times New Roman"/>
                <w:noProof/>
                <w:color w:val="006100"/>
                <w:sz w:val="18"/>
                <w:szCs w:val="18"/>
                <w:lang w:val="en-IE"/>
              </w:rPr>
              <w:t>, which is itself designed</w:t>
            </w:r>
            <w:r w:rsidRPr="003D339E">
              <w:rPr>
                <w:rFonts w:eastAsia="Times New Roman"/>
                <w:noProof/>
                <w:color w:val="006100"/>
                <w:sz w:val="18"/>
                <w:szCs w:val="18"/>
                <w:lang w:val="en-IE"/>
              </w:rPr>
              <w:t xml:space="preserve"> based on the availability and potential of renewable energy sources, estimated energy demand as well as availability of relevant energy infrastructure.</w:t>
            </w:r>
          </w:p>
          <w:p w:rsidRPr="003D339E" w:rsidR="00D87E44" w:rsidRDefault="00D87E44" w14:paraId="15458CE3"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 xml:space="preserve">Each area shall include information on area (km2) and estimated installed capacity (MW) for wind and solar. </w:t>
            </w:r>
          </w:p>
          <w:p w:rsidRPr="003D339E" w:rsidR="00D87E44" w:rsidRDefault="00D87E44" w14:paraId="15458CE4" w14:textId="77777777">
            <w:pPr>
              <w:spacing w:line="240" w:lineRule="auto"/>
              <w:rPr>
                <w:rFonts w:eastAsia="Times New Roman"/>
                <w:noProof/>
                <w:color w:val="006100"/>
                <w:sz w:val="18"/>
                <w:szCs w:val="18"/>
              </w:rPr>
            </w:pPr>
            <w:r w:rsidRPr="003D339E">
              <w:rPr>
                <w:rFonts w:eastAsia="Times New Roman"/>
                <w:noProof/>
                <w:color w:val="006100"/>
                <w:sz w:val="18"/>
                <w:szCs w:val="18"/>
                <w:lang w:val="en-IE"/>
              </w:rPr>
              <w:t xml:space="preserve">The legislative amendments shall introduce specific simplified permitting applying to renewable energy installation within such renewables acceleration areas, resulting in easier procedures and shorter deadlines. </w:t>
            </w:r>
          </w:p>
          <w:p w:rsidRPr="003D339E" w:rsidR="00D87E44" w:rsidRDefault="00D87E44" w14:paraId="15458CE5" w14:textId="77777777">
            <w:pPr>
              <w:spacing w:line="240" w:lineRule="auto"/>
              <w:rPr>
                <w:rFonts w:eastAsia="Times New Roman"/>
                <w:noProof/>
                <w:color w:val="006100"/>
                <w:sz w:val="18"/>
                <w:szCs w:val="18"/>
                <w:lang w:val="en-IE"/>
              </w:rPr>
            </w:pPr>
            <w:r w:rsidRPr="003D339E">
              <w:rPr>
                <w:rFonts w:eastAsia="Times New Roman"/>
                <w:noProof/>
                <w:color w:val="006100"/>
                <w:sz w:val="18"/>
                <w:szCs w:val="18"/>
                <w:lang w:val="en-IE"/>
              </w:rPr>
              <w:t xml:space="preserve">A strategical environmental assessment (SEA) shall be carried out at the level of the area and establish a mitigation measures rulebook, exempting individual projects within the area from carrying out individual </w:t>
            </w:r>
            <w:r>
              <w:rPr>
                <w:rFonts w:eastAsia="Times New Roman"/>
                <w:noProof/>
                <w:color w:val="006100"/>
                <w:sz w:val="18"/>
                <w:szCs w:val="18"/>
                <w:lang w:val="en-IE"/>
              </w:rPr>
              <w:t xml:space="preserve">environmental </w:t>
            </w:r>
            <w:r w:rsidRPr="003D339E">
              <w:rPr>
                <w:rFonts w:eastAsia="Times New Roman"/>
                <w:noProof/>
                <w:color w:val="006100"/>
                <w:sz w:val="18"/>
                <w:szCs w:val="18"/>
                <w:lang w:val="en-IE"/>
              </w:rPr>
              <w:t>impact assessment (unless there is evidence from the screening by the relevant authority that the individual project is highly likely to have significant adverse effects on the environment).</w:t>
            </w:r>
          </w:p>
          <w:p w:rsidRPr="003D339E" w:rsidR="00D87E44" w:rsidRDefault="00D87E44" w14:paraId="15458CE6" w14:textId="77777777">
            <w:pPr>
              <w:spacing w:before="0" w:after="0" w:line="240" w:lineRule="auto"/>
              <w:textAlignment w:val="baseline"/>
              <w:rPr>
                <w:rFonts w:eastAsia="Times New Roman"/>
                <w:noProof/>
                <w:color w:val="006100"/>
                <w:sz w:val="18"/>
                <w:szCs w:val="18"/>
                <w:lang w:val="en-IE"/>
              </w:rPr>
            </w:pPr>
            <w:r w:rsidRPr="003D339E">
              <w:rPr>
                <w:rFonts w:eastAsia="Times New Roman"/>
                <w:noProof/>
                <w:color w:val="006100"/>
                <w:sz w:val="18"/>
                <w:szCs w:val="18"/>
                <w:lang w:val="en-IE"/>
              </w:rPr>
              <w:t>At planning level, the renewables acceleration areas shall be subject to the public participation.</w:t>
            </w:r>
          </w:p>
          <w:p w:rsidRPr="003D339E" w:rsidR="00D87E44" w:rsidRDefault="00D87E44" w14:paraId="15458CE7" w14:textId="77777777">
            <w:pPr>
              <w:spacing w:after="0" w:line="240" w:lineRule="auto"/>
              <w:rPr>
                <w:rFonts w:eastAsia="Times New Roman"/>
                <w:noProof/>
                <w:color w:val="006100"/>
                <w:sz w:val="18"/>
                <w:szCs w:val="18"/>
                <w:lang w:val="en-IE"/>
              </w:rPr>
            </w:pPr>
            <w:r w:rsidRPr="003D339E">
              <w:rPr>
                <w:rFonts w:eastAsia="Times New Roman"/>
                <w:noProof/>
                <w:color w:val="006100"/>
                <w:sz w:val="18"/>
                <w:szCs w:val="18"/>
                <w:lang w:val="en-IE"/>
              </w:rPr>
              <w:lastRenderedPageBreak/>
              <w:t>The legislative amendments shall provide for project acceptance measures</w:t>
            </w:r>
            <w:r>
              <w:rPr>
                <w:rFonts w:eastAsia="Times New Roman"/>
                <w:noProof/>
                <w:color w:val="006100"/>
                <w:sz w:val="18"/>
                <w:szCs w:val="18"/>
                <w:lang w:val="en-IE"/>
              </w:rPr>
              <w:t xml:space="preserve"> that may include, but are not limited to</w:t>
            </w:r>
            <w:r w:rsidRPr="003D339E">
              <w:rPr>
                <w:rFonts w:eastAsia="Times New Roman"/>
                <w:noProof/>
                <w:color w:val="006100"/>
                <w:sz w:val="18"/>
                <w:szCs w:val="18"/>
                <w:lang w:val="en-IE"/>
              </w:rPr>
              <w:t xml:space="preserve"> </w:t>
            </w:r>
            <w:r>
              <w:rPr>
                <w:rFonts w:eastAsia="Times New Roman"/>
                <w:noProof/>
                <w:color w:val="006100"/>
                <w:sz w:val="18"/>
                <w:szCs w:val="18"/>
                <w:lang w:val="en-IE"/>
              </w:rPr>
              <w:t xml:space="preserve"> </w:t>
            </w:r>
            <w:r w:rsidRPr="003D339E">
              <w:rPr>
                <w:rFonts w:eastAsia="Times New Roman"/>
                <w:noProof/>
                <w:color w:val="006100"/>
                <w:sz w:val="18"/>
                <w:szCs w:val="18"/>
                <w:lang w:val="en-IE"/>
              </w:rPr>
              <w:t>financial participation measures.</w:t>
            </w:r>
          </w:p>
        </w:tc>
      </w:tr>
      <w:tr w:rsidRPr="00FE48E2" w:rsidR="00E3458A" w:rsidTr="001C7166" w14:paraId="15458CF6" w14:textId="77777777">
        <w:trPr>
          <w:trHeight w:val="300"/>
        </w:trPr>
        <w:tc>
          <w:tcPr>
            <w:tcW w:w="79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4F1648" w:rsidR="00D87E44" w:rsidRDefault="00D87E44" w14:paraId="15458CE9" w14:textId="77777777">
            <w:pPr>
              <w:spacing w:before="0" w:after="0" w:line="240" w:lineRule="auto"/>
              <w:rPr>
                <w:rFonts w:eastAsia="Times New Roman"/>
                <w:noProof/>
                <w:color w:val="004300"/>
                <w:sz w:val="18"/>
                <w:szCs w:val="18"/>
                <w:lang w:val="en-IE"/>
              </w:rPr>
            </w:pPr>
            <w:r w:rsidRPr="00247009">
              <w:rPr>
                <w:rFonts w:eastAsia="Times New Roman"/>
                <w:noProof/>
                <w:color w:val="004300"/>
                <w:sz w:val="18"/>
                <w:szCs w:val="18"/>
                <w:lang w:val="en-IE"/>
              </w:rPr>
              <w:lastRenderedPageBreak/>
              <w:t>345</w:t>
            </w:r>
          </w:p>
        </w:tc>
        <w:tc>
          <w:tcPr>
            <w:tcW w:w="12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EA"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2:</w:t>
            </w:r>
          </w:p>
          <w:p w:rsidRPr="00FE48E2" w:rsidR="00D87E44" w:rsidRDefault="00D87E44" w14:paraId="15458CEB"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Renewables acceleration areas</w:t>
            </w:r>
          </w:p>
          <w:p w:rsidRPr="00FE48E2" w:rsidR="00D87E44" w:rsidRDefault="00D87E44" w14:paraId="15458CEC" w14:textId="77777777">
            <w:pPr>
              <w:spacing w:before="0" w:after="0" w:line="240" w:lineRule="auto"/>
              <w:textAlignment w:val="baseline"/>
              <w:rPr>
                <w:rFonts w:eastAsia="Times New Roman"/>
                <w:noProof/>
                <w:color w:val="006100"/>
                <w:sz w:val="18"/>
                <w:szCs w:val="18"/>
                <w:lang w:val="en-IE"/>
              </w:rPr>
            </w:pPr>
          </w:p>
        </w:tc>
        <w:tc>
          <w:tcPr>
            <w:tcW w:w="111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ED"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Target  </w:t>
            </w:r>
          </w:p>
        </w:tc>
        <w:tc>
          <w:tcPr>
            <w:tcW w:w="1366"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EE" w14:textId="77777777">
            <w:pPr>
              <w:spacing w:before="0" w:after="0" w:line="240" w:lineRule="auto"/>
              <w:textAlignment w:val="baseline"/>
              <w:rPr>
                <w:rFonts w:eastAsia="Times New Roman"/>
                <w:noProof/>
                <w:color w:val="006100"/>
                <w:sz w:val="18"/>
                <w:szCs w:val="18"/>
                <w:lang w:val="en-IE"/>
              </w:rPr>
            </w:pPr>
            <w:r w:rsidRPr="00023082">
              <w:rPr>
                <w:rFonts w:eastAsia="Times New Roman"/>
                <w:noProof/>
                <w:color w:val="006100"/>
                <w:sz w:val="18"/>
                <w:szCs w:val="18"/>
                <w:lang w:val="en-IE"/>
              </w:rPr>
              <w:t xml:space="preserve">Technical assistance for the </w:t>
            </w:r>
            <w:r>
              <w:rPr>
                <w:rFonts w:eastAsia="Times New Roman"/>
                <w:noProof/>
                <w:color w:val="006100"/>
                <w:sz w:val="18"/>
                <w:szCs w:val="18"/>
                <w:lang w:val="en-IE"/>
              </w:rPr>
              <w:t>designation of</w:t>
            </w:r>
            <w:r w:rsidRPr="00023082">
              <w:rPr>
                <w:rFonts w:eastAsia="Times New Roman"/>
                <w:noProof/>
                <w:color w:val="006100"/>
                <w:sz w:val="18"/>
                <w:szCs w:val="18"/>
                <w:lang w:val="en-IE"/>
              </w:rPr>
              <w:t xml:space="preserve"> renewables acceleration areas</w:t>
            </w:r>
          </w:p>
        </w:tc>
        <w:tc>
          <w:tcPr>
            <w:tcW w:w="157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EF"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w:t>
            </w:r>
          </w:p>
        </w:tc>
        <w:tc>
          <w:tcPr>
            <w:tcW w:w="930"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F0"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Number</w:t>
            </w:r>
            <w:r>
              <w:rPr>
                <w:rFonts w:eastAsia="Times New Roman"/>
                <w:noProof/>
                <w:color w:val="006100"/>
                <w:sz w:val="18"/>
                <w:szCs w:val="18"/>
                <w:lang w:val="en-IE"/>
              </w:rPr>
              <w:t xml:space="preserve"> of staff</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926623" w:rsidR="00D87E44" w:rsidRDefault="00D87E44" w14:paraId="15458CF1" w14:textId="77777777">
            <w:pPr>
              <w:spacing w:before="0" w:after="0" w:line="240" w:lineRule="auto"/>
              <w:textAlignment w:val="baseline"/>
              <w:rPr>
                <w:rFonts w:eastAsia="Times New Roman"/>
                <w:noProof/>
                <w:color w:val="006100"/>
                <w:sz w:val="18"/>
                <w:szCs w:val="18"/>
                <w:lang w:val="en-IE"/>
              </w:rPr>
            </w:pPr>
            <w:r w:rsidRPr="00926623">
              <w:rPr>
                <w:rFonts w:eastAsia="Times New Roman"/>
                <w:noProof/>
                <w:color w:val="006100"/>
                <w:sz w:val="18"/>
                <w:szCs w:val="18"/>
                <w:lang w:val="en-IE"/>
              </w:rPr>
              <w:t>0  </w:t>
            </w:r>
          </w:p>
        </w:tc>
        <w:tc>
          <w:tcPr>
            <w:tcW w:w="98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926623" w:rsidR="00D87E44" w:rsidRDefault="00D87E44" w14:paraId="15458CF2" w14:textId="77777777">
            <w:pPr>
              <w:spacing w:before="0" w:after="0" w:line="240" w:lineRule="auto"/>
              <w:textAlignment w:val="baseline"/>
              <w:rPr>
                <w:rFonts w:eastAsia="Times New Roman"/>
                <w:noProof/>
                <w:color w:val="006100"/>
                <w:sz w:val="18"/>
                <w:szCs w:val="18"/>
                <w:lang w:val="en-IE"/>
              </w:rPr>
            </w:pPr>
            <w:r w:rsidRPr="00926623">
              <w:rPr>
                <w:rFonts w:eastAsia="Times New Roman"/>
                <w:noProof/>
                <w:color w:val="006100"/>
                <w:sz w:val="18"/>
                <w:szCs w:val="18"/>
                <w:lang w:val="en-IE"/>
              </w:rPr>
              <w:t>4,5</w:t>
            </w:r>
          </w:p>
        </w:tc>
        <w:tc>
          <w:tcPr>
            <w:tcW w:w="992"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926623" w:rsidR="00D87E44" w:rsidRDefault="00D87E44" w14:paraId="15458CF3" w14:textId="77777777">
            <w:pPr>
              <w:spacing w:before="0" w:after="0" w:line="240" w:lineRule="auto"/>
              <w:textAlignment w:val="baseline"/>
              <w:rPr>
                <w:rFonts w:eastAsia="Times New Roman"/>
                <w:noProof/>
                <w:color w:val="006100"/>
                <w:sz w:val="18"/>
                <w:szCs w:val="18"/>
                <w:lang w:val="en-IE"/>
              </w:rPr>
            </w:pPr>
            <w:r w:rsidRPr="00926623">
              <w:rPr>
                <w:rFonts w:eastAsia="Times New Roman"/>
                <w:noProof/>
                <w:color w:val="006100"/>
                <w:sz w:val="18"/>
                <w:szCs w:val="18"/>
                <w:lang w:val="en-IE"/>
              </w:rPr>
              <w:t>Q4  </w:t>
            </w:r>
          </w:p>
        </w:tc>
        <w:tc>
          <w:tcPr>
            <w:tcW w:w="714"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926623" w:rsidR="00D87E44" w:rsidRDefault="00D87E44" w14:paraId="15458CF4" w14:textId="77777777">
            <w:pPr>
              <w:spacing w:before="0" w:after="0" w:line="240" w:lineRule="auto"/>
              <w:textAlignment w:val="baseline"/>
              <w:rPr>
                <w:rFonts w:eastAsia="Times New Roman"/>
                <w:noProof/>
                <w:color w:val="006100"/>
                <w:sz w:val="18"/>
                <w:szCs w:val="18"/>
                <w:lang w:val="en-IE"/>
              </w:rPr>
            </w:pPr>
            <w:r w:rsidRPr="00926623">
              <w:rPr>
                <w:rFonts w:eastAsia="Times New Roman"/>
                <w:noProof/>
                <w:color w:val="006100"/>
                <w:sz w:val="18"/>
                <w:szCs w:val="18"/>
                <w:lang w:val="en-IE"/>
              </w:rPr>
              <w:t>2024  </w:t>
            </w:r>
          </w:p>
        </w:tc>
        <w:tc>
          <w:tcPr>
            <w:tcW w:w="3888" w:type="dxa"/>
            <w:tcBorders>
              <w:top w:val="single" w:color="auto" w:sz="4" w:space="0"/>
              <w:left w:val="single" w:color="auto" w:sz="4" w:space="0"/>
              <w:bottom w:val="single" w:color="auto" w:sz="4" w:space="0"/>
              <w:right w:val="single" w:color="auto" w:sz="4" w:space="0"/>
            </w:tcBorders>
            <w:shd w:val="clear" w:color="auto" w:fill="C6EFCE"/>
            <w:tcMar>
              <w:left w:w="105" w:type="dxa"/>
              <w:right w:w="105" w:type="dxa"/>
            </w:tcMar>
          </w:tcPr>
          <w:p w:rsidRPr="00FE48E2" w:rsidR="00D87E44" w:rsidRDefault="00D87E44" w14:paraId="15458CF5" w14:textId="77777777">
            <w:pPr>
              <w:spacing w:before="0" w:after="0" w:line="240" w:lineRule="auto"/>
              <w:textAlignment w:val="baseline"/>
              <w:rPr>
                <w:rFonts w:eastAsia="Times New Roman"/>
                <w:noProof/>
                <w:color w:val="006100"/>
                <w:sz w:val="18"/>
                <w:szCs w:val="18"/>
                <w:lang w:val="en-IE"/>
              </w:rPr>
            </w:pPr>
            <w:r w:rsidRPr="6E74C48B">
              <w:rPr>
                <w:rFonts w:eastAsia="Times New Roman"/>
                <w:noProof/>
                <w:color w:val="006100"/>
                <w:sz w:val="18"/>
                <w:szCs w:val="18"/>
                <w:lang w:val="en-IE"/>
              </w:rPr>
              <w:t>Four</w:t>
            </w:r>
            <w:r w:rsidRPr="00FE48E2">
              <w:rPr>
                <w:rFonts w:eastAsia="Times New Roman"/>
                <w:noProof/>
                <w:color w:val="006100"/>
                <w:sz w:val="18"/>
                <w:szCs w:val="18"/>
                <w:lang w:val="en-IE"/>
              </w:rPr>
              <w:t xml:space="preserve"> full-time staff </w:t>
            </w:r>
            <w:r>
              <w:rPr>
                <w:rFonts w:eastAsia="Times New Roman"/>
                <w:noProof/>
                <w:color w:val="006100"/>
                <w:sz w:val="18"/>
                <w:szCs w:val="18"/>
                <w:lang w:val="en-IE"/>
              </w:rPr>
              <w:t>and one half time staff</w:t>
            </w:r>
            <w:r w:rsidRPr="00FE48E2">
              <w:rPr>
                <w:rFonts w:eastAsia="Times New Roman"/>
                <w:noProof/>
                <w:color w:val="006100"/>
                <w:sz w:val="18"/>
                <w:szCs w:val="18"/>
                <w:lang w:val="en-IE"/>
              </w:rPr>
              <w:t xml:space="preserve"> shall be recruited for the implementation of the renewable acceleration areas.  </w:t>
            </w:r>
          </w:p>
        </w:tc>
      </w:tr>
      <w:tr w:rsidRPr="00FE48E2" w:rsidR="00E3458A" w:rsidTr="001C7166" w14:paraId="15458D05" w14:textId="77777777">
        <w:tblPrEx>
          <w:tblBorders>
            <w:top w:val="single" w:color="auto" w:sz="6" w:space="0"/>
            <w:left w:val="single" w:color="auto" w:sz="6" w:space="0"/>
            <w:bottom w:val="single" w:color="auto" w:sz="6" w:space="0"/>
            <w:right w:val="single" w:color="auto" w:sz="6" w:space="0"/>
          </w:tblBorders>
        </w:tblPrEx>
        <w:trPr>
          <w:trHeight w:val="300"/>
        </w:trPr>
        <w:tc>
          <w:tcPr>
            <w:tcW w:w="798"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4F1648" w:rsidR="00D87E44" w:rsidRDefault="00D87E44" w14:paraId="15458CF7" w14:textId="77777777">
            <w:pPr>
              <w:spacing w:before="0" w:after="0" w:line="240" w:lineRule="auto"/>
              <w:rPr>
                <w:rFonts w:eastAsia="Times New Roman"/>
                <w:noProof/>
                <w:color w:val="004300"/>
                <w:sz w:val="18"/>
                <w:szCs w:val="18"/>
                <w:lang w:val="en-IE"/>
              </w:rPr>
            </w:pPr>
            <w:r w:rsidRPr="004F1648">
              <w:rPr>
                <w:rFonts w:eastAsia="Times New Roman"/>
                <w:noProof/>
                <w:color w:val="004300"/>
                <w:sz w:val="18"/>
                <w:szCs w:val="18"/>
                <w:lang w:val="en-IE"/>
              </w:rPr>
              <w:t>346</w:t>
            </w:r>
          </w:p>
        </w:tc>
        <w:tc>
          <w:tcPr>
            <w:tcW w:w="1288"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CF8"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Reform 2:</w:t>
            </w:r>
          </w:p>
          <w:p w:rsidRPr="00FE48E2" w:rsidR="00D87E44" w:rsidRDefault="00D87E44" w14:paraId="15458CF9"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Renewables acceleration areas</w:t>
            </w:r>
          </w:p>
          <w:p w:rsidRPr="00FE48E2" w:rsidR="00D87E44" w:rsidRDefault="00D87E44" w14:paraId="15458CFA" w14:textId="77777777">
            <w:pPr>
              <w:spacing w:before="0" w:after="0" w:line="240" w:lineRule="auto"/>
              <w:textAlignment w:val="baseline"/>
              <w:rPr>
                <w:rFonts w:eastAsia="Times New Roman"/>
                <w:noProof/>
                <w:color w:val="006100"/>
                <w:sz w:val="18"/>
                <w:szCs w:val="18"/>
                <w:lang w:val="en-IE"/>
              </w:rPr>
            </w:pPr>
          </w:p>
        </w:tc>
        <w:tc>
          <w:tcPr>
            <w:tcW w:w="1116"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CFB"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Target</w:t>
            </w:r>
          </w:p>
        </w:tc>
        <w:tc>
          <w:tcPr>
            <w:tcW w:w="1366"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CFC"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 xml:space="preserve">Designation of renewables acceleration areas </w:t>
            </w:r>
          </w:p>
        </w:tc>
        <w:tc>
          <w:tcPr>
            <w:tcW w:w="1578"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Del="009F6BB8" w:rsidRDefault="00D87E44" w14:paraId="15458CFD" w14:textId="77777777">
            <w:pPr>
              <w:spacing w:before="0" w:after="0" w:line="240" w:lineRule="auto"/>
              <w:textAlignment w:val="baseline"/>
              <w:rPr>
                <w:rFonts w:eastAsia="Times New Roman"/>
                <w:noProof/>
                <w:color w:val="006100"/>
                <w:sz w:val="18"/>
                <w:szCs w:val="18"/>
                <w:lang w:val="en-IE"/>
              </w:rPr>
            </w:pPr>
          </w:p>
          <w:p w:rsidRPr="00FE48E2" w:rsidR="00D87E44" w:rsidRDefault="00D87E44" w14:paraId="15458CFE" w14:textId="77777777">
            <w:pPr>
              <w:spacing w:before="0" w:after="0" w:line="240" w:lineRule="auto"/>
              <w:textAlignment w:val="baseline"/>
              <w:rPr>
                <w:rFonts w:eastAsia="Times New Roman"/>
                <w:noProof/>
                <w:color w:val="006100"/>
                <w:sz w:val="18"/>
                <w:szCs w:val="18"/>
                <w:lang w:val="en-IE"/>
              </w:rPr>
            </w:pPr>
          </w:p>
        </w:tc>
        <w:tc>
          <w:tcPr>
            <w:tcW w:w="930"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CFF" w14:textId="77777777">
            <w:pPr>
              <w:spacing w:before="0" w:after="0" w:line="240" w:lineRule="auto"/>
              <w:textAlignment w:val="baseline"/>
              <w:rPr>
                <w:rFonts w:eastAsia="Times New Roman"/>
                <w:noProof/>
                <w:color w:val="006100"/>
                <w:sz w:val="18"/>
                <w:szCs w:val="18"/>
                <w:lang w:val="en-IE"/>
              </w:rPr>
            </w:pPr>
            <w:r>
              <w:rPr>
                <w:rFonts w:eastAsia="Times New Roman"/>
                <w:noProof/>
                <w:color w:val="006100"/>
                <w:sz w:val="18"/>
                <w:szCs w:val="18"/>
                <w:lang w:val="en-IE"/>
              </w:rPr>
              <w:t>MW</w:t>
            </w:r>
          </w:p>
        </w:tc>
        <w:tc>
          <w:tcPr>
            <w:tcW w:w="982"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D00"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0</w:t>
            </w:r>
          </w:p>
        </w:tc>
        <w:tc>
          <w:tcPr>
            <w:tcW w:w="982"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D01" w14:textId="77777777">
            <w:pPr>
              <w:spacing w:before="0" w:after="0" w:line="240" w:lineRule="auto"/>
              <w:textAlignment w:val="baseline"/>
              <w:rPr>
                <w:rFonts w:eastAsia="Times New Roman"/>
                <w:noProof/>
                <w:color w:val="006100"/>
                <w:sz w:val="18"/>
                <w:szCs w:val="18"/>
                <w:lang w:val="en-IE"/>
              </w:rPr>
            </w:pPr>
            <w:r>
              <w:rPr>
                <w:rFonts w:eastAsia="Times New Roman"/>
                <w:noProof/>
                <w:color w:val="006100"/>
                <w:sz w:val="18"/>
                <w:szCs w:val="18"/>
                <w:lang w:val="en-IE"/>
              </w:rPr>
              <w:t>3 000</w:t>
            </w:r>
          </w:p>
        </w:tc>
        <w:tc>
          <w:tcPr>
            <w:tcW w:w="992"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D02"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Q</w:t>
            </w:r>
            <w:r>
              <w:rPr>
                <w:rFonts w:eastAsia="Times New Roman"/>
                <w:noProof/>
                <w:color w:val="006100"/>
                <w:sz w:val="18"/>
                <w:szCs w:val="18"/>
                <w:lang w:val="en-IE"/>
              </w:rPr>
              <w:t>1</w:t>
            </w:r>
          </w:p>
        </w:tc>
        <w:tc>
          <w:tcPr>
            <w:tcW w:w="714"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D03" w14:textId="77777777">
            <w:pPr>
              <w:spacing w:before="0" w:after="0" w:line="240" w:lineRule="auto"/>
              <w:textAlignment w:val="baseline"/>
              <w:rPr>
                <w:rFonts w:eastAsia="Times New Roman"/>
                <w:noProof/>
                <w:color w:val="006100"/>
                <w:sz w:val="18"/>
                <w:szCs w:val="18"/>
                <w:lang w:val="en-IE"/>
              </w:rPr>
            </w:pPr>
            <w:r w:rsidRPr="00FE48E2">
              <w:rPr>
                <w:rFonts w:eastAsia="Times New Roman"/>
                <w:noProof/>
                <w:color w:val="006100"/>
                <w:sz w:val="18"/>
                <w:szCs w:val="18"/>
                <w:lang w:val="en-IE"/>
              </w:rPr>
              <w:t>202</w:t>
            </w:r>
            <w:r>
              <w:rPr>
                <w:rFonts w:eastAsia="Times New Roman"/>
                <w:noProof/>
                <w:color w:val="006100"/>
                <w:sz w:val="18"/>
                <w:szCs w:val="18"/>
                <w:lang w:val="en-IE"/>
              </w:rPr>
              <w:t>6</w:t>
            </w:r>
          </w:p>
        </w:tc>
        <w:tc>
          <w:tcPr>
            <w:tcW w:w="3888" w:type="dxa"/>
            <w:tcBorders>
              <w:top w:val="single" w:color="auto" w:sz="6" w:space="0"/>
              <w:left w:val="single" w:color="auto" w:sz="6" w:space="0"/>
              <w:bottom w:val="single" w:color="auto" w:sz="6" w:space="0"/>
              <w:right w:val="single" w:color="auto" w:sz="6" w:space="0"/>
            </w:tcBorders>
            <w:shd w:val="clear" w:color="auto" w:fill="C6EFCE"/>
            <w:tcMar>
              <w:left w:w="105" w:type="dxa"/>
              <w:right w:w="105" w:type="dxa"/>
            </w:tcMar>
          </w:tcPr>
          <w:p w:rsidRPr="00FE48E2" w:rsidR="00D87E44" w:rsidRDefault="00D87E44" w14:paraId="15458D04" w14:textId="77777777">
            <w:pPr>
              <w:spacing w:before="0" w:after="0" w:line="240" w:lineRule="auto"/>
              <w:textAlignment w:val="baseline"/>
              <w:rPr>
                <w:rFonts w:eastAsia="Times New Roman"/>
                <w:noProof/>
                <w:color w:val="006100"/>
                <w:sz w:val="18"/>
                <w:szCs w:val="18"/>
                <w:lang w:val="en-IE"/>
              </w:rPr>
            </w:pPr>
            <w:r>
              <w:rPr>
                <w:rFonts w:eastAsia="Times New Roman"/>
                <w:noProof/>
                <w:color w:val="006100"/>
                <w:sz w:val="18"/>
                <w:szCs w:val="18"/>
                <w:lang w:val="en-IE"/>
              </w:rPr>
              <w:t>R</w:t>
            </w:r>
            <w:r w:rsidRPr="00FE48E2">
              <w:rPr>
                <w:rFonts w:eastAsia="Times New Roman"/>
                <w:noProof/>
                <w:color w:val="006100"/>
                <w:sz w:val="18"/>
                <w:szCs w:val="18"/>
                <w:lang w:val="en-IE"/>
              </w:rPr>
              <w:t>enewable</w:t>
            </w:r>
            <w:r>
              <w:rPr>
                <w:rFonts w:eastAsia="Times New Roman"/>
                <w:noProof/>
                <w:color w:val="006100"/>
                <w:sz w:val="18"/>
                <w:szCs w:val="18"/>
                <w:lang w:val="en-IE"/>
              </w:rPr>
              <w:t>s</w:t>
            </w:r>
            <w:r w:rsidRPr="00FE48E2">
              <w:rPr>
                <w:rFonts w:eastAsia="Times New Roman"/>
                <w:noProof/>
                <w:color w:val="006100"/>
                <w:sz w:val="18"/>
                <w:szCs w:val="18"/>
                <w:lang w:val="en-IE"/>
              </w:rPr>
              <w:t xml:space="preserve"> acceleration areas </w:t>
            </w:r>
            <w:r>
              <w:rPr>
                <w:rFonts w:eastAsia="Times New Roman"/>
                <w:noProof/>
                <w:color w:val="006100"/>
                <w:sz w:val="18"/>
                <w:szCs w:val="18"/>
                <w:lang w:val="en-IE"/>
              </w:rPr>
              <w:t xml:space="preserve">with a combined </w:t>
            </w:r>
            <w:r w:rsidRPr="003D339E">
              <w:rPr>
                <w:rFonts w:eastAsia="Times New Roman"/>
                <w:noProof/>
                <w:color w:val="006100"/>
                <w:sz w:val="18"/>
                <w:szCs w:val="18"/>
                <w:lang w:val="en-IE"/>
              </w:rPr>
              <w:t>estimated installed capacity</w:t>
            </w:r>
            <w:r>
              <w:rPr>
                <w:rFonts w:eastAsia="Times New Roman"/>
                <w:noProof/>
                <w:color w:val="006100"/>
                <w:sz w:val="18"/>
                <w:szCs w:val="18"/>
                <w:lang w:val="en-IE"/>
              </w:rPr>
              <w:t xml:space="preserve"> of </w:t>
            </w:r>
            <w:r w:rsidRPr="00FE48E2">
              <w:rPr>
                <w:rFonts w:eastAsia="Times New Roman"/>
                <w:noProof/>
                <w:color w:val="006100"/>
                <w:sz w:val="18"/>
                <w:szCs w:val="18"/>
                <w:lang w:val="en-IE"/>
              </w:rPr>
              <w:t xml:space="preserve">at least </w:t>
            </w:r>
            <w:r>
              <w:rPr>
                <w:rFonts w:eastAsia="Times New Roman"/>
                <w:noProof/>
                <w:color w:val="006100"/>
                <w:sz w:val="18"/>
                <w:szCs w:val="18"/>
                <w:lang w:val="en-IE"/>
              </w:rPr>
              <w:t>3 000</w:t>
            </w:r>
            <w:r w:rsidRPr="00FE48E2">
              <w:rPr>
                <w:rFonts w:eastAsia="Times New Roman"/>
                <w:noProof/>
                <w:color w:val="006100"/>
                <w:sz w:val="18"/>
                <w:szCs w:val="18"/>
                <w:lang w:val="en-IE"/>
              </w:rPr>
              <w:t xml:space="preserve"> MW</w:t>
            </w:r>
            <w:r>
              <w:rPr>
                <w:rFonts w:eastAsia="Times New Roman"/>
                <w:noProof/>
                <w:color w:val="006100"/>
                <w:sz w:val="18"/>
                <w:szCs w:val="18"/>
                <w:lang w:val="en-IE"/>
              </w:rPr>
              <w:t xml:space="preserve"> </w:t>
            </w:r>
            <w:r w:rsidRPr="003D339E">
              <w:rPr>
                <w:rFonts w:eastAsia="Times New Roman"/>
                <w:noProof/>
                <w:color w:val="006100"/>
                <w:sz w:val="18"/>
                <w:szCs w:val="18"/>
                <w:lang w:val="en-IE"/>
              </w:rPr>
              <w:t>for wind and solar</w:t>
            </w:r>
            <w:r>
              <w:rPr>
                <w:rFonts w:eastAsia="Times New Roman"/>
                <w:noProof/>
                <w:color w:val="006100"/>
                <w:sz w:val="18"/>
                <w:szCs w:val="18"/>
                <w:lang w:val="en-IE"/>
              </w:rPr>
              <w:t xml:space="preserve"> energy </w:t>
            </w:r>
            <w:r w:rsidRPr="00FE48E2">
              <w:rPr>
                <w:rFonts w:eastAsia="Times New Roman"/>
                <w:noProof/>
                <w:color w:val="006100"/>
                <w:sz w:val="18"/>
                <w:szCs w:val="18"/>
                <w:lang w:val="en-IE"/>
              </w:rPr>
              <w:t xml:space="preserve">shall be </w:t>
            </w:r>
            <w:r>
              <w:rPr>
                <w:rFonts w:eastAsia="Times New Roman"/>
                <w:noProof/>
                <w:color w:val="006100"/>
                <w:sz w:val="18"/>
                <w:szCs w:val="18"/>
                <w:lang w:val="en-IE"/>
              </w:rPr>
              <w:t xml:space="preserve">designated, covering at least eight </w:t>
            </w:r>
            <w:r w:rsidRPr="00FE48E2">
              <w:rPr>
                <w:rFonts w:eastAsia="Times New Roman"/>
                <w:noProof/>
                <w:color w:val="006100"/>
                <w:sz w:val="18"/>
                <w:szCs w:val="18"/>
                <w:lang w:val="en-IE"/>
              </w:rPr>
              <w:t>regions</w:t>
            </w:r>
            <w:r>
              <w:rPr>
                <w:rFonts w:eastAsia="Times New Roman"/>
                <w:noProof/>
                <w:color w:val="006100"/>
                <w:sz w:val="18"/>
                <w:szCs w:val="18"/>
                <w:lang w:val="en-IE"/>
              </w:rPr>
              <w:t>.</w:t>
            </w:r>
          </w:p>
        </w:tc>
      </w:tr>
    </w:tbl>
    <w:p w:rsidRPr="00FF1320" w:rsidR="00D87E44" w:rsidP="00D226F4" w:rsidRDefault="00D87E44" w14:paraId="15458D06" w14:textId="77777777">
      <w:pPr>
        <w:tabs>
          <w:tab w:val="left" w:pos="993"/>
        </w:tabs>
        <w:spacing w:line="240" w:lineRule="auto"/>
        <w:jc w:val="both"/>
        <w:textAlignment w:val="baseline"/>
        <w:rPr>
          <w:b/>
          <w:color w:val="000000" w:themeColor="text1"/>
          <w:u w:val="single"/>
        </w:rPr>
        <w:sectPr w:rsidRPr="00FF1320" w:rsidR="00C16C1F" w:rsidSect="00D226F4">
          <w:headerReference w:type="even" r:id="Rdf687ae0ad544956"/>
          <w:headerReference w:type="default" r:id="R1b94d78476694975"/>
          <w:footerReference w:type="even" r:id="Rc3b7daff52484444"/>
          <w:footerReference w:type="default" r:id="Rd27fda503c804ea6"/>
          <w:headerReference w:type="first" r:id="R038a13b0142f4939"/>
          <w:footerReference w:type="first" r:id="Rf8082dee63a54afe"/>
          <w:pgSz w:w="16839" w:h="11907" w:orient="landscape"/>
          <w:pgMar w:top="1134" w:right="1134" w:bottom="1134" w:left="1134" w:header="567" w:footer="567" w:gutter="0"/>
          <w:cols w:space="720"/>
          <w:docGrid w:linePitch="360"/>
        </w:sectPr>
      </w:pPr>
    </w:p>
    <w:p w:rsidRPr="00A210BB" w:rsidR="00D87E44" w:rsidP="00A210BB" w:rsidRDefault="00D87E44" w14:paraId="15458D07" w14:textId="77777777">
      <w:pPr>
        <w:keepNext/>
        <w:tabs>
          <w:tab w:val="left" w:pos="850"/>
        </w:tabs>
        <w:spacing w:line="240" w:lineRule="auto"/>
        <w:jc w:val="both"/>
        <w:outlineLvl w:val="0"/>
        <w:rPr>
          <w:b/>
          <w:smallCaps/>
          <w:noProof/>
          <w:lang w:val="en-IE"/>
        </w:rPr>
      </w:pPr>
      <w:r w:rsidRPr="00A210BB">
        <w:rPr>
          <w:b/>
          <w:smallCaps/>
          <w:noProof/>
          <w:lang w:val="en-IE"/>
        </w:rPr>
        <w:lastRenderedPageBreak/>
        <w:t>2.</w:t>
      </w:r>
      <w:r>
        <w:rPr>
          <w:b/>
          <w:smallCaps/>
          <w:noProof/>
          <w:lang w:val="en-IE"/>
        </w:rPr>
        <w:t xml:space="preserve"> </w:t>
      </w:r>
      <w:r w:rsidRPr="00A210BB">
        <w:rPr>
          <w:b/>
          <w:smallCaps/>
          <w:noProof/>
          <w:lang w:val="en-IE"/>
        </w:rPr>
        <w:t>Estimated total cost of the recovery and resilience plan</w:t>
      </w:r>
    </w:p>
    <w:p w:rsidRPr="00B30959" w:rsidR="00D87E44" w:rsidP="00B30959" w:rsidRDefault="00D87E44" w14:paraId="15458D08" w14:textId="77777777">
      <w:pPr>
        <w:pStyle w:val="NumPar1"/>
        <w:keepNext/>
        <w:numPr>
          <w:ilvl w:val="0"/>
          <w:numId w:val="0"/>
        </w:numPr>
        <w:spacing w:before="40" w:after="0" w:line="259" w:lineRule="auto"/>
        <w:rPr>
          <w:noProof/>
          <w:szCs w:val="24"/>
        </w:rPr>
      </w:pPr>
      <w:r w:rsidRPr="00B30959">
        <w:rPr>
          <w:noProof/>
          <w:szCs w:val="24"/>
        </w:rPr>
        <w:t xml:space="preserve">The estimated total cost of the recovery and resilience plan of </w:t>
      </w:r>
      <w:r>
        <w:rPr>
          <w:noProof/>
          <w:szCs w:val="24"/>
        </w:rPr>
        <w:t>Czechia</w:t>
      </w:r>
      <w:r w:rsidRPr="00B30959">
        <w:rPr>
          <w:noProof/>
          <w:szCs w:val="24"/>
        </w:rPr>
        <w:t xml:space="preserve"> is EUR </w:t>
      </w:r>
      <w:r>
        <w:rPr>
          <w:noProof/>
        </w:rPr>
        <w:t>8 752 357 444</w:t>
      </w:r>
      <w:r w:rsidRPr="00B30959">
        <w:rPr>
          <w:noProof/>
          <w:szCs w:val="24"/>
        </w:rPr>
        <w:t xml:space="preserve">. The estimated total cost of the REPowerEU chapter is EUR </w:t>
      </w:r>
      <w:r w:rsidRPr="00A210BB">
        <w:rPr>
          <w:noProof/>
          <w:szCs w:val="24"/>
        </w:rPr>
        <w:t>735</w:t>
      </w:r>
      <w:r>
        <w:rPr>
          <w:noProof/>
        </w:rPr>
        <w:t> </w:t>
      </w:r>
      <w:r w:rsidRPr="00A210BB">
        <w:rPr>
          <w:noProof/>
          <w:szCs w:val="24"/>
        </w:rPr>
        <w:t>490</w:t>
      </w:r>
      <w:r>
        <w:rPr>
          <w:noProof/>
        </w:rPr>
        <w:t> </w:t>
      </w:r>
      <w:r w:rsidRPr="00A210BB">
        <w:rPr>
          <w:noProof/>
          <w:szCs w:val="24"/>
        </w:rPr>
        <w:t>178</w:t>
      </w:r>
    </w:p>
    <w:p w:rsidRPr="00B30959" w:rsidR="00D87E44" w:rsidP="00D226F4" w:rsidRDefault="00D87E44" w14:paraId="15458D09" w14:textId="77777777">
      <w:pPr>
        <w:keepNext/>
        <w:tabs>
          <w:tab w:val="left" w:pos="850"/>
        </w:tabs>
        <w:spacing w:line="240" w:lineRule="auto"/>
        <w:jc w:val="both"/>
        <w:outlineLvl w:val="0"/>
        <w:rPr>
          <w:b/>
          <w:smallCaps/>
          <w:noProof/>
        </w:rPr>
      </w:pPr>
    </w:p>
    <w:p w:rsidRPr="00B30959" w:rsidR="00D87E44" w:rsidP="00D226F4" w:rsidRDefault="00D87E44" w14:paraId="15458D0A" w14:textId="77777777">
      <w:pPr>
        <w:keepNext/>
        <w:tabs>
          <w:tab w:val="left" w:pos="850"/>
        </w:tabs>
        <w:spacing w:line="240" w:lineRule="auto"/>
        <w:jc w:val="both"/>
        <w:outlineLvl w:val="0"/>
        <w:rPr>
          <w:b/>
          <w:smallCaps/>
          <w:noProof/>
          <w:lang w:val="en-IE"/>
        </w:rPr>
      </w:pPr>
      <w:r w:rsidRPr="00B30959">
        <w:rPr>
          <w:b/>
          <w:smallCaps/>
          <w:noProof/>
          <w:lang w:val="en-IE"/>
        </w:rPr>
        <w:t xml:space="preserve">SECTION 2: FINANCIAL SUPPORT </w:t>
      </w:r>
    </w:p>
    <w:p w:rsidRPr="00B30959" w:rsidR="00D87E44" w:rsidP="00D226F4" w:rsidRDefault="00D87E44" w14:paraId="15458D0B" w14:textId="77777777">
      <w:pPr>
        <w:tabs>
          <w:tab w:val="num" w:pos="850"/>
        </w:tabs>
        <w:spacing w:line="240" w:lineRule="auto"/>
        <w:ind w:left="850" w:hanging="850"/>
        <w:jc w:val="both"/>
        <w:rPr>
          <w:b/>
          <w:noProof/>
          <w:lang w:val="en-IE"/>
        </w:rPr>
      </w:pPr>
      <w:r w:rsidRPr="00B30959">
        <w:rPr>
          <w:b/>
          <w:noProof/>
          <w:lang w:val="en-IE"/>
        </w:rPr>
        <w:t xml:space="preserve">Financial contribution </w:t>
      </w:r>
    </w:p>
    <w:p w:rsidRPr="00B30959" w:rsidR="00D87E44" w:rsidP="00FF1320" w:rsidRDefault="00D87E44" w14:paraId="15458D0C" w14:textId="77777777">
      <w:pPr>
        <w:spacing w:line="240" w:lineRule="auto"/>
        <w:jc w:val="both"/>
        <w:rPr>
          <w:noProof/>
          <w:lang w:val="en-IE"/>
        </w:rPr>
      </w:pPr>
      <w:r w:rsidRPr="00B30959">
        <w:rPr>
          <w:noProof/>
          <w:lang w:val="en-IE"/>
        </w:rPr>
        <w:t>The instalments referred to in Article 2(2) shall be organised in the following manner:</w:t>
      </w:r>
    </w:p>
    <w:p w:rsidRPr="00B30959" w:rsidR="00D87E44" w:rsidP="00D226F4" w:rsidRDefault="00D87E44" w14:paraId="15458D0D" w14:textId="77777777">
      <w:pPr>
        <w:numPr>
          <w:ilvl w:val="1"/>
          <w:numId w:val="89"/>
        </w:numPr>
        <w:spacing w:line="240" w:lineRule="auto"/>
        <w:jc w:val="both"/>
        <w:rPr>
          <w:noProof/>
          <w:lang w:val="en-IE"/>
        </w:rPr>
      </w:pPr>
      <w:r w:rsidRPr="00B30959">
        <w:rPr>
          <w:noProof/>
          <w:lang w:val="en-IE"/>
        </w:rPr>
        <w:t xml:space="preserve">First Instalment (non-repayable support): </w:t>
      </w:r>
    </w:p>
    <w:tbl>
      <w:tblPr>
        <w:tblW w:w="10301" w:type="dxa"/>
        <w:tblInd w:w="-601" w:type="dxa"/>
        <w:tblLook w:val="04A0" w:firstRow="1" w:lastRow="0" w:firstColumn="1" w:lastColumn="0" w:noHBand="0" w:noVBand="1"/>
      </w:tblPr>
      <w:tblGrid>
        <w:gridCol w:w="1297"/>
        <w:gridCol w:w="3686"/>
        <w:gridCol w:w="1759"/>
        <w:gridCol w:w="3559"/>
      </w:tblGrid>
      <w:tr w:rsidRPr="00FE48E2" w:rsidR="00E3458A" w:rsidTr="00F82987" w14:paraId="15458D12" w14:textId="77777777">
        <w:trPr>
          <w:trHeight w:val="825"/>
          <w:tblHeader/>
        </w:trPr>
        <w:tc>
          <w:tcPr>
            <w:tcW w:w="1268" w:type="dxa"/>
            <w:tcBorders>
              <w:top w:val="single" w:color="auto" w:sz="8" w:space="0"/>
              <w:left w:val="single" w:color="auto" w:sz="8" w:space="0"/>
              <w:bottom w:val="single" w:color="auto" w:sz="8" w:space="0"/>
              <w:right w:val="single" w:color="auto" w:sz="8" w:space="0"/>
            </w:tcBorders>
            <w:shd w:val="clear" w:color="auto" w:fill="BDD7EE"/>
            <w:vAlign w:val="center"/>
            <w:hideMark/>
          </w:tcPr>
          <w:p w:rsidRPr="00FE48E2" w:rsidR="00D87E44" w:rsidRDefault="00D87E44" w14:paraId="15458D0E" w14:textId="77777777">
            <w:pPr>
              <w:spacing w:before="0" w:after="0" w:line="240" w:lineRule="auto"/>
              <w:jc w:val="center"/>
              <w:rPr>
                <w:b/>
                <w:color w:val="000000"/>
                <w:lang w:val="en-IE"/>
              </w:rPr>
            </w:pPr>
            <w:r w:rsidRPr="00FF1320">
              <w:rPr>
                <w:b/>
                <w:color w:val="000000"/>
                <w:lang w:val="en-IE"/>
              </w:rPr>
              <w:t>Sequential Number</w:t>
            </w:r>
          </w:p>
        </w:tc>
        <w:tc>
          <w:tcPr>
            <w:tcW w:w="3700"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D0F" w14:textId="77777777">
            <w:pPr>
              <w:spacing w:before="0" w:after="0" w:line="240" w:lineRule="auto"/>
              <w:jc w:val="center"/>
              <w:rPr>
                <w:b/>
                <w:color w:val="000000"/>
                <w:lang w:val="en-IE"/>
              </w:rPr>
            </w:pPr>
            <w:r w:rsidRPr="00FF1320">
              <w:rPr>
                <w:b/>
                <w:color w:val="000000"/>
                <w:lang w:val="en-IE"/>
              </w:rPr>
              <w:t>Related Measure (Reform or Investment)</w:t>
            </w:r>
          </w:p>
        </w:tc>
        <w:tc>
          <w:tcPr>
            <w:tcW w:w="1763"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D10" w14:textId="77777777">
            <w:pPr>
              <w:spacing w:before="0" w:after="0" w:line="240" w:lineRule="auto"/>
              <w:jc w:val="center"/>
              <w:rPr>
                <w:b/>
                <w:color w:val="000000"/>
                <w:lang w:val="en-IE"/>
              </w:rPr>
            </w:pPr>
            <w:r w:rsidRPr="00FF1320">
              <w:rPr>
                <w:b/>
                <w:color w:val="000000"/>
                <w:lang w:val="en-IE"/>
              </w:rPr>
              <w:t>Milestone / Target</w:t>
            </w:r>
          </w:p>
        </w:tc>
        <w:tc>
          <w:tcPr>
            <w:tcW w:w="3225"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D11" w14:textId="77777777">
            <w:pPr>
              <w:spacing w:before="0" w:after="0" w:line="240" w:lineRule="auto"/>
              <w:jc w:val="center"/>
              <w:rPr>
                <w:b/>
                <w:color w:val="000000"/>
                <w:lang w:val="en-IE"/>
              </w:rPr>
            </w:pPr>
            <w:r w:rsidRPr="00FF1320">
              <w:rPr>
                <w:b/>
                <w:color w:val="000000"/>
                <w:lang w:val="en-IE"/>
              </w:rPr>
              <w:t>Name</w:t>
            </w:r>
          </w:p>
        </w:tc>
      </w:tr>
      <w:tr w:rsidRPr="00FE48E2" w:rsidR="00E3458A" w:rsidTr="00F82987" w14:paraId="15458D17" w14:textId="77777777">
        <w:trPr>
          <w:trHeight w:val="600"/>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3"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172</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3.1: Innovation in Education in the Context of Digitalisation - Investment 2: Digital equipment for schools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D16"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 xml:space="preserve">Number of digital devices purchased by schools for distance learning </w:t>
            </w:r>
          </w:p>
        </w:tc>
      </w:tr>
      <w:tr w:rsidRPr="00FE48E2" w:rsidR="00E3458A" w:rsidTr="00F82987" w14:paraId="15458D1C" w14:textId="77777777">
        <w:trPr>
          <w:trHeight w:val="600"/>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72</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1.6: Acceleration and Digitalisation of the Building Process - Reform 1: Implementation of the new construction law and zoning law into practice</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D1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Entry into force of the new construction law </w:t>
            </w:r>
          </w:p>
        </w:tc>
      </w:tr>
      <w:tr w:rsidRPr="00FE48E2" w:rsidR="00E3458A" w:rsidTr="00F82987" w14:paraId="15458D21" w14:textId="77777777">
        <w:trPr>
          <w:trHeight w:val="600"/>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D"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134</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2.6: Nature Protection and Adaptation to Climate Change  - Investment 2: Small watercourses and water reservoirs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1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926623" w:rsidR="00D87E44" w:rsidRDefault="00D87E44" w14:paraId="15458D20"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 xml:space="preserve">Submission by the Ministry of Agriculture of the list of projects to be supported under </w:t>
            </w:r>
            <w:r w:rsidRPr="00926623">
              <w:rPr>
                <w:rFonts w:eastAsia="Times New Roman"/>
                <w:noProof/>
                <w:color w:val="006100"/>
                <w:sz w:val="20"/>
                <w:szCs w:val="20"/>
                <w:lang w:val="en-IE"/>
              </w:rPr>
              <w:t>investment 2</w:t>
            </w:r>
          </w:p>
        </w:tc>
      </w:tr>
      <w:tr w:rsidRPr="00FE48E2" w:rsidR="00E3458A" w:rsidTr="00F82987" w14:paraId="15458D26" w14:textId="77777777">
        <w:trPr>
          <w:trHeight w:val="600"/>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2"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168</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3.1: Innovation in Education in the Context of Digitalisation - Reform 1: Curricula reform and strengthening of IT education</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926623" w:rsidR="00D87E44" w:rsidRDefault="00D87E44" w14:paraId="15458D25"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 xml:space="preserve">Approval of new curricula strengthening digital literacy and computational thinking </w:t>
            </w:r>
          </w:p>
        </w:tc>
      </w:tr>
      <w:tr w:rsidRPr="00FE48E2" w:rsidR="00E3458A" w:rsidTr="00F82987" w14:paraId="15458D2B" w14:textId="77777777">
        <w:trPr>
          <w:trHeight w:val="600"/>
        </w:trPr>
        <w:tc>
          <w:tcPr>
            <w:tcW w:w="1268" w:type="dxa"/>
            <w:tcBorders>
              <w:top w:val="nil"/>
              <w:left w:val="single" w:color="auto" w:sz="8" w:space="0"/>
              <w:bottom w:val="nil"/>
              <w:right w:val="single" w:color="000000" w:themeColor="text1" w:sz="8" w:space="0"/>
            </w:tcBorders>
            <w:shd w:val="clear" w:color="auto" w:fill="C6EFCE"/>
            <w:vAlign w:val="center"/>
            <w:hideMark/>
          </w:tcPr>
          <w:p w:rsidRPr="00FE48E2" w:rsidR="00D87E44" w:rsidRDefault="00D87E44" w14:paraId="15458D27"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51</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1.4: Digital Economy and Society, Innovative Start-Ups and New Technology - Investment 2: European Digital Media Observatory Hub (EDMO)</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nil"/>
              <w:right w:val="single" w:color="auto" w:sz="8" w:space="0"/>
            </w:tcBorders>
            <w:shd w:val="clear" w:color="auto" w:fill="C6EFCE"/>
            <w:vAlign w:val="center"/>
            <w:hideMark/>
          </w:tcPr>
          <w:p w:rsidRPr="00926623" w:rsidR="00D87E44" w:rsidRDefault="00D87E44" w14:paraId="15458D2A"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Launch of the European Digital Media Observatory hub for CEE in the Czech Republic (CEDMO)</w:t>
            </w:r>
          </w:p>
        </w:tc>
      </w:tr>
      <w:tr w:rsidRPr="00FE48E2" w:rsidR="00E3458A" w:rsidTr="00F82987" w14:paraId="15458D30" w14:textId="77777777">
        <w:trPr>
          <w:trHeight w:val="600"/>
        </w:trPr>
        <w:tc>
          <w:tcPr>
            <w:tcW w:w="1268" w:type="dxa"/>
            <w:tcBorders>
              <w:top w:val="single" w:color="000000" w:themeColor="text1" w:sz="8" w:space="0"/>
              <w:left w:val="single" w:color="auto" w:sz="8" w:space="0"/>
              <w:bottom w:val="nil"/>
              <w:right w:val="single" w:color="000000" w:themeColor="text1" w:sz="8" w:space="0"/>
            </w:tcBorders>
            <w:shd w:val="clear" w:color="auto" w:fill="C6EFCE"/>
            <w:vAlign w:val="center"/>
            <w:hideMark/>
          </w:tcPr>
          <w:p w:rsidRPr="00FE48E2" w:rsidR="00D87E44" w:rsidRDefault="00D87E44" w14:paraId="15458D2C"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102</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2.2: Reducing Energy Consumption in the Public Sector - Investment 1: Improving the energy performance of state buildings </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2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000000" w:themeColor="text1" w:sz="8" w:space="0"/>
              <w:left w:val="nil"/>
              <w:bottom w:val="nil"/>
              <w:right w:val="single" w:color="auto" w:sz="8" w:space="0"/>
            </w:tcBorders>
            <w:shd w:val="clear" w:color="auto" w:fill="C6EFCE"/>
            <w:vAlign w:val="center"/>
            <w:hideMark/>
          </w:tcPr>
          <w:p w:rsidRPr="00926623" w:rsidR="00D87E44" w:rsidRDefault="00D87E44" w14:paraId="15458D2F"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 xml:space="preserve"> Adoption of the model contract by the Ministry of Industry and Trade for the Energy Performance Contracting method services with a guarantee </w:t>
            </w:r>
          </w:p>
        </w:tc>
      </w:tr>
      <w:tr w:rsidRPr="00FE48E2" w:rsidR="00E3458A" w:rsidTr="00F82987" w14:paraId="15458D35" w14:textId="77777777">
        <w:trPr>
          <w:trHeight w:val="600"/>
        </w:trPr>
        <w:tc>
          <w:tcPr>
            <w:tcW w:w="1268"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31"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105</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3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2.2: Reducing Energy Consumption in the Public Sector - Investment 2: Improving the energy performance of public lighting systems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3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8" w:space="0"/>
              <w:left w:val="nil"/>
              <w:bottom w:val="single" w:color="auto" w:sz="8" w:space="0"/>
              <w:right w:val="single" w:color="auto" w:sz="8" w:space="0"/>
            </w:tcBorders>
            <w:shd w:val="clear" w:color="auto" w:fill="C6EFCE"/>
            <w:vAlign w:val="center"/>
            <w:hideMark/>
          </w:tcPr>
          <w:p w:rsidRPr="00926623" w:rsidR="00D87E44" w:rsidRDefault="00D87E44" w14:paraId="15458D34"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 xml:space="preserve">Adoption of programme documentation by the Ministry of Industry and Trade </w:t>
            </w:r>
            <w:r w:rsidRPr="00926623">
              <w:rPr>
                <w:rFonts w:eastAsia="Times New Roman"/>
                <w:noProof/>
                <w:color w:val="006100"/>
                <w:sz w:val="20"/>
                <w:szCs w:val="20"/>
                <w:lang w:val="en-IE"/>
              </w:rPr>
              <w:t>regarding measures to renovate public lightning systems</w:t>
            </w:r>
          </w:p>
        </w:tc>
      </w:tr>
      <w:tr w:rsidRPr="00FE48E2" w:rsidR="00E3458A" w:rsidTr="00F82987" w14:paraId="15458D3A" w14:textId="77777777">
        <w:trPr>
          <w:trHeight w:val="1220"/>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3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198</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3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4.2: New Quasi-Equity Instruments for the Promotion of Entrepreneurship and Development of Czech-Moravian Guarantee and Development Bank (ČMZRB) as a National Development Bank  - Reform 1: </w:t>
            </w:r>
            <w:r w:rsidRPr="00FE48E2">
              <w:rPr>
                <w:rFonts w:eastAsia="Times New Roman"/>
                <w:noProof/>
                <w:color w:val="006100"/>
                <w:sz w:val="20"/>
                <w:szCs w:val="20"/>
                <w:lang w:val="en-IE"/>
              </w:rPr>
              <w:t>Development of the Czech-Moravian Guarantee and Development Bank as a National Development Bank</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3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D3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Adoption of the medium-term strategy of the Czech-Moravian Guarantee and Development Bank (ČMZRB) approved by the bank's shareholders (represented by the Ministries of Industry and Trade, Finance and Local Development)</w:t>
            </w:r>
          </w:p>
        </w:tc>
      </w:tr>
      <w:tr w:rsidRPr="00FE48E2" w:rsidR="00E3458A" w:rsidTr="00F82987" w14:paraId="15458D3F" w14:textId="77777777">
        <w:trPr>
          <w:trHeight w:val="1380"/>
        </w:trPr>
        <w:tc>
          <w:tcPr>
            <w:tcW w:w="1268" w:type="dxa"/>
            <w:tcBorders>
              <w:top w:val="single" w:color="000000" w:themeColor="text1" w:sz="8" w:space="0"/>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D3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lastRenderedPageBreak/>
              <w:t>199</w:t>
            </w:r>
          </w:p>
        </w:tc>
        <w:tc>
          <w:tcPr>
            <w:tcW w:w="3700"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D3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4.2: New Quasi-Equity Instruments for the Promotion of Entrepreneurship and Development of Czech-Moravian Guarantee and Development Bank (ČMZRB) as a National </w:t>
            </w:r>
            <w:r w:rsidRPr="00FE48E2">
              <w:rPr>
                <w:rFonts w:eastAsia="Times New Roman"/>
                <w:noProof/>
                <w:color w:val="006100"/>
                <w:sz w:val="20"/>
                <w:szCs w:val="20"/>
                <w:lang w:val="en-IE"/>
              </w:rPr>
              <w:t>Development Bank  - Reform 1: Development of the Czech-Moravian Guarantee and Development Bank as a National Development Bank</w:t>
            </w:r>
          </w:p>
        </w:tc>
        <w:tc>
          <w:tcPr>
            <w:tcW w:w="1763"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D3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000000" w:themeColor="text1" w:sz="8" w:space="0"/>
              <w:left w:val="nil"/>
              <w:bottom w:val="single" w:color="auto" w:sz="4" w:space="0"/>
              <w:right w:val="single" w:color="auto" w:sz="8" w:space="0"/>
            </w:tcBorders>
            <w:shd w:val="clear" w:color="auto" w:fill="C6EFCE"/>
            <w:vAlign w:val="center"/>
            <w:hideMark/>
          </w:tcPr>
          <w:p w:rsidRPr="00FE48E2" w:rsidR="00D87E44" w:rsidRDefault="00D87E44" w14:paraId="15458D3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Delivery of a management model for the new quasi-equity instrument </w:t>
            </w:r>
          </w:p>
        </w:tc>
      </w:tr>
      <w:tr w:rsidRPr="00FE48E2" w:rsidR="00D226F4" w:rsidTr="00F82987" w14:paraId="15458D46" w14:textId="77777777">
        <w:trPr>
          <w:trHeight w:val="1185"/>
        </w:trPr>
        <w:tc>
          <w:tcPr>
            <w:tcW w:w="1268" w:type="dxa"/>
            <w:tcBorders>
              <w:top w:val="single" w:color="auto"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4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200</w:t>
            </w:r>
          </w:p>
        </w:tc>
        <w:tc>
          <w:tcPr>
            <w:tcW w:w="3700"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4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4.2: New Quasi-Equity Instruments for the Promotion of Entrepreneurship and Development of Czech-Moravian Guarantee and Development Bank (ČMZRB) as a National Development Bank - Investment 1: Development of a new line of quasi-equity </w:t>
            </w:r>
            <w:r>
              <w:rPr>
                <w:rFonts w:eastAsia="Times New Roman"/>
                <w:noProof/>
                <w:color w:val="006100"/>
                <w:sz w:val="20"/>
                <w:szCs w:val="20"/>
                <w:lang w:val="en-IE"/>
              </w:rPr>
              <w:t xml:space="preserve">and green loan </w:t>
            </w:r>
            <w:r w:rsidRPr="00FE48E2">
              <w:rPr>
                <w:rFonts w:eastAsia="Times New Roman"/>
                <w:noProof/>
                <w:color w:val="006100"/>
                <w:sz w:val="20"/>
                <w:szCs w:val="20"/>
                <w:lang w:val="en-IE"/>
              </w:rPr>
              <w:t>instruments supporting entrepreneurship</w:t>
            </w:r>
          </w:p>
        </w:tc>
        <w:tc>
          <w:tcPr>
            <w:tcW w:w="1763"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00D87E44" w:rsidRDefault="00D87E44" w14:paraId="15458D4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p w:rsidRPr="00A936F5" w:rsidR="00D87E44" w:rsidRDefault="00D87E44" w14:paraId="15458D43" w14:textId="77777777">
            <w:pPr>
              <w:rPr>
                <w:rFonts w:eastAsia="Times New Roman"/>
                <w:noProof/>
                <w:sz w:val="20"/>
                <w:szCs w:val="20"/>
                <w:lang w:val="en-IE"/>
              </w:rPr>
            </w:pPr>
          </w:p>
          <w:p w:rsidRPr="00A936F5" w:rsidR="00D87E44" w:rsidRDefault="00D87E44" w14:paraId="15458D44" w14:textId="77777777">
            <w:pPr>
              <w:rPr>
                <w:rFonts w:eastAsia="Times New Roman"/>
                <w:noProof/>
                <w:sz w:val="20"/>
                <w:szCs w:val="20"/>
                <w:lang w:val="en-IE"/>
              </w:rPr>
            </w:pPr>
          </w:p>
        </w:tc>
        <w:tc>
          <w:tcPr>
            <w:tcW w:w="3225" w:type="dxa"/>
            <w:tcBorders>
              <w:top w:val="single" w:color="auto" w:sz="4" w:space="0"/>
              <w:left w:val="nil"/>
              <w:bottom w:val="single" w:color="auto" w:sz="8" w:space="0"/>
              <w:right w:val="single" w:color="auto" w:sz="8" w:space="0"/>
            </w:tcBorders>
            <w:shd w:val="clear" w:color="auto" w:fill="C6EFCE"/>
            <w:vAlign w:val="center"/>
            <w:hideMark/>
          </w:tcPr>
          <w:p w:rsidRPr="00FE48E2" w:rsidR="00D87E44" w:rsidRDefault="00D87E44" w14:paraId="15458D4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Funding agreement with the Czech-Moravian Guarantee and Development Bank as a National Development Bank (ČMZRB)</w:t>
            </w:r>
          </w:p>
        </w:tc>
      </w:tr>
      <w:tr w:rsidRPr="00FE48E2" w:rsidR="00E3458A" w:rsidTr="00F82987" w14:paraId="15458D4B" w14:textId="77777777">
        <w:trPr>
          <w:trHeight w:val="79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47"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203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4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2: Judiciary reform aimed at strengthening the legislative framework and transparency in the areas of courts, judges, prosecutors and bailiffs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4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926623" w:rsidR="00D87E44" w:rsidRDefault="00D87E44" w14:paraId="15458D4A"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 xml:space="preserve">Entry into force of the Courts and Judges Act </w:t>
            </w:r>
          </w:p>
        </w:tc>
      </w:tr>
      <w:tr w:rsidRPr="00FE48E2" w:rsidR="00E3458A" w:rsidTr="00F82987" w14:paraId="15458D50" w14:textId="77777777">
        <w:trPr>
          <w:trHeight w:val="990"/>
        </w:trPr>
        <w:tc>
          <w:tcPr>
            <w:tcW w:w="1268" w:type="dxa"/>
            <w:tcBorders>
              <w:top w:val="nil"/>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D4C"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208</w:t>
            </w:r>
          </w:p>
        </w:tc>
        <w:tc>
          <w:tcPr>
            <w:tcW w:w="3700"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4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4.3: </w:t>
            </w:r>
            <w:r w:rsidRPr="00FE48E2">
              <w:rPr>
                <w:rFonts w:eastAsia="Times New Roman"/>
                <w:noProof/>
                <w:color w:val="006100"/>
                <w:sz w:val="20"/>
                <w:szCs w:val="20"/>
                <w:lang w:val="en-IE"/>
              </w:rPr>
              <w:t>Anti-Corruption Reforms - Reform 5: Control and audit</w:t>
            </w:r>
          </w:p>
        </w:tc>
        <w:tc>
          <w:tcPr>
            <w:tcW w:w="1763"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4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auto" w:sz="4" w:space="0"/>
              <w:right w:val="single" w:color="auto" w:sz="8" w:space="0"/>
            </w:tcBorders>
            <w:shd w:val="clear" w:color="auto" w:fill="C6EFCE"/>
            <w:vAlign w:val="center"/>
            <w:hideMark/>
          </w:tcPr>
          <w:p w:rsidRPr="00926623" w:rsidR="00D87E44" w:rsidRDefault="00D87E44" w14:paraId="15458D4F"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Creation and implementation of an action plan on the administrative system of the coordinating body in particular as regards sufficient and systemic prevention of the conflict of interest in the context of the RRF.</w:t>
            </w:r>
          </w:p>
        </w:tc>
      </w:tr>
      <w:tr w:rsidRPr="00FE48E2" w:rsidR="00E3458A" w:rsidTr="00F82987" w14:paraId="15458D55" w14:textId="77777777">
        <w:trPr>
          <w:trHeight w:val="405"/>
        </w:trPr>
        <w:tc>
          <w:tcPr>
            <w:tcW w:w="1268"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51"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211</w:t>
            </w:r>
          </w:p>
        </w:tc>
        <w:tc>
          <w:tcPr>
            <w:tcW w:w="370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5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5: Control and audit</w:t>
            </w:r>
          </w:p>
        </w:tc>
        <w:tc>
          <w:tcPr>
            <w:tcW w:w="176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5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926623" w:rsidR="00D87E44" w:rsidRDefault="00D87E44" w14:paraId="15458D54"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Audit strategy ensuring independent and effective audit of the RRF implementation</w:t>
            </w:r>
          </w:p>
        </w:tc>
      </w:tr>
      <w:tr w:rsidRPr="00FE48E2" w:rsidR="00E3458A" w:rsidTr="00F82987" w14:paraId="15458D5A" w14:textId="77777777">
        <w:trPr>
          <w:trHeight w:val="405"/>
        </w:trPr>
        <w:tc>
          <w:tcPr>
            <w:tcW w:w="1268" w:type="dxa"/>
            <w:tcBorders>
              <w:top w:val="single" w:color="auto"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56"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212</w:t>
            </w:r>
          </w:p>
        </w:tc>
        <w:tc>
          <w:tcPr>
            <w:tcW w:w="3700" w:type="dxa"/>
            <w:tcBorders>
              <w:top w:val="single" w:color="auto" w:sz="4" w:space="0"/>
              <w:left w:val="nil"/>
              <w:bottom w:val="single" w:color="auto" w:sz="8" w:space="0"/>
              <w:right w:val="single" w:color="000000" w:themeColor="text1" w:sz="8" w:space="0"/>
            </w:tcBorders>
            <w:shd w:val="clear" w:color="auto" w:fill="C6EFCE"/>
            <w:vAlign w:val="center"/>
            <w:hideMark/>
          </w:tcPr>
          <w:p w:rsidRPr="00FE48E2" w:rsidR="00D87E44" w:rsidRDefault="00D87E44" w14:paraId="15458D5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5: Control and audit</w:t>
            </w:r>
          </w:p>
        </w:tc>
        <w:tc>
          <w:tcPr>
            <w:tcW w:w="1763" w:type="dxa"/>
            <w:tcBorders>
              <w:top w:val="single" w:color="auto" w:sz="4" w:space="0"/>
              <w:left w:val="nil"/>
              <w:bottom w:val="single" w:color="auto" w:sz="8" w:space="0"/>
              <w:right w:val="single" w:color="000000" w:themeColor="text1" w:sz="8" w:space="0"/>
            </w:tcBorders>
            <w:shd w:val="clear" w:color="auto" w:fill="C6EFCE"/>
            <w:vAlign w:val="center"/>
            <w:hideMark/>
          </w:tcPr>
          <w:p w:rsidRPr="00FE48E2" w:rsidR="00D87E44" w:rsidRDefault="00D87E44" w14:paraId="15458D5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4" w:space="0"/>
              <w:left w:val="nil"/>
              <w:bottom w:val="single" w:color="auto" w:sz="8" w:space="0"/>
              <w:right w:val="single" w:color="auto" w:sz="8" w:space="0"/>
            </w:tcBorders>
            <w:shd w:val="clear" w:color="auto" w:fill="C6EFCE"/>
            <w:vAlign w:val="center"/>
            <w:hideMark/>
          </w:tcPr>
          <w:p w:rsidRPr="00926623" w:rsidR="00D87E44" w:rsidRDefault="00D87E44" w14:paraId="15458D59" w14:textId="77777777">
            <w:pPr>
              <w:spacing w:before="0" w:after="0" w:line="240" w:lineRule="auto"/>
              <w:jc w:val="center"/>
              <w:rPr>
                <w:rFonts w:eastAsia="Times New Roman"/>
                <w:noProof/>
                <w:color w:val="006100"/>
                <w:sz w:val="20"/>
                <w:szCs w:val="20"/>
                <w:lang w:val="en-IE"/>
              </w:rPr>
            </w:pPr>
            <w:r w:rsidRPr="00926623">
              <w:rPr>
                <w:rFonts w:eastAsia="Times New Roman"/>
                <w:noProof/>
                <w:color w:val="006100"/>
                <w:sz w:val="20"/>
                <w:szCs w:val="20"/>
                <w:lang w:val="en-IE"/>
              </w:rPr>
              <w:t>Review of the definition of beneficial ownership as it relates to the RRF control system</w:t>
            </w:r>
          </w:p>
        </w:tc>
      </w:tr>
      <w:tr w:rsidRPr="00FE48E2" w:rsidR="00E3458A" w:rsidTr="00F82987" w14:paraId="15458D5F" w14:textId="77777777">
        <w:trPr>
          <w:trHeight w:val="795"/>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5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223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5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5.1: Excellent Research and Development in the Health Sector  - Investment 1: Public Research &amp; Development support for priority areas of medical sciences and related social sciences </w:t>
            </w:r>
          </w:p>
        </w:tc>
        <w:tc>
          <w:tcPr>
            <w:tcW w:w="1763"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D5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5E" w14:textId="77777777">
            <w:pPr>
              <w:spacing w:before="0" w:after="0" w:line="240" w:lineRule="auto"/>
              <w:jc w:val="center"/>
              <w:rPr>
                <w:rFonts w:eastAsia="Times New Roman"/>
                <w:noProof/>
                <w:color w:val="385724"/>
                <w:sz w:val="20"/>
                <w:szCs w:val="20"/>
                <w:lang w:val="en-IE"/>
              </w:rPr>
            </w:pPr>
            <w:r w:rsidRPr="001C2213">
              <w:rPr>
                <w:rFonts w:eastAsia="Times New Roman"/>
                <w:noProof/>
                <w:color w:val="006100"/>
                <w:sz w:val="20"/>
                <w:szCs w:val="20"/>
                <w:lang w:val="en-IE"/>
              </w:rPr>
              <w:t xml:space="preserve">Launch of a new Research &amp; Development support </w:t>
            </w:r>
            <w:r w:rsidRPr="001C2213">
              <w:rPr>
                <w:rFonts w:eastAsia="Times New Roman"/>
                <w:noProof/>
                <w:color w:val="006100"/>
                <w:sz w:val="20"/>
                <w:szCs w:val="20"/>
                <w:lang w:val="en-IE"/>
              </w:rPr>
              <w:t>program</w:t>
            </w:r>
            <w:r w:rsidRPr="00FE48E2">
              <w:rPr>
                <w:rFonts w:eastAsia="Times New Roman"/>
                <w:noProof/>
                <w:color w:val="385724"/>
                <w:sz w:val="20"/>
                <w:szCs w:val="20"/>
                <w:lang w:val="en-IE"/>
              </w:rPr>
              <w:t xml:space="preserve"> </w:t>
            </w:r>
          </w:p>
        </w:tc>
      </w:tr>
      <w:tr w:rsidRPr="00FE48E2" w:rsidR="00E3458A" w:rsidTr="00F82987" w14:paraId="15458D64" w14:textId="77777777">
        <w:trPr>
          <w:trHeight w:val="990"/>
        </w:trPr>
        <w:tc>
          <w:tcPr>
            <w:tcW w:w="1268" w:type="dxa"/>
            <w:tcBorders>
              <w:top w:val="nil"/>
              <w:left w:val="single" w:color="auto" w:sz="8" w:space="0"/>
              <w:bottom w:val="nil"/>
              <w:right w:val="single" w:color="000000" w:themeColor="text1" w:sz="8" w:space="0"/>
            </w:tcBorders>
            <w:shd w:val="clear" w:color="auto" w:fill="C6EFCE"/>
            <w:vAlign w:val="center"/>
            <w:hideMark/>
          </w:tcPr>
          <w:p w:rsidRPr="00FE48E2" w:rsidR="00D87E44" w:rsidRDefault="00D87E44" w14:paraId="15458D6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226</w:t>
            </w:r>
          </w:p>
        </w:tc>
        <w:tc>
          <w:tcPr>
            <w:tcW w:w="3700" w:type="dxa"/>
            <w:tcBorders>
              <w:top w:val="nil"/>
              <w:left w:val="nil"/>
              <w:bottom w:val="nil"/>
              <w:right w:val="single" w:color="000000" w:themeColor="text1" w:sz="8" w:space="0"/>
            </w:tcBorders>
            <w:shd w:val="clear" w:color="auto" w:fill="C6EFCE"/>
            <w:vAlign w:val="center"/>
            <w:hideMark/>
          </w:tcPr>
          <w:p w:rsidRPr="00FE48E2" w:rsidR="00D87E44" w:rsidRDefault="00D87E44" w14:paraId="15458D6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5.2: Support for Research and Development in Companies and Introduction of Innovations into Business Practice  - Reform 1: Creation of National Coordination Group for Support for Industrial Research</w:t>
            </w:r>
          </w:p>
        </w:tc>
        <w:tc>
          <w:tcPr>
            <w:tcW w:w="1763" w:type="dxa"/>
            <w:tcBorders>
              <w:top w:val="nil"/>
              <w:left w:val="nil"/>
              <w:bottom w:val="nil"/>
              <w:right w:val="single" w:color="000000" w:themeColor="text1" w:sz="8" w:space="0"/>
            </w:tcBorders>
            <w:shd w:val="clear" w:color="auto" w:fill="C6EFCE"/>
            <w:vAlign w:val="center"/>
            <w:hideMark/>
          </w:tcPr>
          <w:p w:rsidRPr="00FE48E2" w:rsidR="00D87E44" w:rsidRDefault="00D87E44" w14:paraId="15458D6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nil"/>
              <w:right w:val="single" w:color="auto" w:sz="8" w:space="0"/>
            </w:tcBorders>
            <w:shd w:val="clear" w:color="auto" w:fill="C6EFCE"/>
            <w:vAlign w:val="center"/>
            <w:hideMark/>
          </w:tcPr>
          <w:p w:rsidRPr="00FE48E2" w:rsidR="00D87E44" w:rsidRDefault="00D87E44" w14:paraId="15458D6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Establishment of National Coordination Group for Support for Industrial Research</w:t>
            </w:r>
          </w:p>
        </w:tc>
      </w:tr>
      <w:tr w:rsidRPr="00FE48E2" w:rsidR="00D226F4" w:rsidTr="00F82987" w14:paraId="15458D69" w14:textId="77777777">
        <w:trPr>
          <w:trHeight w:val="600"/>
        </w:trPr>
        <w:tc>
          <w:tcPr>
            <w:tcW w:w="1268"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65"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236</w:t>
            </w:r>
          </w:p>
        </w:tc>
        <w:tc>
          <w:tcPr>
            <w:tcW w:w="3700" w:type="dxa"/>
            <w:tcBorders>
              <w:top w:val="single" w:color="auto" w:sz="8" w:space="0"/>
              <w:left w:val="nil"/>
              <w:bottom w:val="single" w:color="auto" w:sz="8" w:space="0"/>
              <w:right w:val="single" w:color="000000" w:themeColor="text1" w:sz="8" w:space="0"/>
            </w:tcBorders>
            <w:shd w:val="clear" w:color="auto" w:fill="C6EFCE"/>
            <w:vAlign w:val="center"/>
            <w:hideMark/>
          </w:tcPr>
          <w:p w:rsidRPr="00FE48E2" w:rsidR="00D87E44" w:rsidRDefault="00D87E44" w14:paraId="15458D6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6.2: The National Plan to Strengthen Oncological Prevention and Care - Reform 1: National Oncological Programme </w:t>
            </w:r>
          </w:p>
        </w:tc>
        <w:tc>
          <w:tcPr>
            <w:tcW w:w="1763" w:type="dxa"/>
            <w:tcBorders>
              <w:top w:val="single" w:color="auto" w:sz="8" w:space="0"/>
              <w:left w:val="nil"/>
              <w:bottom w:val="single" w:color="auto" w:sz="8" w:space="0"/>
              <w:right w:val="single" w:color="000000" w:themeColor="text1" w:sz="8" w:space="0"/>
            </w:tcBorders>
            <w:shd w:val="clear" w:color="auto" w:fill="C6EFCE"/>
            <w:vAlign w:val="center"/>
            <w:hideMark/>
          </w:tcPr>
          <w:p w:rsidRPr="00FE48E2" w:rsidR="00D87E44" w:rsidRDefault="00D87E44" w14:paraId="15458D6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8" w:space="0"/>
              <w:left w:val="nil"/>
              <w:bottom w:val="single" w:color="auto" w:sz="8" w:space="0"/>
              <w:right w:val="single" w:color="auto" w:sz="8" w:space="0"/>
            </w:tcBorders>
            <w:shd w:val="clear" w:color="auto" w:fill="C6EFCE"/>
            <w:vAlign w:val="center"/>
            <w:hideMark/>
          </w:tcPr>
          <w:p w:rsidRPr="00FE48E2" w:rsidR="00D87E44" w:rsidRDefault="00D87E44" w14:paraId="15458D68" w14:textId="77777777">
            <w:pPr>
              <w:spacing w:before="0" w:after="0" w:line="240" w:lineRule="auto"/>
              <w:jc w:val="center"/>
              <w:rPr>
                <w:rFonts w:eastAsia="Times New Roman"/>
                <w:noProof/>
                <w:color w:val="004300"/>
                <w:sz w:val="20"/>
                <w:szCs w:val="20"/>
                <w:lang w:val="en-IE"/>
              </w:rPr>
            </w:pPr>
            <w:r w:rsidRPr="00926623">
              <w:rPr>
                <w:rFonts w:eastAsia="Times New Roman"/>
                <w:noProof/>
                <w:color w:val="006100"/>
                <w:sz w:val="20"/>
                <w:szCs w:val="20"/>
                <w:lang w:val="en-IE"/>
              </w:rPr>
              <w:t>National Oncological Programme of the Czech Republic 2022-2030</w:t>
            </w:r>
          </w:p>
        </w:tc>
      </w:tr>
      <w:tr w:rsidRPr="00FE48E2" w:rsidR="00E3458A" w:rsidTr="00F82987" w14:paraId="15458D6E" w14:textId="77777777">
        <w:trPr>
          <w:trHeight w:val="795"/>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6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6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1.1: Digital services to citizens and businesses - Reform 2: eHealth</w:t>
            </w:r>
            <w:r>
              <w:rPr>
                <w:rFonts w:eastAsia="Times New Roman"/>
                <w:noProof/>
                <w:color w:val="006100"/>
                <w:sz w:val="20"/>
                <w:szCs w:val="20"/>
                <w:lang w:val="en-IE"/>
              </w:rPr>
              <w:t xml:space="preserve"> services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6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6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Definition of interoperability standards in accordance with the European Interoperability Framework for eHealth and definition of rules governing telemedicine</w:t>
            </w:r>
          </w:p>
        </w:tc>
      </w:tr>
      <w:tr w:rsidRPr="00FE48E2" w:rsidR="00E3458A" w:rsidTr="00F82987" w14:paraId="15458D73"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6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lastRenderedPageBreak/>
              <w:t>68</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7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1.5: Digital Transformation of Enterprises  - Reform 1: Creation of Platform for the digitisation of the economy</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7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7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Creation of Platform for the digitisation of the economy</w:t>
            </w:r>
          </w:p>
        </w:tc>
      </w:tr>
      <w:tr w:rsidRPr="00FE48E2" w:rsidR="00E3458A" w:rsidTr="00F82987" w14:paraId="15458D78"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7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146</w:t>
            </w:r>
          </w:p>
        </w:tc>
        <w:tc>
          <w:tcPr>
            <w:tcW w:w="3700"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7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2.7: Circular Economy, Recycling and Industrial Water - Reform 2: Finalisation and implementation of the circular Czechia strategy 2040</w:t>
            </w:r>
          </w:p>
        </w:tc>
        <w:tc>
          <w:tcPr>
            <w:tcW w:w="1763"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7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570" w:type="dxa"/>
            <w:tcBorders>
              <w:top w:val="nil"/>
              <w:left w:val="nil"/>
              <w:bottom w:val="single" w:color="auto" w:sz="4" w:space="0"/>
              <w:right w:val="single" w:color="auto" w:sz="8" w:space="0"/>
            </w:tcBorders>
            <w:shd w:val="clear" w:color="auto" w:fill="C6EFCE"/>
            <w:vAlign w:val="center"/>
            <w:hideMark/>
          </w:tcPr>
          <w:p w:rsidRPr="00FE48E2" w:rsidR="00D87E44" w:rsidRDefault="00D87E44" w14:paraId="15458D7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and adoption of the circular Czechia strategy 2040 by the Ministry of Environment</w:t>
            </w:r>
          </w:p>
        </w:tc>
      </w:tr>
      <w:tr w:rsidRPr="00FE48E2" w:rsidR="00E3458A" w:rsidTr="00F82987" w14:paraId="15458D7D" w14:textId="77777777">
        <w:trPr>
          <w:trHeight w:val="600"/>
        </w:trPr>
        <w:tc>
          <w:tcPr>
            <w:tcW w:w="1268" w:type="dxa"/>
            <w:tcBorders>
              <w:top w:val="nil"/>
              <w:left w:val="single" w:color="auto" w:sz="8" w:space="0"/>
              <w:bottom w:val="single" w:color="auto" w:sz="4" w:space="0"/>
              <w:right w:val="single" w:color="auto" w:sz="4" w:space="0"/>
            </w:tcBorders>
            <w:shd w:val="clear" w:color="auto" w:fill="C6EFCE"/>
            <w:vAlign w:val="center"/>
            <w:hideMark/>
          </w:tcPr>
          <w:p w:rsidRPr="00FE48E2" w:rsidR="00D87E44" w:rsidRDefault="00D87E44" w14:paraId="15458D7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184</w:t>
            </w:r>
          </w:p>
        </w:tc>
        <w:tc>
          <w:tcPr>
            <w:tcW w:w="370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7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3.3: Modernisation of Employment Services and Labour Market Development  - Reform 1: Development of labour market policies</w:t>
            </w:r>
          </w:p>
        </w:tc>
        <w:tc>
          <w:tcPr>
            <w:tcW w:w="176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7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57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7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Establishment of the tripartite Re-skilling and Upskilling Committee </w:t>
            </w:r>
          </w:p>
        </w:tc>
      </w:tr>
      <w:tr w:rsidRPr="00FE48E2" w:rsidR="00E3458A" w:rsidTr="00F82987" w14:paraId="15458D82" w14:textId="77777777">
        <w:trPr>
          <w:trHeight w:val="795"/>
        </w:trPr>
        <w:tc>
          <w:tcPr>
            <w:tcW w:w="1268"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7E"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29</w:t>
            </w:r>
          </w:p>
        </w:tc>
        <w:tc>
          <w:tcPr>
            <w:tcW w:w="3700" w:type="dxa"/>
            <w:tcBorders>
              <w:top w:val="single" w:color="auto" w:sz="4" w:space="0"/>
              <w:left w:val="single" w:color="auto" w:sz="4"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7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1.2: Digital Public </w:t>
            </w:r>
            <w:r w:rsidRPr="00FE48E2">
              <w:rPr>
                <w:rFonts w:eastAsia="Times New Roman"/>
                <w:noProof/>
                <w:color w:val="006100"/>
                <w:sz w:val="20"/>
                <w:szCs w:val="20"/>
                <w:lang w:val="en-IE"/>
              </w:rPr>
              <w:t>Administration Systems - Investment 4:</w:t>
            </w:r>
            <w:r w:rsidRPr="00FE48E2">
              <w:rPr>
                <w:rFonts w:eastAsia="Times New Roman"/>
                <w:noProof/>
                <w:color w:val="006100"/>
                <w:sz w:val="20"/>
                <w:szCs w:val="20"/>
                <w:lang w:val="en-IE"/>
              </w:rPr>
              <w:br/>
              <w:t>Creating the conditions for digital justice</w:t>
            </w:r>
          </w:p>
        </w:tc>
        <w:tc>
          <w:tcPr>
            <w:tcW w:w="1763"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570" w:type="dxa"/>
            <w:tcBorders>
              <w:top w:val="single" w:color="auto" w:sz="4" w:space="0"/>
              <w:left w:val="nil"/>
              <w:bottom w:val="single" w:color="auto" w:sz="8" w:space="0"/>
              <w:right w:val="single" w:color="auto" w:sz="8" w:space="0"/>
            </w:tcBorders>
            <w:shd w:val="clear" w:color="auto" w:fill="C6EFCE"/>
            <w:vAlign w:val="center"/>
            <w:hideMark/>
          </w:tcPr>
          <w:p w:rsidRPr="001C2213" w:rsidR="00D87E44" w:rsidRDefault="00D87E44" w14:paraId="15458D81" w14:textId="77777777">
            <w:pPr>
              <w:spacing w:before="0" w:after="0" w:line="240" w:lineRule="auto"/>
              <w:jc w:val="center"/>
              <w:rPr>
                <w:rFonts w:eastAsia="Times New Roman"/>
                <w:noProof/>
                <w:color w:val="006100"/>
                <w:sz w:val="20"/>
                <w:szCs w:val="20"/>
                <w:lang w:val="en-IE"/>
              </w:rPr>
            </w:pPr>
            <w:r w:rsidRPr="001C2213">
              <w:rPr>
                <w:rFonts w:eastAsia="Times New Roman"/>
                <w:noProof/>
                <w:color w:val="006100"/>
                <w:sz w:val="20"/>
                <w:szCs w:val="20"/>
                <w:lang w:val="en-IE"/>
              </w:rPr>
              <w:t>Analysis of data management and use of data in the justice sector and the deployment of a data warehouse</w:t>
            </w:r>
          </w:p>
        </w:tc>
      </w:tr>
      <w:tr w:rsidRPr="00FE48E2" w:rsidR="00E3458A" w:rsidTr="00F82987" w14:paraId="15458D87" w14:textId="77777777">
        <w:trPr>
          <w:trHeight w:val="600"/>
        </w:trPr>
        <w:tc>
          <w:tcPr>
            <w:tcW w:w="1268" w:type="dxa"/>
            <w:tcBorders>
              <w:top w:val="single" w:color="auto" w:sz="4" w:space="0"/>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83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4" w14:textId="77777777">
            <w:pPr>
              <w:spacing w:before="0" w:after="0" w:line="240" w:lineRule="auto"/>
              <w:jc w:val="center"/>
              <w:rPr>
                <w:rFonts w:eastAsia="Times New Roman"/>
                <w:noProof/>
                <w:color w:val="006100"/>
                <w:sz w:val="20"/>
                <w:szCs w:val="20"/>
                <w:lang w:val="en-IE"/>
              </w:rPr>
            </w:pPr>
            <w:r w:rsidRPr="336FB62E">
              <w:rPr>
                <w:rFonts w:eastAsia="Times New Roman"/>
                <w:noProof/>
                <w:color w:val="006100"/>
                <w:sz w:val="20"/>
                <w:szCs w:val="20"/>
                <w:lang w:val="en-IE"/>
              </w:rPr>
              <w:t xml:space="preserve">C 2.1: Sustainable Transport - Investment 1: </w:t>
            </w:r>
            <w:r>
              <w:rPr>
                <w:rFonts w:eastAsia="Times New Roman"/>
                <w:noProof/>
                <w:color w:val="006100"/>
                <w:sz w:val="20"/>
                <w:szCs w:val="20"/>
                <w:lang w:val="en-IE"/>
              </w:rPr>
              <w:t>Application of modern</w:t>
            </w:r>
            <w:r w:rsidRPr="336FB62E">
              <w:rPr>
                <w:rFonts w:eastAsia="Times New Roman"/>
                <w:noProof/>
                <w:color w:val="006100"/>
                <w:sz w:val="20"/>
                <w:szCs w:val="20"/>
                <w:lang w:val="en-IE"/>
              </w:rPr>
              <w:t xml:space="preserve"> technologies </w:t>
            </w:r>
            <w:r>
              <w:rPr>
                <w:rFonts w:eastAsia="Times New Roman"/>
                <w:noProof/>
                <w:color w:val="006100"/>
                <w:sz w:val="20"/>
                <w:szCs w:val="20"/>
                <w:lang w:val="en-IE"/>
              </w:rPr>
              <w:t>to</w:t>
            </w:r>
            <w:r w:rsidRPr="336FB62E">
              <w:rPr>
                <w:rFonts w:eastAsia="Times New Roman"/>
                <w:noProof/>
                <w:color w:val="006100"/>
                <w:sz w:val="20"/>
                <w:szCs w:val="20"/>
                <w:lang w:val="en-IE"/>
              </w:rPr>
              <w:t xml:space="preserve"> railway infrastructure</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D8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Definition of the set of projects for Investment 1</w:t>
            </w:r>
          </w:p>
        </w:tc>
      </w:tr>
      <w:tr w:rsidRPr="00FE48E2" w:rsidR="00E3458A" w:rsidTr="00F82987" w14:paraId="15458D8C" w14:textId="77777777">
        <w:trPr>
          <w:trHeight w:val="405"/>
        </w:trPr>
        <w:tc>
          <w:tcPr>
            <w:tcW w:w="1268" w:type="dxa"/>
            <w:tcBorders>
              <w:top w:val="single" w:color="000000" w:themeColor="text1"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8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86</w:t>
            </w:r>
          </w:p>
        </w:tc>
        <w:tc>
          <w:tcPr>
            <w:tcW w:w="3700"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2: Electrification of railways</w:t>
            </w:r>
          </w:p>
        </w:tc>
        <w:tc>
          <w:tcPr>
            <w:tcW w:w="1763"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000000" w:themeColor="text1" w:sz="4" w:space="0"/>
              <w:left w:val="nil"/>
              <w:bottom w:val="single" w:color="auto" w:sz="8" w:space="0"/>
              <w:right w:val="single" w:color="auto" w:sz="8" w:space="0"/>
            </w:tcBorders>
            <w:shd w:val="clear" w:color="auto" w:fill="C6EFCE"/>
            <w:vAlign w:val="center"/>
            <w:hideMark/>
          </w:tcPr>
          <w:p w:rsidRPr="00FE48E2" w:rsidR="00D87E44" w:rsidRDefault="00D87E44" w14:paraId="15458D8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Definition of the set of projects for Investment 2</w:t>
            </w:r>
          </w:p>
        </w:tc>
      </w:tr>
      <w:tr w:rsidRPr="00FE48E2" w:rsidR="00E3458A" w:rsidTr="00F82987" w14:paraId="15458D91"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8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89</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3: Improving the environment (railway infrastructure support)</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8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9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Definition of the set of projects for Investment 3</w:t>
            </w:r>
          </w:p>
        </w:tc>
      </w:tr>
      <w:tr w:rsidRPr="00FE48E2" w:rsidR="00E3458A" w:rsidTr="00F82987" w14:paraId="15458D96"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9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92</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2.1: </w:t>
            </w:r>
            <w:r w:rsidRPr="00FE48E2">
              <w:rPr>
                <w:rFonts w:eastAsia="Times New Roman"/>
                <w:noProof/>
                <w:color w:val="006100"/>
                <w:sz w:val="20"/>
                <w:szCs w:val="20"/>
                <w:lang w:val="en-IE"/>
              </w:rPr>
              <w:t>Sustainable Transport - Investment 4: Road and rail safety (railway crossings, bridges and tunnels, cycle paths and barrier-free routes)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9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level crossings with an increased safety</w:t>
            </w:r>
          </w:p>
        </w:tc>
      </w:tr>
      <w:tr w:rsidRPr="00FE48E2" w:rsidR="00E3458A" w:rsidTr="00F82987" w14:paraId="15458D9B"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9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4: Road and rail safety (railway crossings, bridges and tunnels, cycle paths and barrier-free routes)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9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built cycle paths, sidewalks and barrier-free routes</w:t>
            </w:r>
          </w:p>
        </w:tc>
      </w:tr>
      <w:tr w:rsidRPr="00FE48E2" w:rsidR="00E3458A" w:rsidTr="00F82987" w14:paraId="15458DA0" w14:textId="77777777">
        <w:trPr>
          <w:trHeight w:val="600"/>
        </w:trPr>
        <w:tc>
          <w:tcPr>
            <w:tcW w:w="1268"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9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94</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2.1: Sustainable Transport - Investment 4: Road and rail safety (railway </w:t>
            </w:r>
            <w:r w:rsidRPr="00FE48E2">
              <w:rPr>
                <w:rFonts w:eastAsia="Times New Roman"/>
                <w:noProof/>
                <w:color w:val="006100"/>
                <w:sz w:val="20"/>
                <w:szCs w:val="20"/>
                <w:lang w:val="en-IE"/>
              </w:rPr>
              <w:t>crossings, bridges and tunnels, cycle paths and barrier-free routes)</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9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D9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modernised railway bridges or tunnels</w:t>
            </w:r>
          </w:p>
        </w:tc>
      </w:tr>
      <w:tr w:rsidRPr="00FE48E2" w:rsidR="00E3458A" w:rsidTr="00F82987" w14:paraId="15458DA5" w14:textId="77777777">
        <w:trPr>
          <w:trHeight w:val="40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A1"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131</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A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2.6: Nature Protection and Adaptation to Climate Change  - Investment 1: Flood protection</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A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C7156" w:rsidR="00D87E44" w:rsidRDefault="00D87E44" w14:paraId="15458DA4"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Notification of award of flood protection contracts</w:t>
            </w:r>
          </w:p>
        </w:tc>
      </w:tr>
      <w:tr w:rsidRPr="00FE48E2" w:rsidR="00E3458A" w:rsidTr="00F82987" w14:paraId="15458DAA" w14:textId="77777777">
        <w:trPr>
          <w:trHeight w:val="600"/>
        </w:trPr>
        <w:tc>
          <w:tcPr>
            <w:tcW w:w="1268" w:type="dxa"/>
            <w:tcBorders>
              <w:top w:val="nil"/>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DA6"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135</w:t>
            </w:r>
          </w:p>
        </w:tc>
        <w:tc>
          <w:tcPr>
            <w:tcW w:w="3700"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A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2.6: Nature Protection and Adaptation to Climate Change  - Investment 2: Small watercourses and water reservoirs</w:t>
            </w:r>
          </w:p>
        </w:tc>
        <w:tc>
          <w:tcPr>
            <w:tcW w:w="1763"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DA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nil"/>
              <w:left w:val="nil"/>
              <w:bottom w:val="single" w:color="auto" w:sz="4" w:space="0"/>
              <w:right w:val="single" w:color="auto" w:sz="8" w:space="0"/>
            </w:tcBorders>
            <w:shd w:val="clear" w:color="auto" w:fill="C6EFCE"/>
            <w:vAlign w:val="center"/>
            <w:hideMark/>
          </w:tcPr>
          <w:p w:rsidRPr="00FC7156" w:rsidR="00D87E44" w:rsidRDefault="00D87E44" w14:paraId="15458DA9"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 xml:space="preserve">T1: Completion of 50% of the small watercourses and water reservoirs projects </w:t>
            </w:r>
          </w:p>
        </w:tc>
      </w:tr>
      <w:tr w:rsidRPr="00FE48E2" w:rsidR="00E3458A" w:rsidTr="00F82987" w14:paraId="15458DAF" w14:textId="77777777">
        <w:trPr>
          <w:trHeight w:val="600"/>
        </w:trPr>
        <w:tc>
          <w:tcPr>
            <w:tcW w:w="1268"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A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176</w:t>
            </w:r>
          </w:p>
        </w:tc>
        <w:tc>
          <w:tcPr>
            <w:tcW w:w="370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A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3.2: Adaptation of School Programmes - Reform 1: Transformation of universities to adapt to new forms of learning and changing needs of the labour market</w:t>
            </w:r>
          </w:p>
        </w:tc>
        <w:tc>
          <w:tcPr>
            <w:tcW w:w="176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A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A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Launch of a programme to support transformation of universities </w:t>
            </w:r>
          </w:p>
        </w:tc>
      </w:tr>
      <w:tr w:rsidRPr="00FE48E2" w:rsidR="00E3458A" w:rsidTr="00F82987" w14:paraId="15458DB4" w14:textId="77777777">
        <w:trPr>
          <w:trHeight w:val="795"/>
        </w:trPr>
        <w:tc>
          <w:tcPr>
            <w:tcW w:w="1268" w:type="dxa"/>
            <w:tcBorders>
              <w:top w:val="single" w:color="auto"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DB0"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207</w:t>
            </w:r>
          </w:p>
        </w:tc>
        <w:tc>
          <w:tcPr>
            <w:tcW w:w="3700"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5: Control and audit</w:t>
            </w:r>
          </w:p>
        </w:tc>
        <w:tc>
          <w:tcPr>
            <w:tcW w:w="1763"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single" w:color="auto" w:sz="4" w:space="0"/>
              <w:left w:val="nil"/>
              <w:bottom w:val="single" w:color="auto" w:sz="8" w:space="0"/>
              <w:right w:val="single" w:color="auto" w:sz="8" w:space="0"/>
            </w:tcBorders>
            <w:shd w:val="clear" w:color="auto" w:fill="C6EFCE"/>
            <w:vAlign w:val="center"/>
            <w:hideMark/>
          </w:tcPr>
          <w:p w:rsidRPr="00FC7156" w:rsidR="00D87E44" w:rsidRDefault="00D87E44" w14:paraId="15458DB3"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The system to collect, store and make available data in relation to all final recipients including all beneficial owners (as established by article 3, point 6, of the Anti-money laundering directive.</w:t>
            </w:r>
          </w:p>
        </w:tc>
      </w:tr>
      <w:tr w:rsidRPr="00FE48E2" w:rsidR="00E3458A" w:rsidTr="00F82987" w14:paraId="15458DB9" w14:textId="77777777">
        <w:trPr>
          <w:trHeight w:val="40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5"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209</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4.3: Anti-Corruption Reforms - Reform 5: </w:t>
            </w:r>
            <w:r w:rsidRPr="00FE48E2">
              <w:rPr>
                <w:rFonts w:eastAsia="Times New Roman"/>
                <w:noProof/>
                <w:color w:val="006100"/>
                <w:sz w:val="20"/>
                <w:szCs w:val="20"/>
                <w:lang w:val="en-IE"/>
              </w:rPr>
              <w:t>Control and audit</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C7156" w:rsidR="00D87E44" w:rsidRDefault="00D87E44" w14:paraId="15458DB8"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Measures preventing conflict of interest implemented by the Coordinating body.</w:t>
            </w:r>
          </w:p>
        </w:tc>
      </w:tr>
      <w:tr w:rsidRPr="00FE48E2" w:rsidR="00E3458A" w:rsidTr="00F82987" w14:paraId="15458DBE" w14:textId="77777777">
        <w:trPr>
          <w:trHeight w:val="40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A"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210</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5: Control and audit</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C7156" w:rsidR="00D87E44" w:rsidRDefault="00D87E44" w14:paraId="15458DBD"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Repository system</w:t>
            </w:r>
          </w:p>
        </w:tc>
      </w:tr>
      <w:tr w:rsidRPr="00FE48E2" w:rsidR="00E3458A" w:rsidTr="00F82987" w14:paraId="15458DC3" w14:textId="77777777">
        <w:trPr>
          <w:trHeight w:val="40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BF"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lastRenderedPageBreak/>
              <w:t>213</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C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4.3: Anti-Corruption Reforms - Reform 5: </w:t>
            </w:r>
            <w:r w:rsidRPr="00FE48E2">
              <w:rPr>
                <w:rFonts w:eastAsia="Times New Roman"/>
                <w:noProof/>
                <w:color w:val="006100"/>
                <w:sz w:val="20"/>
                <w:szCs w:val="20"/>
                <w:lang w:val="en-IE"/>
              </w:rPr>
              <w:t>Control and audit</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C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C7156" w:rsidR="00D87E44" w:rsidRDefault="00D87E44" w14:paraId="15458DC2"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Guidance on the avoidance and management of conflict of interests</w:t>
            </w:r>
          </w:p>
        </w:tc>
      </w:tr>
      <w:tr w:rsidRPr="00FE48E2" w:rsidR="00E3458A" w:rsidTr="00F82987" w14:paraId="15458DC8" w14:textId="77777777">
        <w:trPr>
          <w:trHeight w:val="405"/>
        </w:trPr>
        <w:tc>
          <w:tcPr>
            <w:tcW w:w="1268"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C4"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214</w:t>
            </w:r>
          </w:p>
        </w:tc>
        <w:tc>
          <w:tcPr>
            <w:tcW w:w="3700"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C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4.3: Anti-Corruption Reforms - Reform 5: Control and audit</w:t>
            </w:r>
          </w:p>
        </w:tc>
        <w:tc>
          <w:tcPr>
            <w:tcW w:w="176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DC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225" w:type="dxa"/>
            <w:tcBorders>
              <w:top w:val="nil"/>
              <w:left w:val="nil"/>
              <w:bottom w:val="single" w:color="000000" w:themeColor="text1" w:sz="8" w:space="0"/>
              <w:right w:val="single" w:color="auto" w:sz="8" w:space="0"/>
            </w:tcBorders>
            <w:shd w:val="clear" w:color="auto" w:fill="C6EFCE"/>
            <w:vAlign w:val="center"/>
            <w:hideMark/>
          </w:tcPr>
          <w:p w:rsidRPr="00FC7156" w:rsidR="00D87E44" w:rsidRDefault="00D87E44" w14:paraId="15458DC7" w14:textId="77777777">
            <w:pPr>
              <w:spacing w:before="0" w:after="0" w:line="240" w:lineRule="auto"/>
              <w:jc w:val="center"/>
              <w:rPr>
                <w:rFonts w:eastAsia="Times New Roman"/>
                <w:noProof/>
                <w:color w:val="006100"/>
                <w:sz w:val="20"/>
                <w:szCs w:val="20"/>
                <w:lang w:val="en-IE"/>
              </w:rPr>
            </w:pPr>
            <w:r w:rsidRPr="00FC7156">
              <w:rPr>
                <w:rFonts w:eastAsia="Times New Roman"/>
                <w:noProof/>
                <w:color w:val="006100"/>
                <w:sz w:val="20"/>
                <w:szCs w:val="20"/>
                <w:lang w:val="en-IE"/>
              </w:rPr>
              <w:t xml:space="preserve">Procedures to avoid conflict of interests in line with Article 61 of the </w:t>
            </w:r>
            <w:r w:rsidRPr="00FC7156">
              <w:rPr>
                <w:rFonts w:eastAsia="Times New Roman"/>
                <w:noProof/>
                <w:color w:val="006100"/>
                <w:sz w:val="20"/>
                <w:szCs w:val="20"/>
                <w:lang w:val="en-IE"/>
              </w:rPr>
              <w:t>Financial Regulation</w:t>
            </w:r>
          </w:p>
        </w:tc>
      </w:tr>
      <w:tr w:rsidRPr="00FE48E2" w:rsidR="00E3458A" w:rsidTr="00F82987" w14:paraId="15458DCD" w14:textId="77777777">
        <w:trPr>
          <w:trHeight w:val="795"/>
        </w:trPr>
        <w:tc>
          <w:tcPr>
            <w:tcW w:w="1268" w:type="dxa"/>
            <w:tcBorders>
              <w:top w:val="single" w:color="000000" w:themeColor="text1" w:sz="8" w:space="0"/>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DC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224</w:t>
            </w:r>
          </w:p>
        </w:tc>
        <w:tc>
          <w:tcPr>
            <w:tcW w:w="3700"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DC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5.1: Excellent Research and Development in the Health Sector  - Investment 1: Public Research &amp; Development support for priority areas of medical sciences and related social sciences</w:t>
            </w:r>
          </w:p>
        </w:tc>
        <w:tc>
          <w:tcPr>
            <w:tcW w:w="1763"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DC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225" w:type="dxa"/>
            <w:tcBorders>
              <w:top w:val="single" w:color="000000" w:themeColor="text1" w:sz="8" w:space="0"/>
              <w:left w:val="nil"/>
              <w:bottom w:val="single" w:color="auto" w:sz="4" w:space="0"/>
              <w:right w:val="single" w:color="auto" w:sz="8" w:space="0"/>
            </w:tcBorders>
            <w:shd w:val="clear" w:color="auto" w:fill="C6EFCE"/>
            <w:vAlign w:val="center"/>
            <w:hideMark/>
          </w:tcPr>
          <w:p w:rsidRPr="00FE48E2" w:rsidR="00D87E44" w:rsidRDefault="00D87E44" w14:paraId="15458DC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Award of public contracts to at least four Research &amp; Development consortia</w:t>
            </w:r>
          </w:p>
        </w:tc>
      </w:tr>
      <w:tr w:rsidRPr="00FE48E2" w:rsidR="00E3458A" w:rsidTr="00F82987" w14:paraId="15458DD2" w14:textId="77777777">
        <w:trPr>
          <w:trHeight w:val="607"/>
        </w:trPr>
        <w:tc>
          <w:tcPr>
            <w:tcW w:w="1268" w:type="dxa"/>
            <w:tcBorders>
              <w:top w:val="single" w:color="auto" w:sz="4" w:space="0"/>
              <w:left w:val="single" w:color="auto" w:sz="8" w:space="0"/>
              <w:bottom w:val="single" w:color="auto" w:sz="8" w:space="0"/>
              <w:right w:val="single" w:color="000000" w:themeColor="text1" w:sz="8" w:space="0"/>
            </w:tcBorders>
            <w:shd w:val="clear" w:color="auto" w:fill="C6EFCE"/>
            <w:vAlign w:val="center"/>
          </w:tcPr>
          <w:p w:rsidRPr="00FE48E2" w:rsidR="00D87E44" w:rsidRDefault="00D87E44" w14:paraId="15458DCE" w14:textId="77777777">
            <w:pPr>
              <w:spacing w:before="0" w:after="0" w:line="240" w:lineRule="auto"/>
              <w:jc w:val="center"/>
              <w:rPr>
                <w:rFonts w:eastAsia="Times New Roman"/>
                <w:noProof/>
                <w:color w:val="006100"/>
                <w:sz w:val="20"/>
                <w:szCs w:val="20"/>
                <w:lang w:val="en-IE"/>
              </w:rPr>
            </w:pPr>
          </w:p>
        </w:tc>
        <w:tc>
          <w:tcPr>
            <w:tcW w:w="3700" w:type="dxa"/>
            <w:tcBorders>
              <w:top w:val="single" w:color="auto" w:sz="4" w:space="0"/>
              <w:left w:val="nil"/>
              <w:bottom w:val="single" w:color="auto" w:sz="8" w:space="0"/>
              <w:right w:val="single" w:color="000000" w:themeColor="text1" w:sz="8" w:space="0"/>
            </w:tcBorders>
            <w:shd w:val="clear" w:color="auto" w:fill="C6EFCE"/>
            <w:vAlign w:val="center"/>
          </w:tcPr>
          <w:p w:rsidRPr="00FE48E2" w:rsidR="00D87E44" w:rsidRDefault="00D87E44" w14:paraId="15458DCF" w14:textId="77777777">
            <w:pPr>
              <w:spacing w:before="0" w:after="0" w:line="240" w:lineRule="auto"/>
              <w:jc w:val="center"/>
              <w:rPr>
                <w:rFonts w:eastAsia="Times New Roman"/>
                <w:noProof/>
                <w:color w:val="006100"/>
                <w:sz w:val="20"/>
                <w:szCs w:val="20"/>
                <w:lang w:val="en-IE"/>
              </w:rPr>
            </w:pPr>
          </w:p>
        </w:tc>
        <w:tc>
          <w:tcPr>
            <w:tcW w:w="1763" w:type="dxa"/>
            <w:tcBorders>
              <w:top w:val="single" w:color="auto" w:sz="4" w:space="0"/>
              <w:left w:val="nil"/>
              <w:bottom w:val="single" w:color="auto" w:sz="8" w:space="0"/>
              <w:right w:val="single" w:color="000000" w:themeColor="text1" w:sz="8" w:space="0"/>
            </w:tcBorders>
            <w:shd w:val="clear" w:color="auto" w:fill="C6EFCE"/>
            <w:vAlign w:val="center"/>
          </w:tcPr>
          <w:p w:rsidRPr="00FE48E2" w:rsidR="00D87E44" w:rsidRDefault="00D87E44" w14:paraId="15458DD0"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Instalment Amount</w:t>
            </w:r>
          </w:p>
        </w:tc>
        <w:tc>
          <w:tcPr>
            <w:tcW w:w="3225" w:type="dxa"/>
            <w:tcBorders>
              <w:top w:val="single" w:color="auto" w:sz="4" w:space="0"/>
              <w:left w:val="nil"/>
              <w:bottom w:val="single" w:color="auto" w:sz="8" w:space="0"/>
              <w:right w:val="single" w:color="auto" w:sz="8" w:space="0"/>
            </w:tcBorders>
            <w:shd w:val="clear" w:color="auto" w:fill="C6EFCE"/>
            <w:vAlign w:val="center"/>
          </w:tcPr>
          <w:p w:rsidRPr="00FE48E2" w:rsidR="00D87E44" w:rsidRDefault="00D87E44" w14:paraId="15458DD1"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EUR 1</w:t>
            </w:r>
            <w:r>
              <w:rPr>
                <w:rFonts w:eastAsia="Times New Roman"/>
                <w:noProof/>
                <w:color w:val="006100"/>
                <w:sz w:val="20"/>
                <w:szCs w:val="20"/>
                <w:lang w:val="en-IE" w:eastAsia="en-GB"/>
              </w:rPr>
              <w:t> </w:t>
            </w:r>
            <w:r w:rsidRPr="7E3EB000">
              <w:rPr>
                <w:rFonts w:eastAsia="Times New Roman"/>
                <w:b/>
                <w:noProof/>
                <w:color w:val="006100"/>
                <w:sz w:val="20"/>
                <w:szCs w:val="20"/>
                <w:lang w:val="en-IE"/>
              </w:rPr>
              <w:t>066</w:t>
            </w:r>
            <w:r>
              <w:rPr>
                <w:rFonts w:eastAsia="Times New Roman"/>
                <w:noProof/>
                <w:color w:val="006100"/>
                <w:sz w:val="20"/>
                <w:szCs w:val="20"/>
                <w:lang w:val="en-IE" w:eastAsia="en-GB"/>
              </w:rPr>
              <w:t> </w:t>
            </w:r>
            <w:r w:rsidRPr="7E3EB000">
              <w:rPr>
                <w:rFonts w:eastAsia="Times New Roman"/>
                <w:b/>
                <w:noProof/>
                <w:color w:val="006100"/>
                <w:sz w:val="20"/>
                <w:szCs w:val="20"/>
                <w:lang w:val="en-IE"/>
              </w:rPr>
              <w:t>888</w:t>
            </w:r>
            <w:r>
              <w:rPr>
                <w:rFonts w:eastAsia="Times New Roman"/>
                <w:noProof/>
                <w:color w:val="006100"/>
                <w:sz w:val="20"/>
                <w:szCs w:val="20"/>
                <w:lang w:val="en-IE" w:eastAsia="en-GB"/>
              </w:rPr>
              <w:t> </w:t>
            </w:r>
            <w:r w:rsidRPr="7E3EB000">
              <w:rPr>
                <w:rFonts w:eastAsia="Times New Roman"/>
                <w:b/>
                <w:noProof/>
                <w:color w:val="006100"/>
                <w:sz w:val="20"/>
                <w:szCs w:val="20"/>
                <w:lang w:val="en-IE"/>
              </w:rPr>
              <w:t>563</w:t>
            </w:r>
          </w:p>
        </w:tc>
      </w:tr>
    </w:tbl>
    <w:p w:rsidRPr="00FE48E2" w:rsidR="00D87E44" w:rsidP="00D226F4" w:rsidRDefault="00D87E44" w14:paraId="15458DD3" w14:textId="77777777">
      <w:pPr>
        <w:spacing w:line="240" w:lineRule="auto"/>
        <w:ind w:left="850"/>
        <w:jc w:val="both"/>
        <w:rPr>
          <w:noProof/>
          <w:lang w:val="en-IE"/>
        </w:rPr>
      </w:pPr>
    </w:p>
    <w:p w:rsidRPr="00E6515D" w:rsidR="00D87E44" w:rsidP="00D226F4" w:rsidRDefault="00D87E44" w14:paraId="15458DD4" w14:textId="77777777">
      <w:pPr>
        <w:pageBreakBefore/>
        <w:numPr>
          <w:ilvl w:val="1"/>
          <w:numId w:val="89"/>
        </w:numPr>
        <w:spacing w:line="240" w:lineRule="auto"/>
        <w:ind w:left="851" w:hanging="851"/>
        <w:jc w:val="both"/>
        <w:rPr>
          <w:noProof/>
          <w:lang w:val="fr-BE"/>
        </w:rPr>
      </w:pPr>
      <w:r w:rsidRPr="00E6515D">
        <w:rPr>
          <w:noProof/>
          <w:lang w:val="fr-BE"/>
        </w:rPr>
        <w:lastRenderedPageBreak/>
        <w:t xml:space="preserve">Second Instalment (non-repayable support): </w:t>
      </w:r>
    </w:p>
    <w:tbl>
      <w:tblPr>
        <w:tblW w:w="10490" w:type="dxa"/>
        <w:tblInd w:w="-601" w:type="dxa"/>
        <w:tblLook w:val="04A0" w:firstRow="1" w:lastRow="0" w:firstColumn="1" w:lastColumn="0" w:noHBand="0" w:noVBand="1"/>
      </w:tblPr>
      <w:tblGrid>
        <w:gridCol w:w="1297"/>
        <w:gridCol w:w="3959"/>
        <w:gridCol w:w="1840"/>
        <w:gridCol w:w="3394"/>
      </w:tblGrid>
      <w:tr w:rsidRPr="00FE48E2" w:rsidR="00E3458A" w:rsidTr="00F82987" w14:paraId="15458DD9" w14:textId="77777777">
        <w:trPr>
          <w:trHeight w:val="825"/>
          <w:tblHeader/>
        </w:trPr>
        <w:tc>
          <w:tcPr>
            <w:tcW w:w="1276" w:type="dxa"/>
            <w:tcBorders>
              <w:top w:val="single" w:color="auto" w:sz="8" w:space="0"/>
              <w:left w:val="single" w:color="auto" w:sz="8" w:space="0"/>
              <w:bottom w:val="single" w:color="auto" w:sz="4" w:space="0"/>
              <w:right w:val="single" w:color="auto" w:sz="8" w:space="0"/>
            </w:tcBorders>
            <w:shd w:val="clear" w:color="auto" w:fill="BDD7EE"/>
            <w:vAlign w:val="center"/>
            <w:hideMark/>
          </w:tcPr>
          <w:p w:rsidRPr="00FE48E2" w:rsidR="00D87E44" w:rsidRDefault="00D87E44" w14:paraId="15458DD5" w14:textId="77777777">
            <w:pPr>
              <w:spacing w:before="0" w:after="0" w:line="240" w:lineRule="auto"/>
              <w:jc w:val="center"/>
              <w:rPr>
                <w:b/>
                <w:color w:val="000000"/>
                <w:lang w:val="en-IE"/>
              </w:rPr>
            </w:pPr>
            <w:r w:rsidRPr="00FF1320">
              <w:rPr>
                <w:b/>
                <w:color w:val="000000"/>
                <w:lang w:val="en-IE"/>
              </w:rPr>
              <w:t>Sequential Number</w:t>
            </w:r>
          </w:p>
        </w:tc>
        <w:tc>
          <w:tcPr>
            <w:tcW w:w="3969"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DD6" w14:textId="77777777">
            <w:pPr>
              <w:spacing w:before="0" w:after="0" w:line="240" w:lineRule="auto"/>
              <w:jc w:val="center"/>
              <w:rPr>
                <w:b/>
                <w:color w:val="000000"/>
                <w:lang w:val="en-IE"/>
              </w:rPr>
            </w:pPr>
            <w:r w:rsidRPr="00FF1320">
              <w:rPr>
                <w:b/>
                <w:color w:val="000000"/>
                <w:lang w:val="en-IE"/>
              </w:rPr>
              <w:t>Related Measure (Reform or Investment)</w:t>
            </w:r>
          </w:p>
        </w:tc>
        <w:tc>
          <w:tcPr>
            <w:tcW w:w="1843"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DD7" w14:textId="77777777">
            <w:pPr>
              <w:spacing w:before="0" w:after="0" w:line="240" w:lineRule="auto"/>
              <w:jc w:val="center"/>
              <w:rPr>
                <w:b/>
                <w:color w:val="000000"/>
                <w:lang w:val="en-IE"/>
              </w:rPr>
            </w:pPr>
            <w:r w:rsidRPr="00FF1320">
              <w:rPr>
                <w:b/>
                <w:color w:val="000000"/>
                <w:lang w:val="en-IE"/>
              </w:rPr>
              <w:t>Milestone / Target</w:t>
            </w:r>
          </w:p>
        </w:tc>
        <w:tc>
          <w:tcPr>
            <w:tcW w:w="3402"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DD8" w14:textId="77777777">
            <w:pPr>
              <w:spacing w:before="0" w:after="0" w:line="240" w:lineRule="auto"/>
              <w:jc w:val="center"/>
              <w:rPr>
                <w:b/>
                <w:color w:val="000000"/>
                <w:lang w:val="en-IE"/>
              </w:rPr>
            </w:pPr>
            <w:r w:rsidRPr="00FF1320">
              <w:rPr>
                <w:b/>
                <w:color w:val="000000"/>
                <w:lang w:val="en-IE"/>
              </w:rPr>
              <w:t>Name</w:t>
            </w:r>
          </w:p>
        </w:tc>
      </w:tr>
      <w:tr w:rsidR="00E3458A" w:rsidTr="00F82987" w14:paraId="15458DDE"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DDA" w14:textId="77777777">
            <w:pPr>
              <w:spacing w:line="240" w:lineRule="auto"/>
              <w:jc w:val="center"/>
              <w:rPr>
                <w:rFonts w:eastAsia="Times New Roman"/>
                <w:noProof/>
                <w:color w:val="006100"/>
                <w:sz w:val="20"/>
                <w:szCs w:val="20"/>
                <w:lang w:val="en-IE"/>
              </w:rPr>
            </w:pPr>
            <w:r w:rsidRPr="0FEF1360">
              <w:rPr>
                <w:rFonts w:eastAsia="Times New Roman"/>
                <w:noProof/>
                <w:color w:val="006100"/>
                <w:sz w:val="20"/>
                <w:szCs w:val="20"/>
                <w:lang w:val="en-IE"/>
              </w:rPr>
              <w:t>12</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DDB" w14:textId="77777777">
            <w:pPr>
              <w:spacing w:line="240" w:lineRule="auto"/>
              <w:jc w:val="center"/>
              <w:rPr>
                <w:noProof/>
                <w:color w:val="006100"/>
                <w:szCs w:val="24"/>
                <w:lang w:val="en-IE"/>
              </w:rPr>
            </w:pPr>
            <w:r w:rsidRPr="0FEF1360">
              <w:rPr>
                <w:rFonts w:eastAsia="Times New Roman"/>
                <w:noProof/>
                <w:color w:val="006100"/>
                <w:sz w:val="20"/>
                <w:szCs w:val="20"/>
                <w:lang w:val="en-IE"/>
              </w:rPr>
              <w:t xml:space="preserve">C 1.1: Digital Services to Citizens and </w:t>
            </w:r>
            <w:r w:rsidRPr="0FEF1360">
              <w:rPr>
                <w:rFonts w:eastAsia="Times New Roman"/>
                <w:noProof/>
                <w:color w:val="006100"/>
                <w:sz w:val="20"/>
                <w:szCs w:val="20"/>
                <w:lang w:val="en-IE"/>
              </w:rPr>
              <w:t>Businesses  -Investment 2: Development of open data and</w:t>
            </w:r>
            <w:r>
              <w:rPr>
                <w:rFonts w:eastAsia="Times New Roman"/>
                <w:noProof/>
                <w:color w:val="006100"/>
                <w:sz w:val="20"/>
                <w:szCs w:val="20"/>
                <w:lang w:val="en-IE"/>
              </w:rPr>
              <w:t xml:space="preserve"> a</w:t>
            </w:r>
            <w:r w:rsidRPr="0FEF1360">
              <w:rPr>
                <w:rFonts w:eastAsia="Times New Roman"/>
                <w:noProof/>
                <w:color w:val="006100"/>
                <w:sz w:val="20"/>
                <w:szCs w:val="20"/>
                <w:lang w:val="en-IE"/>
              </w:rPr>
              <w:t xml:space="preserve"> public data </w:t>
            </w:r>
            <w:r>
              <w:rPr>
                <w:rFonts w:eastAsia="Times New Roman"/>
                <w:noProof/>
                <w:color w:val="006100"/>
                <w:sz w:val="20"/>
                <w:szCs w:val="20"/>
                <w:lang w:val="en-IE"/>
              </w:rPr>
              <w:t>fund</w:t>
            </w:r>
            <w:r w:rsidRPr="0FEF1360">
              <w:rPr>
                <w:rFonts w:eastAsia="Times New Roman"/>
                <w:noProof/>
                <w:color w:val="006100"/>
                <w:sz w:val="20"/>
                <w:szCs w:val="20"/>
                <w:lang w:val="en-IE"/>
              </w:rPr>
              <w:t xml:space="preserve"> </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DDC" w14:textId="77777777">
            <w:pPr>
              <w:spacing w:line="240" w:lineRule="auto"/>
              <w:jc w:val="center"/>
              <w:rPr>
                <w:rFonts w:eastAsia="Times New Roman"/>
                <w:noProof/>
                <w:color w:val="006100"/>
                <w:sz w:val="20"/>
                <w:szCs w:val="20"/>
                <w:lang w:val="en-IE"/>
              </w:rPr>
            </w:pPr>
            <w:r w:rsidRPr="0FEF1360">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DDD" w14:textId="77777777">
            <w:pPr>
              <w:spacing w:line="240" w:lineRule="auto"/>
              <w:jc w:val="center"/>
              <w:rPr>
                <w:rFonts w:eastAsia="Times New Roman"/>
                <w:noProof/>
                <w:color w:val="006100"/>
                <w:sz w:val="20"/>
                <w:szCs w:val="20"/>
                <w:lang w:val="en-IE"/>
              </w:rPr>
            </w:pPr>
            <w:r w:rsidRPr="0FEF1360">
              <w:rPr>
                <w:rFonts w:eastAsia="Times New Roman"/>
                <w:noProof/>
                <w:color w:val="006100"/>
                <w:sz w:val="20"/>
                <w:szCs w:val="20"/>
                <w:lang w:val="en-IE"/>
              </w:rPr>
              <w:t xml:space="preserve">Increase in the number of open data producers in the public administration publishing open data in the National Open Data Catalogue  </w:t>
            </w:r>
          </w:p>
        </w:tc>
      </w:tr>
      <w:tr w:rsidRPr="00FE48E2" w:rsidR="00E3458A" w:rsidTr="00F82987" w14:paraId="15458DE3"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DF"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140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2.6: Nature Protection and Adaptation to Climate Change  - Investment 4: Building forests resilient to climate change </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2" w14:textId="77777777">
            <w:pPr>
              <w:spacing w:before="0" w:after="0" w:line="240" w:lineRule="auto"/>
              <w:jc w:val="center"/>
              <w:rPr>
                <w:rFonts w:eastAsia="Times New Roman"/>
                <w:noProof/>
                <w:color w:val="004300"/>
                <w:sz w:val="20"/>
                <w:szCs w:val="20"/>
                <w:lang w:val="en-IE"/>
              </w:rPr>
            </w:pPr>
            <w:r w:rsidRPr="00F60A15">
              <w:rPr>
                <w:rFonts w:eastAsia="Times New Roman"/>
                <w:noProof/>
                <w:color w:val="006100"/>
                <w:sz w:val="20"/>
                <w:szCs w:val="20"/>
                <w:lang w:val="en-IE"/>
              </w:rPr>
              <w:t>T1: Reforestation of 12</w:t>
            </w:r>
            <w:r>
              <w:rPr>
                <w:rFonts w:eastAsia="Times New Roman"/>
                <w:noProof/>
                <w:color w:val="006100"/>
                <w:sz w:val="20"/>
                <w:szCs w:val="20"/>
                <w:lang w:val="en-IE"/>
              </w:rPr>
              <w:t> </w:t>
            </w:r>
            <w:r w:rsidRPr="00F60A15">
              <w:rPr>
                <w:rFonts w:eastAsia="Times New Roman"/>
                <w:noProof/>
                <w:color w:val="006100"/>
                <w:sz w:val="20"/>
                <w:szCs w:val="20"/>
                <w:lang w:val="en-IE"/>
              </w:rPr>
              <w:t>000 ha of areas by ameliorative and stabilising tree species</w:t>
            </w:r>
            <w:r w:rsidRPr="2D6AF4CC">
              <w:rPr>
                <w:rFonts w:eastAsia="Times New Roman"/>
                <w:noProof/>
                <w:color w:val="004300"/>
                <w:sz w:val="20"/>
                <w:szCs w:val="20"/>
                <w:lang w:val="en-IE"/>
              </w:rPr>
              <w:t xml:space="preserve"> </w:t>
            </w:r>
          </w:p>
        </w:tc>
      </w:tr>
      <w:tr w:rsidRPr="00FE48E2" w:rsidR="00E3458A" w:rsidTr="00F82987" w14:paraId="15458DE8"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229</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5.2: Support for Research and Development in Companies and Introduction of Innovations into Business Practice  - Investment 3: Aid for research and development in the environmental field</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Research and development in the environmental field</w:t>
            </w:r>
          </w:p>
        </w:tc>
      </w:tr>
      <w:tr w:rsidRPr="00FE48E2" w:rsidR="00E3458A" w:rsidTr="00F82987" w14:paraId="15458DED"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9"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15</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A" w14:textId="77777777">
            <w:pPr>
              <w:spacing w:before="0" w:after="0" w:line="240" w:lineRule="auto"/>
              <w:jc w:val="center"/>
              <w:rPr>
                <w:rFonts w:eastAsia="Times New Roman"/>
                <w:noProof/>
                <w:color w:val="006100"/>
                <w:sz w:val="20"/>
                <w:szCs w:val="20"/>
                <w:lang w:val="en-IE"/>
              </w:rPr>
            </w:pPr>
            <w:r w:rsidRPr="336FB62E">
              <w:rPr>
                <w:rFonts w:eastAsia="Times New Roman"/>
                <w:noProof/>
                <w:color w:val="006100"/>
                <w:sz w:val="20"/>
                <w:szCs w:val="20"/>
                <w:lang w:val="en-IE"/>
              </w:rPr>
              <w:t>C 1.2: Digital Public Administration Systems - Investment 1:</w:t>
            </w:r>
            <w:r>
              <w:rPr>
                <w:noProof/>
              </w:rPr>
              <w:br/>
            </w:r>
            <w:r w:rsidRPr="336FB62E">
              <w:rPr>
                <w:rFonts w:eastAsia="Times New Roman"/>
                <w:noProof/>
                <w:color w:val="006100"/>
                <w:sz w:val="20"/>
                <w:szCs w:val="20"/>
                <w:lang w:val="en-IE"/>
              </w:rPr>
              <w:t xml:space="preserve">Development </w:t>
            </w:r>
            <w:r w:rsidRPr="336FB62E" w:rsidDel="76AA5DFC">
              <w:rPr>
                <w:rFonts w:eastAsia="Times New Roman"/>
                <w:noProof/>
                <w:color w:val="006100"/>
                <w:sz w:val="20"/>
                <w:szCs w:val="20"/>
                <w:lang w:val="en-IE"/>
              </w:rPr>
              <w:t>of</w:t>
            </w:r>
            <w:r w:rsidRPr="336FB62E">
              <w:rPr>
                <w:rFonts w:eastAsia="Times New Roman"/>
                <w:noProof/>
                <w:color w:val="006100"/>
                <w:sz w:val="20"/>
                <w:szCs w:val="20"/>
                <w:lang w:val="en-IE"/>
              </w:rPr>
              <w:t xml:space="preserve"> information systems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4F1648" w:rsidR="00D87E44" w:rsidRDefault="00D87E44" w14:paraId="15458DEC" w14:textId="77777777">
            <w:pPr>
              <w:spacing w:before="0" w:after="0" w:line="240" w:lineRule="auto"/>
              <w:jc w:val="center"/>
              <w:rPr>
                <w:rFonts w:eastAsia="Times New Roman"/>
                <w:noProof/>
                <w:color w:val="006100"/>
                <w:sz w:val="20"/>
                <w:szCs w:val="20"/>
                <w:lang w:val="en-IE"/>
              </w:rPr>
            </w:pPr>
            <w:r w:rsidRPr="004F1648">
              <w:rPr>
                <w:rFonts w:eastAsia="Times New Roman"/>
                <w:noProof/>
                <w:color w:val="006100"/>
                <w:sz w:val="20"/>
                <w:szCs w:val="20"/>
                <w:lang w:val="en-IE"/>
              </w:rPr>
              <w:t>Implementation and operation of the CzechPOINT 2.0 and the CAAIS systems</w:t>
            </w:r>
          </w:p>
        </w:tc>
      </w:tr>
      <w:tr w:rsidRPr="00FE48E2" w:rsidR="00E3458A" w:rsidTr="00F82987" w14:paraId="15458DF2"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E"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16</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EF" w14:textId="77777777">
            <w:pPr>
              <w:spacing w:before="0" w:after="0" w:line="240" w:lineRule="auto"/>
              <w:jc w:val="center"/>
              <w:rPr>
                <w:rFonts w:eastAsia="Times New Roman"/>
                <w:noProof/>
                <w:color w:val="006100"/>
                <w:sz w:val="20"/>
                <w:szCs w:val="20"/>
                <w:lang w:val="en-IE"/>
              </w:rPr>
            </w:pPr>
            <w:r w:rsidRPr="336FB62E">
              <w:rPr>
                <w:rFonts w:eastAsia="Times New Roman"/>
                <w:noProof/>
                <w:color w:val="006100"/>
                <w:sz w:val="20"/>
                <w:szCs w:val="20"/>
                <w:lang w:val="en-IE"/>
              </w:rPr>
              <w:t>C 1.2: Digital Public Administration Systems - Investment 1:</w:t>
            </w:r>
            <w:r>
              <w:rPr>
                <w:noProof/>
              </w:rPr>
              <w:br/>
            </w:r>
            <w:r w:rsidRPr="336FB62E">
              <w:rPr>
                <w:rFonts w:eastAsia="Times New Roman"/>
                <w:noProof/>
                <w:color w:val="006100"/>
                <w:sz w:val="20"/>
                <w:szCs w:val="20"/>
                <w:lang w:val="en-IE"/>
              </w:rPr>
              <w:t xml:space="preserve">Development </w:t>
            </w:r>
            <w:r w:rsidRPr="336FB62E" w:rsidDel="76AA5DFC">
              <w:rPr>
                <w:rFonts w:eastAsia="Times New Roman"/>
                <w:noProof/>
                <w:color w:val="006100"/>
                <w:sz w:val="20"/>
                <w:szCs w:val="20"/>
                <w:lang w:val="en-IE"/>
              </w:rPr>
              <w:t>of</w:t>
            </w:r>
            <w:r w:rsidRPr="336FB62E">
              <w:rPr>
                <w:rFonts w:eastAsia="Times New Roman"/>
                <w:noProof/>
                <w:color w:val="006100"/>
                <w:sz w:val="20"/>
                <w:szCs w:val="20"/>
                <w:lang w:val="en-IE"/>
              </w:rPr>
              <w:t xml:space="preserve"> information systems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DF1"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Successful upgrade and operation of ePassport (ePasy) and EVC2 visa system</w:t>
            </w:r>
          </w:p>
        </w:tc>
      </w:tr>
      <w:tr w:rsidRPr="00FE48E2" w:rsidR="00E3458A" w:rsidTr="00F82987" w14:paraId="15458DF7" w14:textId="77777777">
        <w:trPr>
          <w:trHeight w:val="99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3"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1.2: Digital Public Administration Systems - Investment 2:</w:t>
            </w:r>
            <w:r w:rsidRPr="00FE48E2">
              <w:rPr>
                <w:rFonts w:eastAsia="Times New Roman"/>
                <w:noProof/>
                <w:color w:val="006100"/>
                <w:sz w:val="20"/>
                <w:szCs w:val="20"/>
                <w:lang w:val="en-IE"/>
              </w:rPr>
              <w:br/>
              <w:t xml:space="preserve">Development of core </w:t>
            </w:r>
            <w:r w:rsidRPr="0070162F">
              <w:rPr>
                <w:rFonts w:eastAsia="Times New Roman"/>
                <w:noProof/>
                <w:color w:val="006100"/>
                <w:sz w:val="20"/>
                <w:szCs w:val="20"/>
                <w:lang w:val="en-IE"/>
              </w:rPr>
              <w:t>registries</w:t>
            </w:r>
            <w:r w:rsidRPr="00FE48E2">
              <w:rPr>
                <w:rFonts w:eastAsia="Times New Roman"/>
                <w:noProof/>
                <w:color w:val="006100"/>
                <w:sz w:val="20"/>
                <w:szCs w:val="20"/>
                <w:lang w:val="en-IE"/>
              </w:rPr>
              <w:t xml:space="preserve"> and facilities for eGovernment</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DF6"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Completion of a fully operational software-defined data centre including data containers.</w:t>
            </w:r>
          </w:p>
        </w:tc>
      </w:tr>
      <w:tr w:rsidRPr="00FE48E2" w:rsidR="00E3458A" w:rsidTr="00F82987" w14:paraId="15458DFC" w14:textId="77777777">
        <w:trPr>
          <w:trHeight w:val="118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8"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23</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1.2: Digital Public Administration Systems - Investment 3:</w:t>
            </w:r>
            <w:r w:rsidRPr="00FE48E2">
              <w:rPr>
                <w:rFonts w:eastAsia="Times New Roman"/>
                <w:noProof/>
                <w:color w:val="006100"/>
                <w:sz w:val="20"/>
                <w:szCs w:val="20"/>
                <w:lang w:val="en-IE"/>
              </w:rPr>
              <w:br/>
            </w:r>
            <w:r w:rsidRPr="0070162F">
              <w:rPr>
                <w:rFonts w:eastAsia="Times New Roman"/>
                <w:noProof/>
                <w:color w:val="006100"/>
                <w:sz w:val="20"/>
                <w:szCs w:val="20"/>
                <w:lang w:val="en-IE"/>
              </w:rPr>
              <w:t>Cybersecurity</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DFB"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 xml:space="preserve">Modernisation of the Security Information and Event Management System of the police of Czechia and extension of its use for cybersecurity protection of five additional information systems  </w:t>
            </w:r>
          </w:p>
        </w:tc>
      </w:tr>
      <w:tr w:rsidRPr="00FE48E2" w:rsidR="00E3458A" w:rsidTr="00F82987" w14:paraId="15458E01" w14:textId="77777777">
        <w:trPr>
          <w:trHeight w:val="118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D"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25</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1.2: Digital Public Administration Systems - Reforms 1:</w:t>
            </w:r>
            <w:r w:rsidRPr="00FE48E2">
              <w:rPr>
                <w:rFonts w:eastAsia="Times New Roman"/>
                <w:noProof/>
                <w:color w:val="006100"/>
                <w:sz w:val="20"/>
                <w:szCs w:val="20"/>
                <w:lang w:val="en-IE"/>
              </w:rPr>
              <w:br/>
            </w:r>
            <w:r w:rsidRPr="00FE48E2">
              <w:rPr>
                <w:rFonts w:eastAsia="Times New Roman"/>
                <w:noProof/>
                <w:color w:val="006100"/>
                <w:sz w:val="20"/>
                <w:szCs w:val="20"/>
                <w:lang w:val="en-IE"/>
              </w:rPr>
              <w:t>Centres of competence for supporting eGovernment, Cybersecurity and eHealth</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DF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E00"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 xml:space="preserve">Full operation of three competence centres providing consulting services to authorities implementing the changes in information systems and eGovernment ecosystem foreseen under component 1.1 and 1.2  </w:t>
            </w:r>
          </w:p>
        </w:tc>
      </w:tr>
      <w:tr w:rsidRPr="00FE48E2" w:rsidR="00E3458A" w:rsidTr="00F82987" w14:paraId="15458E06"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2"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30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1.2: Digital Public Administration Systems - Investment 4:</w:t>
            </w:r>
            <w:r w:rsidRPr="00FE48E2">
              <w:rPr>
                <w:rFonts w:eastAsia="Times New Roman"/>
                <w:noProof/>
                <w:color w:val="006100"/>
                <w:sz w:val="20"/>
                <w:szCs w:val="20"/>
                <w:lang w:val="en-IE"/>
              </w:rPr>
              <w:br/>
              <w:t>Creating the conditions for digital justice</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E05"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Increase in the number of conferencing rooms in the Justice system newly equipped and connected to enable video conferencing.</w:t>
            </w:r>
          </w:p>
        </w:tc>
      </w:tr>
      <w:tr w:rsidRPr="00FE48E2" w:rsidR="00E3458A" w:rsidTr="00F82987" w14:paraId="15458E0B"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7"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57</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1.4: Digital Economy and Society, Innovative Start-Ups and New Technology - Investment 6: 5G Demonstrative </w:t>
            </w:r>
            <w:r w:rsidRPr="00FE48E2">
              <w:rPr>
                <w:rFonts w:eastAsia="Times New Roman"/>
                <w:noProof/>
                <w:color w:val="006100"/>
                <w:sz w:val="20"/>
                <w:szCs w:val="20"/>
                <w:lang w:val="en-IE"/>
              </w:rPr>
              <w:t>application projects for cities and industrial areas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60A15" w:rsidR="00D87E44" w:rsidRDefault="00D87E44" w14:paraId="15458E0A" w14:textId="77777777">
            <w:pPr>
              <w:spacing w:before="0" w:after="0" w:line="240" w:lineRule="auto"/>
              <w:jc w:val="center"/>
              <w:rPr>
                <w:rFonts w:eastAsia="Times New Roman"/>
                <w:noProof/>
                <w:color w:val="006100"/>
                <w:sz w:val="20"/>
                <w:szCs w:val="20"/>
                <w:lang w:val="en-IE"/>
              </w:rPr>
            </w:pPr>
            <w:r w:rsidRPr="00F60A15">
              <w:rPr>
                <w:rFonts w:eastAsia="Times New Roman"/>
                <w:noProof/>
                <w:color w:val="006100"/>
                <w:sz w:val="20"/>
                <w:szCs w:val="20"/>
                <w:lang w:val="en-IE"/>
              </w:rPr>
              <w:t>Development and operation of reference applications for Smart Cities</w:t>
            </w:r>
          </w:p>
        </w:tc>
      </w:tr>
      <w:tr w:rsidRPr="00FE48E2" w:rsidR="00E3458A" w:rsidTr="00F82987" w14:paraId="15458E10"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3: Improving the environment (railway infrastructure support)</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0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Completion of 26 projects from a predefined set of projects </w:t>
            </w:r>
          </w:p>
        </w:tc>
      </w:tr>
      <w:tr w:rsidRPr="00FE48E2" w:rsidR="00E3458A" w:rsidTr="00F82987" w14:paraId="15458E15"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95</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4: Road and rail safety (railway crossings, bridges and tunnels, cycle paths and barrier-free routes)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Completion of modernised railway bridges or </w:t>
            </w:r>
            <w:r w:rsidRPr="00FE48E2">
              <w:rPr>
                <w:rFonts w:eastAsia="Times New Roman"/>
                <w:noProof/>
                <w:color w:val="006100"/>
                <w:sz w:val="20"/>
                <w:szCs w:val="20"/>
                <w:lang w:val="en-IE"/>
              </w:rPr>
              <w:t>tunnels</w:t>
            </w:r>
          </w:p>
        </w:tc>
      </w:tr>
      <w:tr w:rsidRPr="00FE48E2" w:rsidR="00E3458A" w:rsidTr="00F82987" w14:paraId="15458E1A"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96</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2.1: Sustainable Transport - Investment 4: Road and rail safety (railway crossings, </w:t>
            </w:r>
            <w:r w:rsidRPr="00FE48E2">
              <w:rPr>
                <w:rFonts w:eastAsia="Times New Roman"/>
                <w:noProof/>
                <w:color w:val="006100"/>
                <w:sz w:val="20"/>
                <w:szCs w:val="20"/>
                <w:lang w:val="en-IE"/>
              </w:rPr>
              <w:lastRenderedPageBreak/>
              <w:t>bridges and tunnels, cycle paths and barrier-free routes)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lastRenderedPageBreak/>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level crossings with an increased safety</w:t>
            </w:r>
          </w:p>
        </w:tc>
      </w:tr>
      <w:tr w:rsidRPr="00FE48E2" w:rsidR="00E3458A" w:rsidTr="00F82987" w14:paraId="15458E1F"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97</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2.1: Sustainable Transport - Investment 4: Road and rail safety (railway crossings, bridges and tunnels, cycle paths and barrier-free routes)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1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built cycle paths, sidewalks and barrier-free routes</w:t>
            </w:r>
          </w:p>
        </w:tc>
      </w:tr>
      <w:tr w:rsidRPr="00FE48E2" w:rsidR="00E3458A" w:rsidTr="00F82987" w14:paraId="15458E24" w14:textId="77777777">
        <w:trPr>
          <w:trHeight w:val="40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0"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132</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2.6: Nature Protection and Adaptation to Climate Change  - </w:t>
            </w:r>
            <w:r w:rsidRPr="00FE48E2">
              <w:rPr>
                <w:rFonts w:eastAsia="Times New Roman"/>
                <w:noProof/>
                <w:color w:val="006100"/>
                <w:sz w:val="20"/>
                <w:szCs w:val="20"/>
                <w:lang w:val="en-IE"/>
              </w:rPr>
              <w:t>Investment 1: Flood Protection</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3" w14:textId="77777777">
            <w:pPr>
              <w:spacing w:before="0" w:after="0" w:line="240" w:lineRule="auto"/>
              <w:jc w:val="center"/>
              <w:rPr>
                <w:rFonts w:eastAsia="Times New Roman"/>
                <w:noProof/>
                <w:color w:val="004300"/>
                <w:sz w:val="20"/>
                <w:szCs w:val="20"/>
                <w:lang w:val="en-IE"/>
              </w:rPr>
            </w:pPr>
            <w:r w:rsidRPr="00811914">
              <w:rPr>
                <w:rFonts w:eastAsia="Times New Roman"/>
                <w:noProof/>
                <w:color w:val="006100"/>
                <w:sz w:val="20"/>
                <w:szCs w:val="20"/>
                <w:lang w:val="en-IE"/>
              </w:rPr>
              <w:t>T1: Completion of 15 projects aiming at establishing resilient flood protection.</w:t>
            </w:r>
          </w:p>
        </w:tc>
      </w:tr>
      <w:tr w:rsidRPr="00FE48E2" w:rsidR="00E3458A" w:rsidTr="00F82987" w14:paraId="15458E29"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150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2.7: Circular Economy, Recycling and Industrial Water - Investment 2: Circular solutions in businesses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8"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Award of all public contracts for projects investing in circular solutions in businesses by the Ministry of Industry and Trade</w:t>
            </w:r>
          </w:p>
        </w:tc>
      </w:tr>
      <w:tr w:rsidRPr="00FE48E2" w:rsidR="00E3458A" w:rsidTr="00F82987" w14:paraId="15458E2E"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152</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2.7: Circular Economy, Recycling and Industrial Water - Investment 3: Water saving in industry</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Award of all public contracts for projects to save and optimise water in the industry by the Ministry of Industry and Trade</w:t>
            </w:r>
          </w:p>
        </w:tc>
      </w:tr>
      <w:tr w:rsidRPr="00FE48E2" w:rsidR="00E3458A" w:rsidTr="00F82987" w14:paraId="15458E33"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2F"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161</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2.9: Promotion of Biodiversity and Fight against Drought - Investment 1: Protection against droughts and floods of the city of Brno</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2" w14:textId="77777777">
            <w:pPr>
              <w:spacing w:before="0" w:after="0" w:line="240" w:lineRule="auto"/>
              <w:jc w:val="center"/>
              <w:rPr>
                <w:rFonts w:eastAsia="Times New Roman"/>
                <w:noProof/>
                <w:color w:val="004300"/>
                <w:sz w:val="20"/>
                <w:szCs w:val="20"/>
                <w:lang w:val="en-IE"/>
              </w:rPr>
            </w:pPr>
            <w:r w:rsidRPr="007E0DDC">
              <w:rPr>
                <w:rFonts w:eastAsia="Times New Roman"/>
                <w:noProof/>
                <w:color w:val="006100"/>
                <w:sz w:val="20"/>
                <w:szCs w:val="20"/>
                <w:lang w:val="en-IE"/>
              </w:rPr>
              <w:t>Notification of award of contracts for projects aiming at the protection against droughts and floods of the city of Brno.</w:t>
            </w:r>
            <w:r w:rsidRPr="00FE48E2">
              <w:rPr>
                <w:rFonts w:eastAsia="Times New Roman"/>
                <w:noProof/>
                <w:color w:val="004300"/>
                <w:sz w:val="20"/>
                <w:szCs w:val="20"/>
                <w:lang w:val="en-IE"/>
              </w:rPr>
              <w:t xml:space="preserve"> </w:t>
            </w:r>
          </w:p>
        </w:tc>
      </w:tr>
      <w:tr w:rsidRPr="00FE48E2" w:rsidR="00E3458A" w:rsidTr="00F82987" w14:paraId="15458E38" w14:textId="77777777">
        <w:trPr>
          <w:trHeight w:val="99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228</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5.2: Support for Research and Development in Companies and Introduction of Innovations into Business Practice  - Investment 2: Support for research and development cooperation (in line with Smart Specialization Strategy)</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Cooperation of SMEs with a public research organisation under National Centres of Competence</w:t>
            </w:r>
          </w:p>
        </w:tc>
      </w:tr>
      <w:tr w:rsidRPr="00FE48E2" w:rsidR="00E3458A" w:rsidTr="00F82987" w14:paraId="15458E3D" w14:textId="77777777">
        <w:trPr>
          <w:trHeight w:val="795"/>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232</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6.1: Increasing Resilience of the Health System  - Investment 1: Creation of the Intensive Medicine Simulation Centre and optimisation of the education system</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Call for tender for the construction of the Intensive Medicine Simulation Centre </w:t>
            </w:r>
          </w:p>
        </w:tc>
      </w:tr>
      <w:tr w:rsidRPr="00FE48E2" w:rsidR="00E3458A" w:rsidTr="00F82987" w14:paraId="15458E42"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E"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240</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3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6.2: The National Plan to Strengthen Oncological Prevention and Care - Investment 1: Building and establishment of the Czech Oncological Institute</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1" w14:textId="77777777">
            <w:pPr>
              <w:spacing w:before="0" w:after="0" w:line="240" w:lineRule="auto"/>
              <w:jc w:val="center"/>
              <w:rPr>
                <w:rFonts w:eastAsia="Times New Roman"/>
                <w:noProof/>
                <w:color w:val="004300"/>
                <w:sz w:val="20"/>
                <w:szCs w:val="20"/>
                <w:lang w:val="en-IE"/>
              </w:rPr>
            </w:pPr>
            <w:r w:rsidRPr="00811914">
              <w:rPr>
                <w:rFonts w:eastAsia="Times New Roman"/>
                <w:noProof/>
                <w:color w:val="006100"/>
                <w:sz w:val="20"/>
                <w:szCs w:val="20"/>
                <w:lang w:val="en-IE"/>
              </w:rPr>
              <w:t>Feasibility study validated by an independent authority</w:t>
            </w:r>
            <w:r w:rsidRPr="00FE48E2">
              <w:rPr>
                <w:rFonts w:eastAsia="Times New Roman"/>
                <w:noProof/>
                <w:color w:val="004300"/>
                <w:sz w:val="20"/>
                <w:szCs w:val="20"/>
                <w:lang w:val="en-IE"/>
              </w:rPr>
              <w:t xml:space="preserve"> </w:t>
            </w:r>
          </w:p>
        </w:tc>
      </w:tr>
      <w:tr w:rsidRPr="00FE48E2" w:rsidR="00D226F4" w:rsidTr="00F82987" w14:paraId="15458E47"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3"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 xml:space="preserve"> </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 </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5" w14:textId="77777777">
            <w:pPr>
              <w:spacing w:before="0" w:after="0" w:line="240" w:lineRule="auto"/>
              <w:jc w:val="center"/>
              <w:rPr>
                <w:rFonts w:eastAsia="Times New Roman"/>
                <w:b/>
                <w:noProof/>
                <w:color w:val="006100"/>
                <w:sz w:val="20"/>
                <w:szCs w:val="20"/>
                <w:lang w:val="en-IE"/>
              </w:rPr>
            </w:pPr>
            <w:r w:rsidRPr="4F15188C">
              <w:rPr>
                <w:rFonts w:eastAsia="Times New Roman"/>
                <w:b/>
                <w:noProof/>
                <w:color w:val="006100"/>
                <w:sz w:val="20"/>
                <w:szCs w:val="20"/>
                <w:lang w:val="en-IE"/>
              </w:rPr>
              <w:t>Instalment Amount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46" w14:textId="77777777">
            <w:pPr>
              <w:spacing w:before="0" w:after="0" w:line="240" w:lineRule="auto"/>
              <w:jc w:val="center"/>
              <w:rPr>
                <w:rFonts w:eastAsia="Times New Roman"/>
                <w:b/>
                <w:smallCaps/>
                <w:noProof/>
                <w:color w:val="004300"/>
                <w:sz w:val="20"/>
                <w:szCs w:val="20"/>
                <w:lang w:val="en-IE"/>
              </w:rPr>
            </w:pPr>
            <w:r w:rsidRPr="4F15188C">
              <w:rPr>
                <w:rFonts w:eastAsia="Times New Roman"/>
                <w:b/>
                <w:bCs/>
                <w:noProof/>
                <w:color w:val="004300"/>
                <w:sz w:val="20"/>
                <w:szCs w:val="20"/>
                <w:lang w:val="en-IE"/>
              </w:rPr>
              <w:t>EUR</w:t>
            </w:r>
            <w:r>
              <w:rPr>
                <w:rFonts w:eastAsia="Times New Roman"/>
                <w:b/>
                <w:bCs/>
                <w:noProof/>
                <w:color w:val="004300"/>
                <w:sz w:val="20"/>
                <w:szCs w:val="20"/>
                <w:lang w:val="en-IE"/>
              </w:rPr>
              <w:t xml:space="preserve"> </w:t>
            </w:r>
            <w:r w:rsidRPr="4F15188C">
              <w:rPr>
                <w:rFonts w:eastAsia="Times New Roman"/>
                <w:b/>
                <w:bCs/>
                <w:smallCaps/>
                <w:noProof/>
                <w:color w:val="004300"/>
                <w:sz w:val="20"/>
                <w:szCs w:val="20"/>
                <w:lang w:val="en-IE"/>
              </w:rPr>
              <w:t>660</w:t>
            </w:r>
            <w:r>
              <w:rPr>
                <w:rFonts w:eastAsia="Times New Roman"/>
                <w:noProof/>
                <w:color w:val="006100"/>
                <w:sz w:val="20"/>
                <w:szCs w:val="20"/>
                <w:lang w:val="en-IE" w:eastAsia="en-GB"/>
              </w:rPr>
              <w:t> </w:t>
            </w:r>
            <w:r w:rsidRPr="4F15188C">
              <w:rPr>
                <w:rFonts w:eastAsia="Times New Roman"/>
                <w:b/>
                <w:bCs/>
                <w:smallCaps/>
                <w:noProof/>
                <w:color w:val="004300"/>
                <w:sz w:val="20"/>
                <w:szCs w:val="20"/>
                <w:lang w:val="en-IE"/>
              </w:rPr>
              <w:t>565</w:t>
            </w:r>
            <w:r>
              <w:rPr>
                <w:rFonts w:eastAsia="Times New Roman"/>
                <w:noProof/>
                <w:color w:val="006100"/>
                <w:sz w:val="20"/>
                <w:szCs w:val="20"/>
                <w:lang w:val="en-IE" w:eastAsia="en-GB"/>
              </w:rPr>
              <w:t> </w:t>
            </w:r>
            <w:r w:rsidRPr="4F15188C">
              <w:rPr>
                <w:rFonts w:eastAsia="Times New Roman"/>
                <w:b/>
                <w:bCs/>
                <w:smallCaps/>
                <w:noProof/>
                <w:color w:val="004300"/>
                <w:sz w:val="20"/>
                <w:szCs w:val="20"/>
                <w:lang w:val="en-IE"/>
              </w:rPr>
              <w:t>003</w:t>
            </w:r>
          </w:p>
        </w:tc>
      </w:tr>
    </w:tbl>
    <w:p w:rsidRPr="00FE48E2" w:rsidR="00D87E44" w:rsidP="00D226F4" w:rsidRDefault="00D87E44" w14:paraId="15458E48" w14:textId="77777777">
      <w:pPr>
        <w:spacing w:line="240" w:lineRule="auto"/>
        <w:jc w:val="both"/>
        <w:rPr>
          <w:noProof/>
          <w:lang w:val="en-IE"/>
        </w:rPr>
      </w:pPr>
    </w:p>
    <w:p w:rsidRPr="00FE48E2" w:rsidR="00D87E44" w:rsidP="00D226F4" w:rsidRDefault="00D87E44" w14:paraId="15458E49" w14:textId="77777777">
      <w:pPr>
        <w:numPr>
          <w:ilvl w:val="1"/>
          <w:numId w:val="89"/>
        </w:numPr>
        <w:spacing w:line="240" w:lineRule="auto"/>
        <w:jc w:val="both"/>
        <w:rPr>
          <w:noProof/>
          <w:lang w:val="en-IE"/>
        </w:rPr>
      </w:pPr>
      <w:r w:rsidRPr="00FE48E2">
        <w:rPr>
          <w:noProof/>
          <w:lang w:val="en-IE"/>
        </w:rPr>
        <w:t xml:space="preserve">Third Instalment (non-repayable support): </w:t>
      </w:r>
    </w:p>
    <w:tbl>
      <w:tblPr>
        <w:tblW w:w="10490" w:type="dxa"/>
        <w:tblInd w:w="-601" w:type="dxa"/>
        <w:tblLook w:val="04A0" w:firstRow="1" w:lastRow="0" w:firstColumn="1" w:lastColumn="0" w:noHBand="0" w:noVBand="1"/>
      </w:tblPr>
      <w:tblGrid>
        <w:gridCol w:w="1297"/>
        <w:gridCol w:w="3960"/>
        <w:gridCol w:w="1839"/>
        <w:gridCol w:w="3394"/>
      </w:tblGrid>
      <w:tr w:rsidRPr="00FE48E2" w:rsidR="00E3458A" w:rsidTr="00F82987" w14:paraId="15458E4E" w14:textId="77777777">
        <w:trPr>
          <w:trHeight w:val="825"/>
          <w:tblHeader/>
        </w:trPr>
        <w:tc>
          <w:tcPr>
            <w:tcW w:w="1276" w:type="dxa"/>
            <w:tcBorders>
              <w:top w:val="single" w:color="auto" w:sz="8" w:space="0"/>
              <w:left w:val="single" w:color="auto" w:sz="8" w:space="0"/>
              <w:bottom w:val="single" w:color="auto" w:sz="8" w:space="0"/>
              <w:right w:val="single" w:color="auto" w:sz="8" w:space="0"/>
            </w:tcBorders>
            <w:shd w:val="clear" w:color="auto" w:fill="BDD7EE"/>
            <w:vAlign w:val="center"/>
            <w:hideMark/>
          </w:tcPr>
          <w:p w:rsidRPr="00FE48E2" w:rsidR="00D87E44" w:rsidRDefault="00D87E44" w14:paraId="15458E4A" w14:textId="77777777">
            <w:pPr>
              <w:spacing w:before="0" w:after="0" w:line="240" w:lineRule="auto"/>
              <w:jc w:val="center"/>
              <w:rPr>
                <w:b/>
                <w:color w:val="000000"/>
                <w:lang w:val="en-IE"/>
              </w:rPr>
            </w:pPr>
            <w:r w:rsidRPr="00FF1320">
              <w:rPr>
                <w:b/>
                <w:color w:val="000000"/>
                <w:lang w:val="en-IE"/>
              </w:rPr>
              <w:t>Sequential Number</w:t>
            </w:r>
          </w:p>
        </w:tc>
        <w:tc>
          <w:tcPr>
            <w:tcW w:w="3969"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4B" w14:textId="77777777">
            <w:pPr>
              <w:spacing w:before="0" w:after="0" w:line="240" w:lineRule="auto"/>
              <w:jc w:val="center"/>
              <w:rPr>
                <w:b/>
                <w:color w:val="000000"/>
                <w:lang w:val="en-IE"/>
              </w:rPr>
            </w:pPr>
            <w:r w:rsidRPr="00FF1320">
              <w:rPr>
                <w:b/>
                <w:color w:val="000000"/>
                <w:lang w:val="en-IE"/>
              </w:rPr>
              <w:t>Related Measure (Reform or Investment)</w:t>
            </w:r>
          </w:p>
        </w:tc>
        <w:tc>
          <w:tcPr>
            <w:tcW w:w="1843"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4C" w14:textId="77777777">
            <w:pPr>
              <w:spacing w:before="0" w:after="0" w:line="240" w:lineRule="auto"/>
              <w:jc w:val="center"/>
              <w:rPr>
                <w:b/>
                <w:color w:val="000000"/>
                <w:lang w:val="en-IE"/>
              </w:rPr>
            </w:pPr>
            <w:r w:rsidRPr="00FF1320">
              <w:rPr>
                <w:b/>
                <w:color w:val="000000"/>
                <w:lang w:val="en-IE"/>
              </w:rPr>
              <w:t>Milestone / Target</w:t>
            </w:r>
          </w:p>
        </w:tc>
        <w:tc>
          <w:tcPr>
            <w:tcW w:w="3402"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4D" w14:textId="77777777">
            <w:pPr>
              <w:spacing w:before="0" w:after="0" w:line="240" w:lineRule="auto"/>
              <w:jc w:val="center"/>
              <w:rPr>
                <w:b/>
                <w:color w:val="000000"/>
                <w:lang w:val="en-IE"/>
              </w:rPr>
            </w:pPr>
            <w:r w:rsidRPr="00FF1320">
              <w:rPr>
                <w:b/>
                <w:color w:val="000000"/>
                <w:lang w:val="en-IE"/>
              </w:rPr>
              <w:t>Name</w:t>
            </w:r>
          </w:p>
        </w:tc>
      </w:tr>
      <w:tr w:rsidRPr="00FE48E2" w:rsidR="00E3458A" w:rsidTr="00F82987" w14:paraId="15458E53" w14:textId="77777777">
        <w:trPr>
          <w:trHeight w:val="795"/>
        </w:trPr>
        <w:tc>
          <w:tcPr>
            <w:tcW w:w="1276"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4F"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139</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5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2.6: Nature Protection and Adaptation to Climate Change  - Investment 4: Building forests resilient to climate change  </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5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nil"/>
              <w:left w:val="nil"/>
              <w:bottom w:val="single" w:color="000000" w:themeColor="text1" w:sz="8" w:space="0"/>
              <w:right w:val="single" w:color="auto" w:sz="8" w:space="0"/>
            </w:tcBorders>
            <w:shd w:val="clear" w:color="auto" w:fill="C6EFCE"/>
            <w:vAlign w:val="center"/>
            <w:hideMark/>
          </w:tcPr>
          <w:p w:rsidRPr="00811914" w:rsidR="00D87E44" w:rsidRDefault="00D87E44" w14:paraId="15458E52"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Amendment to the ministerial decree on forest management planning (amendment to Decree No. 84/1996 Coll. on forest management planning)</w:t>
            </w:r>
          </w:p>
        </w:tc>
      </w:tr>
      <w:tr w:rsidR="00E3458A" w:rsidTr="00F82987" w14:paraId="15458E58" w14:textId="77777777">
        <w:trPr>
          <w:trHeight w:val="795"/>
        </w:trPr>
        <w:tc>
          <w:tcPr>
            <w:tcW w:w="1276"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54" w14:textId="77777777">
            <w:pPr>
              <w:spacing w:line="240" w:lineRule="auto"/>
              <w:jc w:val="center"/>
              <w:rPr>
                <w:rFonts w:eastAsia="Times New Roman"/>
                <w:noProof/>
                <w:color w:val="004300"/>
                <w:sz w:val="20"/>
                <w:szCs w:val="20"/>
                <w:lang w:val="en-IE"/>
              </w:rPr>
            </w:pPr>
            <w:r w:rsidRPr="280F36B4">
              <w:rPr>
                <w:rFonts w:eastAsia="Times New Roman"/>
                <w:noProof/>
                <w:color w:val="004300"/>
                <w:sz w:val="20"/>
                <w:szCs w:val="20"/>
                <w:lang w:val="en-IE"/>
              </w:rPr>
              <w:t>78</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280F36B4" w:rsidR="00D87E44" w:rsidRDefault="00D87E44" w14:paraId="15458E55" w14:textId="77777777">
            <w:pPr>
              <w:spacing w:before="0" w:after="0" w:line="240" w:lineRule="auto"/>
              <w:jc w:val="center"/>
              <w:rPr>
                <w:rFonts w:eastAsia="Times New Roman"/>
                <w:noProof/>
                <w:color w:val="006100"/>
                <w:sz w:val="20"/>
                <w:szCs w:val="20"/>
                <w:lang w:val="en-IE"/>
              </w:rPr>
            </w:pPr>
            <w:r w:rsidRPr="280F36B4">
              <w:rPr>
                <w:rFonts w:eastAsia="Times New Roman"/>
                <w:noProof/>
                <w:color w:val="006100"/>
                <w:sz w:val="20"/>
                <w:szCs w:val="20"/>
                <w:lang w:val="en-IE"/>
              </w:rPr>
              <w:t>C 2.1: Sustainable Transport - Reform 1: Creating alternatives to energy and space-intensive road transport</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280F36B4" w:rsidR="00D87E44" w:rsidRDefault="00D87E44" w14:paraId="15458E56" w14:textId="77777777">
            <w:pPr>
              <w:spacing w:before="0" w:after="0" w:line="240" w:lineRule="auto"/>
              <w:jc w:val="center"/>
              <w:rPr>
                <w:rFonts w:eastAsia="Times New Roman"/>
                <w:noProof/>
                <w:color w:val="006100"/>
                <w:sz w:val="20"/>
                <w:szCs w:val="20"/>
                <w:lang w:val="en-IE"/>
              </w:rPr>
            </w:pPr>
            <w:r w:rsidRPr="280F36B4">
              <w:rPr>
                <w:rFonts w:eastAsia="Times New Roman"/>
                <w:noProof/>
                <w:color w:val="006100"/>
                <w:sz w:val="20"/>
                <w:szCs w:val="20"/>
                <w:lang w:val="en-IE"/>
              </w:rPr>
              <w:t>Milestone</w:t>
            </w:r>
          </w:p>
        </w:tc>
        <w:tc>
          <w:tcPr>
            <w:tcW w:w="3402" w:type="dxa"/>
            <w:tcBorders>
              <w:top w:val="nil"/>
              <w:left w:val="nil"/>
              <w:bottom w:val="single" w:color="000000" w:themeColor="text1" w:sz="8" w:space="0"/>
              <w:right w:val="single" w:color="auto" w:sz="8" w:space="0"/>
            </w:tcBorders>
            <w:shd w:val="clear" w:color="auto" w:fill="C6EFCE"/>
            <w:vAlign w:val="center"/>
            <w:hideMark/>
          </w:tcPr>
          <w:p w:rsidRPr="280F36B4" w:rsidR="00D87E44" w:rsidRDefault="00D87E44" w14:paraId="15458E57" w14:textId="77777777">
            <w:pPr>
              <w:spacing w:before="0" w:after="0" w:line="240" w:lineRule="auto"/>
              <w:jc w:val="center"/>
              <w:rPr>
                <w:rFonts w:eastAsia="Times New Roman"/>
                <w:noProof/>
                <w:color w:val="006100"/>
                <w:sz w:val="20"/>
                <w:szCs w:val="20"/>
                <w:lang w:val="en-IE"/>
              </w:rPr>
            </w:pPr>
            <w:r w:rsidRPr="280F36B4">
              <w:rPr>
                <w:rFonts w:eastAsia="Times New Roman"/>
                <w:noProof/>
                <w:color w:val="006100"/>
                <w:sz w:val="20"/>
                <w:szCs w:val="20"/>
                <w:lang w:val="en-IE"/>
              </w:rPr>
              <w:t>Approval of the mobility plans</w:t>
            </w:r>
          </w:p>
        </w:tc>
      </w:tr>
      <w:tr w:rsidR="00E3458A" w:rsidTr="00F82987" w14:paraId="15458E5D" w14:textId="77777777">
        <w:trPr>
          <w:trHeight w:val="795"/>
        </w:trPr>
        <w:tc>
          <w:tcPr>
            <w:tcW w:w="1276"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59" w14:textId="77777777">
            <w:pPr>
              <w:spacing w:line="240" w:lineRule="auto"/>
              <w:jc w:val="center"/>
              <w:rPr>
                <w:rFonts w:eastAsia="Times New Roman"/>
                <w:noProof/>
                <w:color w:val="004300"/>
                <w:sz w:val="20"/>
                <w:szCs w:val="20"/>
                <w:lang w:val="en-IE"/>
              </w:rPr>
            </w:pPr>
            <w:r w:rsidRPr="417B99A9">
              <w:rPr>
                <w:rFonts w:eastAsia="Times New Roman"/>
                <w:noProof/>
                <w:color w:val="004300"/>
                <w:sz w:val="20"/>
                <w:szCs w:val="20"/>
                <w:lang w:val="en-IE"/>
              </w:rPr>
              <w:lastRenderedPageBreak/>
              <w:t>87</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5A" w14:textId="77777777">
            <w:pPr>
              <w:spacing w:before="0" w:after="0" w:line="240" w:lineRule="auto"/>
              <w:jc w:val="center"/>
              <w:rPr>
                <w:rFonts w:eastAsia="Times New Roman"/>
                <w:noProof/>
                <w:color w:val="006100"/>
                <w:sz w:val="20"/>
                <w:szCs w:val="20"/>
                <w:lang w:val="en-IE"/>
              </w:rPr>
            </w:pPr>
            <w:r w:rsidRPr="417B99A9">
              <w:rPr>
                <w:rFonts w:eastAsia="Times New Roman"/>
                <w:noProof/>
                <w:color w:val="006100"/>
                <w:sz w:val="20"/>
                <w:szCs w:val="20"/>
                <w:lang w:val="en-IE"/>
              </w:rPr>
              <w:t>C 2.1: Sustainable Transport - Investment 2: Electrification of railways</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5B" w14:textId="77777777">
            <w:pPr>
              <w:spacing w:before="0" w:after="0" w:line="240" w:lineRule="auto"/>
              <w:jc w:val="center"/>
              <w:rPr>
                <w:rFonts w:eastAsia="Times New Roman"/>
                <w:noProof/>
                <w:color w:val="006100"/>
                <w:sz w:val="20"/>
                <w:szCs w:val="20"/>
                <w:lang w:val="en-IE"/>
              </w:rPr>
            </w:pPr>
            <w:r w:rsidRPr="417B99A9">
              <w:rPr>
                <w:rFonts w:eastAsia="Times New Roman"/>
                <w:noProof/>
                <w:color w:val="006100"/>
                <w:sz w:val="20"/>
                <w:szCs w:val="20"/>
                <w:lang w:val="en-IE"/>
              </w:rPr>
              <w:t>Target</w:t>
            </w:r>
          </w:p>
        </w:tc>
        <w:tc>
          <w:tcPr>
            <w:tcW w:w="3402"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5C" w14:textId="77777777">
            <w:pPr>
              <w:spacing w:before="0" w:after="0" w:line="240" w:lineRule="auto"/>
              <w:jc w:val="center"/>
              <w:rPr>
                <w:rFonts w:eastAsia="Times New Roman"/>
                <w:noProof/>
                <w:color w:val="006100"/>
                <w:sz w:val="20"/>
                <w:szCs w:val="20"/>
                <w:lang w:val="en-IE"/>
              </w:rPr>
            </w:pPr>
            <w:r w:rsidRPr="417B99A9">
              <w:rPr>
                <w:rFonts w:eastAsia="Times New Roman"/>
                <w:noProof/>
                <w:color w:val="006100"/>
                <w:sz w:val="20"/>
                <w:szCs w:val="20"/>
                <w:lang w:val="en-IE"/>
              </w:rPr>
              <w:t xml:space="preserve">Completion of two projects from a predefined set of projects </w:t>
            </w:r>
          </w:p>
        </w:tc>
      </w:tr>
      <w:tr w:rsidRPr="00FE48E2" w:rsidR="00E3458A" w:rsidTr="00F82987" w14:paraId="15458E62" w14:textId="77777777">
        <w:trPr>
          <w:trHeight w:val="795"/>
        </w:trPr>
        <w:tc>
          <w:tcPr>
            <w:tcW w:w="1276" w:type="dxa"/>
            <w:tcBorders>
              <w:top w:val="single" w:color="000000" w:themeColor="text1" w:sz="4" w:space="0"/>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5E"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142</w:t>
            </w:r>
          </w:p>
        </w:tc>
        <w:tc>
          <w:tcPr>
            <w:tcW w:w="3969"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5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2.6: Nature Protection and Adaptation to Climate Change  - Investment 5: Water retention in forest</w:t>
            </w:r>
          </w:p>
        </w:tc>
        <w:tc>
          <w:tcPr>
            <w:tcW w:w="1843"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811914" w:rsidR="00D87E44" w:rsidRDefault="00D87E44" w14:paraId="15458E60" w14:textId="77777777">
            <w:pPr>
              <w:spacing w:before="0" w:after="0" w:line="240" w:lineRule="auto"/>
              <w:jc w:val="center"/>
              <w:rPr>
                <w:rFonts w:eastAsia="Times New Roman"/>
                <w:noProof/>
                <w:color w:val="006100"/>
                <w:sz w:val="20"/>
                <w:szCs w:val="20"/>
                <w:lang w:val="en-IE"/>
              </w:rPr>
            </w:pPr>
            <w:r w:rsidRPr="00811914">
              <w:rPr>
                <w:noProof/>
                <w:color w:val="006100"/>
                <w:sz w:val="18"/>
                <w:szCs w:val="18"/>
                <w:lang w:val="en-IE"/>
              </w:rPr>
              <w:t>Target</w:t>
            </w:r>
          </w:p>
        </w:tc>
        <w:tc>
          <w:tcPr>
            <w:tcW w:w="3402" w:type="dxa"/>
            <w:tcBorders>
              <w:top w:val="single" w:color="000000" w:themeColor="text1" w:sz="4" w:space="0"/>
              <w:left w:val="nil"/>
              <w:bottom w:val="single" w:color="000000" w:themeColor="text1" w:sz="8" w:space="0"/>
              <w:right w:val="single" w:color="auto" w:sz="8" w:space="0"/>
            </w:tcBorders>
            <w:shd w:val="clear" w:color="auto" w:fill="C6EFCE"/>
            <w:vAlign w:val="center"/>
            <w:hideMark/>
          </w:tcPr>
          <w:p w:rsidRPr="00811914" w:rsidR="00D87E44" w:rsidRDefault="00D87E44" w14:paraId="15458E61"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 xml:space="preserve">T1: Completion of 40 projects of torrent control (small scale wooden and </w:t>
            </w:r>
            <w:r w:rsidRPr="00811914">
              <w:rPr>
                <w:rFonts w:eastAsia="Times New Roman"/>
                <w:noProof/>
                <w:color w:val="006100"/>
                <w:sz w:val="20"/>
                <w:szCs w:val="20"/>
                <w:lang w:val="en-IE"/>
              </w:rPr>
              <w:t>natural stone dams) to slow down surface runoff and water retention projects in forests (retention and small reservoirs).</w:t>
            </w:r>
          </w:p>
        </w:tc>
      </w:tr>
      <w:tr w:rsidR="00E3458A" w:rsidTr="00F82987" w14:paraId="15458E67" w14:textId="77777777">
        <w:trPr>
          <w:trHeight w:val="795"/>
        </w:trPr>
        <w:tc>
          <w:tcPr>
            <w:tcW w:w="1276"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63" w14:textId="77777777">
            <w:pPr>
              <w:spacing w:before="0" w:after="0" w:line="240" w:lineRule="auto"/>
              <w:jc w:val="center"/>
              <w:rPr>
                <w:rFonts w:eastAsia="Times New Roman"/>
                <w:noProof/>
                <w:color w:val="004300"/>
                <w:sz w:val="20"/>
                <w:szCs w:val="20"/>
                <w:lang w:val="en-IE"/>
              </w:rPr>
            </w:pPr>
            <w:r w:rsidRPr="0FEF1360">
              <w:rPr>
                <w:rFonts w:eastAsia="Times New Roman"/>
                <w:noProof/>
                <w:color w:val="004300"/>
                <w:sz w:val="20"/>
                <w:szCs w:val="20"/>
                <w:lang w:val="en-IE"/>
              </w:rPr>
              <w:t>48</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64" w14:textId="77777777">
            <w:pPr>
              <w:spacing w:before="0" w:after="0" w:line="240" w:lineRule="auto"/>
              <w:jc w:val="center"/>
              <w:rPr>
                <w:rFonts w:eastAsia="Times New Roman"/>
                <w:noProof/>
                <w:color w:val="006100"/>
                <w:sz w:val="20"/>
                <w:szCs w:val="20"/>
                <w:lang w:val="en-IE"/>
              </w:rPr>
            </w:pPr>
            <w:r w:rsidRPr="0FEF1360">
              <w:rPr>
                <w:rFonts w:eastAsia="Times New Roman"/>
                <w:noProof/>
                <w:color w:val="006100"/>
                <w:sz w:val="20"/>
                <w:szCs w:val="20"/>
                <w:lang w:val="en-IE"/>
              </w:rPr>
              <w:t xml:space="preserve">C 1.4: Digital Economy and Society, Innovative Start-Ups and New Technology - Reform 2: Joint Strategic Technologies </w:t>
            </w:r>
            <w:r w:rsidRPr="0FEF1360">
              <w:rPr>
                <w:rFonts w:eastAsia="Times New Roman"/>
                <w:noProof/>
                <w:color w:val="006100"/>
                <w:sz w:val="20"/>
                <w:szCs w:val="20"/>
                <w:lang w:val="en-IE"/>
              </w:rPr>
              <w:t>Support and Certification Group with the Strategic Technologies Board</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65" w14:textId="77777777">
            <w:pPr>
              <w:spacing w:before="0" w:after="0" w:line="240" w:lineRule="auto"/>
              <w:jc w:val="center"/>
              <w:rPr>
                <w:rFonts w:eastAsia="Times New Roman"/>
                <w:noProof/>
                <w:color w:val="006100"/>
                <w:sz w:val="20"/>
                <w:szCs w:val="20"/>
                <w:lang w:val="en-IE"/>
              </w:rPr>
            </w:pPr>
            <w:r w:rsidRPr="0FEF1360">
              <w:rPr>
                <w:rFonts w:eastAsia="Times New Roman"/>
                <w:noProof/>
                <w:color w:val="006100"/>
                <w:sz w:val="20"/>
                <w:szCs w:val="20"/>
                <w:lang w:val="en-IE"/>
              </w:rPr>
              <w:t>Milestone</w:t>
            </w:r>
          </w:p>
        </w:tc>
        <w:tc>
          <w:tcPr>
            <w:tcW w:w="3402" w:type="dxa"/>
            <w:tcBorders>
              <w:top w:val="nil"/>
              <w:left w:val="nil"/>
              <w:bottom w:val="single" w:color="000000" w:themeColor="text1" w:sz="8" w:space="0"/>
              <w:right w:val="single" w:color="auto" w:sz="8" w:space="0"/>
            </w:tcBorders>
            <w:shd w:val="clear" w:color="auto" w:fill="C6EFCE"/>
            <w:vAlign w:val="center"/>
            <w:hideMark/>
          </w:tcPr>
          <w:p w:rsidRPr="00811914" w:rsidR="00D87E44" w:rsidRDefault="00D87E44" w14:paraId="15458E66"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Establishment and appointment of certification network</w:t>
            </w:r>
          </w:p>
        </w:tc>
      </w:tr>
      <w:tr w:rsidRPr="00FE48E2" w:rsidR="00E3458A" w:rsidTr="00F82987" w14:paraId="15458E6C" w14:textId="77777777">
        <w:trPr>
          <w:trHeight w:val="990"/>
        </w:trPr>
        <w:tc>
          <w:tcPr>
            <w:tcW w:w="1276" w:type="dxa"/>
            <w:tcBorders>
              <w:top w:val="nil"/>
              <w:left w:val="single" w:color="auto" w:sz="8" w:space="0"/>
              <w:bottom w:val="single" w:color="000000" w:themeColor="text1" w:sz="4" w:space="0"/>
              <w:right w:val="single" w:color="000000" w:themeColor="text1" w:sz="8" w:space="0"/>
            </w:tcBorders>
            <w:shd w:val="clear" w:color="auto" w:fill="C6EFCE"/>
            <w:vAlign w:val="center"/>
            <w:hideMark/>
          </w:tcPr>
          <w:p w:rsidRPr="00FE48E2" w:rsidR="00D87E44" w:rsidRDefault="00D87E44" w14:paraId="15458E68"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32</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6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1.3: High-Capacity Digital Networks  - Reform 1: Improving the environment for the deployment of </w:t>
            </w:r>
            <w:r w:rsidRPr="00FE48E2">
              <w:rPr>
                <w:rFonts w:eastAsia="Times New Roman"/>
                <w:noProof/>
                <w:color w:val="006100"/>
                <w:sz w:val="20"/>
                <w:szCs w:val="20"/>
                <w:lang w:val="en-IE"/>
              </w:rPr>
              <w:t>electronic communications networks </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6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nil"/>
              <w:left w:val="nil"/>
              <w:bottom w:val="single" w:color="000000" w:themeColor="text1" w:sz="4" w:space="0"/>
              <w:right w:val="single" w:color="auto" w:sz="8" w:space="0"/>
            </w:tcBorders>
            <w:shd w:val="clear" w:color="auto" w:fill="C6EFCE"/>
            <w:vAlign w:val="center"/>
            <w:hideMark/>
          </w:tcPr>
          <w:p w:rsidRPr="00811914" w:rsidR="00D87E44" w:rsidRDefault="00D87E44" w14:paraId="15458E6B"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Entry into force of measures prepared by the Ministry of Industry and Trade aimed at establishing a database of investment project plans and increasing the number of network quality measurements </w:t>
            </w:r>
          </w:p>
        </w:tc>
      </w:tr>
      <w:tr w:rsidRPr="00FE48E2" w:rsidR="00E3458A" w:rsidTr="00F82987" w14:paraId="15458E71" w14:textId="77777777">
        <w:trPr>
          <w:trHeight w:val="600"/>
        </w:trPr>
        <w:tc>
          <w:tcPr>
            <w:tcW w:w="1276" w:type="dxa"/>
            <w:tcBorders>
              <w:top w:val="single" w:color="000000" w:themeColor="text1" w:sz="4" w:space="0"/>
              <w:left w:val="single" w:color="auto" w:sz="8" w:space="0"/>
              <w:bottom w:val="single" w:color="auto" w:sz="8" w:space="0"/>
              <w:right w:val="single" w:color="auto" w:sz="8" w:space="0"/>
            </w:tcBorders>
            <w:shd w:val="clear" w:color="auto" w:fill="C6EFCE"/>
            <w:vAlign w:val="center"/>
            <w:hideMark/>
          </w:tcPr>
          <w:p w:rsidRPr="00FE48E2" w:rsidR="00D87E44" w:rsidRDefault="00D87E44" w14:paraId="15458E6D"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99</w:t>
            </w:r>
          </w:p>
        </w:tc>
        <w:tc>
          <w:tcPr>
            <w:tcW w:w="3969"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E6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2.1: </w:t>
            </w:r>
            <w:r w:rsidRPr="00FE48E2">
              <w:rPr>
                <w:rFonts w:eastAsia="Times New Roman"/>
                <w:noProof/>
                <w:color w:val="006100"/>
                <w:sz w:val="20"/>
                <w:szCs w:val="20"/>
                <w:lang w:val="en-IE"/>
              </w:rPr>
              <w:t>Sustainable Transport - Investment 4: Road and rail safety (railway crossings, bridges and tunnels, cycle paths and barrier-free routes)</w:t>
            </w:r>
          </w:p>
        </w:tc>
        <w:tc>
          <w:tcPr>
            <w:tcW w:w="1843"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E6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000000" w:themeColor="text1" w:sz="4" w:space="0"/>
              <w:left w:val="nil"/>
              <w:bottom w:val="single" w:color="auto" w:sz="8" w:space="0"/>
              <w:right w:val="single" w:color="auto" w:sz="8" w:space="0"/>
            </w:tcBorders>
            <w:shd w:val="clear" w:color="auto" w:fill="C6EFCE"/>
            <w:vAlign w:val="center"/>
            <w:hideMark/>
          </w:tcPr>
          <w:p w:rsidRPr="00FE48E2" w:rsidR="00D87E44" w:rsidRDefault="00D87E44" w14:paraId="15458E7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modernised railway bridges or tunnels</w:t>
            </w:r>
          </w:p>
        </w:tc>
      </w:tr>
      <w:tr w:rsidRPr="00FE48E2" w:rsidR="00D226F4" w:rsidTr="00F82987" w14:paraId="15458E76" w14:textId="77777777">
        <w:trPr>
          <w:trHeight w:val="600"/>
        </w:trPr>
        <w:tc>
          <w:tcPr>
            <w:tcW w:w="1276" w:type="dxa"/>
            <w:tcBorders>
              <w:top w:val="nil"/>
              <w:left w:val="single" w:color="auto" w:sz="8" w:space="0"/>
              <w:bottom w:val="single" w:color="auto" w:sz="8" w:space="0"/>
              <w:right w:val="single" w:color="auto" w:sz="8" w:space="0"/>
            </w:tcBorders>
            <w:shd w:val="clear" w:color="auto" w:fill="C6EFCE"/>
            <w:vAlign w:val="center"/>
            <w:hideMark/>
          </w:tcPr>
          <w:p w:rsidRPr="00FE48E2" w:rsidR="00D87E44" w:rsidRDefault="00D87E44" w14:paraId="15458E72"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 </w:t>
            </w:r>
          </w:p>
        </w:tc>
        <w:tc>
          <w:tcPr>
            <w:tcW w:w="3969"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E73"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 </w:t>
            </w:r>
          </w:p>
        </w:tc>
        <w:tc>
          <w:tcPr>
            <w:tcW w:w="1843"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E74" w14:textId="77777777">
            <w:pPr>
              <w:spacing w:before="0" w:after="0" w:line="240" w:lineRule="auto"/>
              <w:jc w:val="center"/>
              <w:rPr>
                <w:rFonts w:eastAsia="Times New Roman"/>
                <w:b/>
                <w:noProof/>
                <w:color w:val="006100"/>
                <w:sz w:val="20"/>
                <w:szCs w:val="20"/>
                <w:lang w:val="en-IE"/>
              </w:rPr>
            </w:pPr>
            <w:r w:rsidRPr="4F15188C">
              <w:rPr>
                <w:rFonts w:eastAsia="Times New Roman"/>
                <w:b/>
                <w:noProof/>
                <w:color w:val="006100"/>
                <w:sz w:val="20"/>
                <w:szCs w:val="20"/>
                <w:lang w:val="en-IE"/>
              </w:rPr>
              <w:t>Instalment Amount</w:t>
            </w:r>
          </w:p>
        </w:tc>
        <w:tc>
          <w:tcPr>
            <w:tcW w:w="3402"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E75" w14:textId="77777777">
            <w:pPr>
              <w:spacing w:before="0" w:after="0" w:line="240" w:lineRule="auto"/>
              <w:jc w:val="center"/>
              <w:rPr>
                <w:rFonts w:eastAsia="Times New Roman"/>
                <w:b/>
                <w:noProof/>
                <w:color w:val="006100"/>
                <w:sz w:val="20"/>
                <w:szCs w:val="20"/>
                <w:lang w:val="en-IE"/>
              </w:rPr>
            </w:pPr>
            <w:r w:rsidRPr="4F15188C">
              <w:rPr>
                <w:rFonts w:eastAsia="Times New Roman"/>
                <w:b/>
                <w:bCs/>
                <w:noProof/>
                <w:color w:val="006100"/>
                <w:sz w:val="20"/>
                <w:szCs w:val="20"/>
                <w:lang w:val="en-IE"/>
              </w:rPr>
              <w:t>EUR</w:t>
            </w:r>
            <w:r>
              <w:rPr>
                <w:rFonts w:eastAsia="Times New Roman"/>
                <w:b/>
                <w:bCs/>
                <w:noProof/>
                <w:color w:val="006100"/>
                <w:sz w:val="20"/>
                <w:szCs w:val="20"/>
                <w:lang w:val="en-IE"/>
              </w:rPr>
              <w:t xml:space="preserve"> </w:t>
            </w:r>
            <w:r w:rsidRPr="4F15188C">
              <w:rPr>
                <w:rFonts w:eastAsia="Times New Roman"/>
                <w:b/>
                <w:bCs/>
                <w:noProof/>
                <w:color w:val="006100"/>
                <w:sz w:val="20"/>
                <w:szCs w:val="20"/>
                <w:lang w:val="en-IE"/>
              </w:rPr>
              <w:t>142</w:t>
            </w:r>
            <w:r>
              <w:rPr>
                <w:rFonts w:eastAsia="Times New Roman"/>
                <w:noProof/>
                <w:color w:val="006100"/>
                <w:sz w:val="20"/>
                <w:szCs w:val="20"/>
                <w:lang w:val="en-IE" w:eastAsia="en-GB"/>
              </w:rPr>
              <w:t> </w:t>
            </w:r>
            <w:r w:rsidRPr="4F15188C">
              <w:rPr>
                <w:rFonts w:eastAsia="Times New Roman"/>
                <w:b/>
                <w:bCs/>
                <w:noProof/>
                <w:color w:val="006100"/>
                <w:sz w:val="20"/>
                <w:szCs w:val="20"/>
                <w:lang w:val="en-IE"/>
              </w:rPr>
              <w:t>506</w:t>
            </w:r>
            <w:r>
              <w:rPr>
                <w:rFonts w:eastAsia="Times New Roman"/>
                <w:noProof/>
                <w:color w:val="006100"/>
                <w:sz w:val="20"/>
                <w:szCs w:val="20"/>
                <w:lang w:val="en-IE" w:eastAsia="en-GB"/>
              </w:rPr>
              <w:t> </w:t>
            </w:r>
            <w:r w:rsidRPr="4F15188C">
              <w:rPr>
                <w:rFonts w:eastAsia="Times New Roman"/>
                <w:b/>
                <w:bCs/>
                <w:noProof/>
                <w:color w:val="006100"/>
                <w:sz w:val="20"/>
                <w:szCs w:val="20"/>
                <w:lang w:val="en-IE"/>
              </w:rPr>
              <w:t>202</w:t>
            </w:r>
          </w:p>
        </w:tc>
      </w:tr>
    </w:tbl>
    <w:p w:rsidRPr="00FE48E2" w:rsidR="00D87E44" w:rsidP="00D226F4" w:rsidRDefault="00D87E44" w14:paraId="15458E77" w14:textId="77777777">
      <w:pPr>
        <w:spacing w:line="240" w:lineRule="auto"/>
        <w:jc w:val="both"/>
        <w:rPr>
          <w:noProof/>
          <w:lang w:val="en-IE"/>
        </w:rPr>
      </w:pPr>
    </w:p>
    <w:p w:rsidRPr="00FE48E2" w:rsidR="00D87E44" w:rsidP="00D226F4" w:rsidRDefault="00D87E44" w14:paraId="15458E78" w14:textId="77777777">
      <w:pPr>
        <w:numPr>
          <w:ilvl w:val="1"/>
          <w:numId w:val="89"/>
        </w:numPr>
        <w:spacing w:line="240" w:lineRule="auto"/>
        <w:jc w:val="both"/>
        <w:rPr>
          <w:noProof/>
          <w:lang w:val="en-IE"/>
        </w:rPr>
      </w:pPr>
      <w:r w:rsidRPr="00FE48E2">
        <w:rPr>
          <w:noProof/>
          <w:lang w:val="en-IE"/>
        </w:rPr>
        <w:t xml:space="preserve">Fourth Instalment (non-repayable support): </w:t>
      </w:r>
    </w:p>
    <w:tbl>
      <w:tblPr>
        <w:tblW w:w="10285" w:type="dxa"/>
        <w:tblInd w:w="-601" w:type="dxa"/>
        <w:tblLook w:val="04A0" w:firstRow="1" w:lastRow="0" w:firstColumn="1" w:lastColumn="0" w:noHBand="0" w:noVBand="1"/>
      </w:tblPr>
      <w:tblGrid>
        <w:gridCol w:w="1297"/>
        <w:gridCol w:w="3339"/>
        <w:gridCol w:w="2747"/>
        <w:gridCol w:w="2902"/>
      </w:tblGrid>
      <w:tr w:rsidRPr="00FE48E2" w:rsidR="00E3458A" w:rsidTr="00F82987" w14:paraId="15458E7D" w14:textId="77777777">
        <w:trPr>
          <w:trHeight w:val="825"/>
          <w:tblHeader/>
        </w:trPr>
        <w:tc>
          <w:tcPr>
            <w:tcW w:w="1270" w:type="dxa"/>
            <w:tcBorders>
              <w:top w:val="single" w:color="auto" w:sz="8" w:space="0"/>
              <w:left w:val="single" w:color="auto" w:sz="8" w:space="0"/>
              <w:bottom w:val="single" w:color="auto" w:sz="8" w:space="0"/>
              <w:right w:val="single" w:color="auto" w:sz="8" w:space="0"/>
            </w:tcBorders>
            <w:shd w:val="clear" w:color="auto" w:fill="BDD7EE"/>
            <w:vAlign w:val="center"/>
            <w:hideMark/>
          </w:tcPr>
          <w:p w:rsidRPr="00FE48E2" w:rsidR="00D87E44" w:rsidRDefault="00D87E44" w14:paraId="15458E79" w14:textId="77777777">
            <w:pPr>
              <w:spacing w:before="0" w:after="0" w:line="240" w:lineRule="auto"/>
              <w:jc w:val="center"/>
              <w:rPr>
                <w:b/>
                <w:color w:val="000000"/>
                <w:lang w:val="en-IE"/>
              </w:rPr>
            </w:pPr>
            <w:r w:rsidRPr="00FF1320">
              <w:rPr>
                <w:b/>
                <w:color w:val="000000"/>
                <w:lang w:val="en-IE"/>
              </w:rPr>
              <w:t>Sequential Number</w:t>
            </w:r>
          </w:p>
        </w:tc>
        <w:tc>
          <w:tcPr>
            <w:tcW w:w="3349"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7A" w14:textId="77777777">
            <w:pPr>
              <w:spacing w:before="0" w:after="0" w:line="240" w:lineRule="auto"/>
              <w:jc w:val="center"/>
              <w:rPr>
                <w:b/>
                <w:color w:val="000000"/>
                <w:lang w:val="en-IE"/>
              </w:rPr>
            </w:pPr>
            <w:r w:rsidRPr="00FF1320">
              <w:rPr>
                <w:b/>
                <w:color w:val="000000"/>
                <w:lang w:val="en-IE"/>
              </w:rPr>
              <w:t>Related Measure (Reform or Investment)</w:t>
            </w:r>
          </w:p>
        </w:tc>
        <w:tc>
          <w:tcPr>
            <w:tcW w:w="2756"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7B" w14:textId="77777777">
            <w:pPr>
              <w:spacing w:before="0" w:after="0" w:line="240" w:lineRule="auto"/>
              <w:jc w:val="center"/>
              <w:rPr>
                <w:b/>
                <w:color w:val="000000"/>
                <w:lang w:val="en-IE"/>
              </w:rPr>
            </w:pPr>
            <w:r w:rsidRPr="00FF1320">
              <w:rPr>
                <w:b/>
                <w:color w:val="000000"/>
                <w:lang w:val="en-IE"/>
              </w:rPr>
              <w:t>Milestone / Target</w:t>
            </w:r>
          </w:p>
        </w:tc>
        <w:tc>
          <w:tcPr>
            <w:tcW w:w="2910" w:type="dxa"/>
            <w:tcBorders>
              <w:top w:val="single" w:color="auto" w:sz="8" w:space="0"/>
              <w:left w:val="nil"/>
              <w:bottom w:val="single" w:color="auto" w:sz="8" w:space="0"/>
              <w:right w:val="single" w:color="auto" w:sz="8" w:space="0"/>
            </w:tcBorders>
            <w:shd w:val="clear" w:color="auto" w:fill="BDD7EE"/>
            <w:vAlign w:val="center"/>
            <w:hideMark/>
          </w:tcPr>
          <w:p w:rsidRPr="00FE48E2" w:rsidR="00D87E44" w:rsidRDefault="00D87E44" w14:paraId="15458E7C" w14:textId="77777777">
            <w:pPr>
              <w:spacing w:before="0" w:after="0" w:line="240" w:lineRule="auto"/>
              <w:jc w:val="center"/>
              <w:rPr>
                <w:b/>
                <w:color w:val="000000"/>
                <w:lang w:val="en-IE"/>
              </w:rPr>
            </w:pPr>
            <w:r w:rsidRPr="00FF1320">
              <w:rPr>
                <w:b/>
                <w:color w:val="000000"/>
                <w:lang w:val="en-IE"/>
              </w:rPr>
              <w:t>Name</w:t>
            </w:r>
          </w:p>
        </w:tc>
      </w:tr>
      <w:tr w:rsidR="00E3458A" w:rsidTr="00F82987" w14:paraId="15458E83"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7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110</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7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2.3: Transition to Cleaner Energy Sources-</w:t>
            </w:r>
          </w:p>
          <w:p w:rsidR="00D87E44" w:rsidRDefault="00D87E44" w14:paraId="15458E80"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Reform 1: Modernisation of distribution of heat in district heating </w:t>
            </w:r>
            <w:r w:rsidRPr="0824AC77">
              <w:rPr>
                <w:rFonts w:eastAsia="Times New Roman"/>
                <w:noProof/>
                <w:color w:val="006100"/>
                <w:sz w:val="20"/>
                <w:szCs w:val="20"/>
                <w:lang w:val="en-IE"/>
              </w:rPr>
              <w:t>systems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81"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8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Assessment of decarbonisation of district heating in Czechia</w:t>
            </w:r>
          </w:p>
        </w:tc>
      </w:tr>
      <w:tr w:rsidR="00E3458A" w:rsidTr="00F82987" w14:paraId="15458E88"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8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111</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8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2.3: Transition to Cleaner Energy- Sources Reform 2: Modernisation of distribution of heat in district heating systems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8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87"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Assessment of the trajectories of sustainable supply of biomass in Czechia</w:t>
            </w:r>
          </w:p>
        </w:tc>
      </w:tr>
      <w:tr w:rsidR="00E3458A" w:rsidTr="00F82987" w14:paraId="15458E8D"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89" w14:textId="77777777">
            <w:pPr>
              <w:spacing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55</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8A" w14:textId="77777777">
            <w:pPr>
              <w:spacing w:before="0" w:after="0" w:line="240" w:lineRule="auto"/>
              <w:rPr>
                <w:rFonts w:eastAsia="Times New Roman"/>
                <w:noProof/>
                <w:color w:val="006100"/>
                <w:sz w:val="20"/>
                <w:szCs w:val="20"/>
                <w:lang w:val="en-IE"/>
              </w:rPr>
            </w:pPr>
            <w:r w:rsidRPr="0824AC77">
              <w:rPr>
                <w:rFonts w:eastAsia="Times New Roman"/>
                <w:noProof/>
                <w:color w:val="006100"/>
                <w:sz w:val="20"/>
                <w:szCs w:val="20"/>
                <w:lang w:val="en-IE"/>
              </w:rPr>
              <w:t>C 1.4: Digital Economy and Society, Innovative Start-Ups and New Technology-Investment 5: European Blockchain Services Infrastructure (EBSI) – DLT bonds for SME financing</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8B"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8C"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Grant agreement signed with the recipient for implementing the use-case for SMEs</w:t>
            </w:r>
          </w:p>
        </w:tc>
      </w:tr>
      <w:tr w:rsidRPr="00FE48E2" w:rsidR="00E3458A" w:rsidTr="00F82987" w14:paraId="15458E92"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8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127</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8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2.5: Building Renovation and Air Protection - Investment 2: Replacement of stationary sources of pollution in households with renewable energy sources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4F1648" w:rsidR="00D87E44" w:rsidRDefault="00D87E44" w14:paraId="15458E90" w14:textId="77777777">
            <w:pPr>
              <w:spacing w:before="0" w:after="0" w:line="240" w:lineRule="auto"/>
              <w:jc w:val="center"/>
              <w:rPr>
                <w:rFonts w:eastAsia="Times New Roman"/>
                <w:noProof/>
                <w:color w:val="006100"/>
                <w:sz w:val="20"/>
                <w:szCs w:val="20"/>
                <w:lang w:val="en-IE"/>
              </w:rPr>
            </w:pPr>
            <w:r w:rsidRPr="004F1648">
              <w:rPr>
                <w:noProof/>
                <w:color w:val="006100"/>
                <w:sz w:val="18"/>
                <w:szCs w:val="18"/>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91"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Projects contracted for reduction of energy consumption</w:t>
            </w:r>
            <w:r w:rsidRPr="0824AC77">
              <w:rPr>
                <w:rFonts w:eastAsia="Times New Roman"/>
                <w:noProof/>
                <w:color w:val="000000" w:themeColor="text1"/>
                <w:sz w:val="20"/>
                <w:szCs w:val="20"/>
                <w:lang w:val="en-IE"/>
              </w:rPr>
              <w:t xml:space="preserve"> </w:t>
            </w:r>
            <w:r w:rsidRPr="0824AC77">
              <w:rPr>
                <w:rFonts w:eastAsia="Times New Roman"/>
                <w:noProof/>
                <w:color w:val="006100"/>
                <w:sz w:val="20"/>
                <w:szCs w:val="20"/>
                <w:lang w:val="en-IE"/>
              </w:rPr>
              <w:t xml:space="preserve">and reduction of CO2 emissions </w:t>
            </w:r>
          </w:p>
        </w:tc>
      </w:tr>
      <w:tr w:rsidRPr="00FE48E2" w:rsidR="00E3458A" w:rsidTr="00F82987" w14:paraId="15458E97"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lastRenderedPageBreak/>
              <w:t>128</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2.5: Building Renovation and Air Protection - Investment 2: Replacement of stationary sources of pollution in households with renewable energy sources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9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Reduction of energy consumption and CO2 emissions (35% implemented)</w:t>
            </w:r>
          </w:p>
        </w:tc>
      </w:tr>
      <w:tr w:rsidRPr="00FE48E2" w:rsidR="00E3458A" w:rsidTr="00F82987" w14:paraId="15458E9C"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144</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2.7: Circular </w:t>
            </w:r>
            <w:r w:rsidRPr="0824AC77">
              <w:rPr>
                <w:rFonts w:eastAsia="Times New Roman"/>
                <w:noProof/>
                <w:color w:val="006100"/>
                <w:sz w:val="20"/>
                <w:szCs w:val="20"/>
                <w:lang w:val="en-IE"/>
              </w:rPr>
              <w:t>Economy, Recycling and Industrial Water - Reform 1: Implementation of new legislation on waste management in the Czech Republic</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A"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9B"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Entry into force of the implementing decisions following the legislation on waste management prepared by the </w:t>
            </w:r>
            <w:r w:rsidRPr="0824AC77">
              <w:rPr>
                <w:rFonts w:eastAsia="Times New Roman"/>
                <w:noProof/>
                <w:color w:val="006100"/>
                <w:sz w:val="20"/>
                <w:szCs w:val="20"/>
                <w:lang w:val="en-IE"/>
              </w:rPr>
              <w:t>Ministry of Environment</w:t>
            </w:r>
          </w:p>
        </w:tc>
      </w:tr>
      <w:tr w:rsidRPr="00FE48E2" w:rsidR="00E3458A" w:rsidTr="00F82987" w14:paraId="15458EA1" w14:textId="77777777">
        <w:trPr>
          <w:trHeight w:val="1380"/>
        </w:trPr>
        <w:tc>
          <w:tcPr>
            <w:tcW w:w="1270" w:type="dxa"/>
            <w:tcBorders>
              <w:top w:val="single" w:color="000000" w:themeColor="text1" w:sz="4" w:space="0"/>
              <w:left w:val="single" w:color="auto" w:sz="8" w:space="0"/>
              <w:bottom w:val="nil"/>
              <w:right w:val="single" w:color="000000" w:themeColor="text1" w:sz="8" w:space="0"/>
            </w:tcBorders>
            <w:shd w:val="clear" w:color="auto" w:fill="C6EFCE"/>
            <w:vAlign w:val="center"/>
            <w:hideMark/>
          </w:tcPr>
          <w:p w:rsidRPr="00FE48E2" w:rsidR="00D87E44" w:rsidRDefault="00D87E44" w14:paraId="15458E9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w:t>
            </w:r>
          </w:p>
        </w:tc>
        <w:tc>
          <w:tcPr>
            <w:tcW w:w="3349"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1.1: Digital services to citizens and businesses - Reform 1: Conditions for quality data pool management and ensuring controlled data access</w:t>
            </w:r>
          </w:p>
        </w:tc>
        <w:tc>
          <w:tcPr>
            <w:tcW w:w="2756"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9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000000" w:themeColor="text1" w:sz="4" w:space="0"/>
              <w:left w:val="nil"/>
              <w:bottom w:val="nil"/>
              <w:right w:val="single" w:color="auto" w:sz="8" w:space="0"/>
            </w:tcBorders>
            <w:shd w:val="clear" w:color="auto" w:fill="C6EFCE"/>
            <w:vAlign w:val="center"/>
            <w:hideMark/>
          </w:tcPr>
          <w:p w:rsidRPr="00FE48E2" w:rsidR="00D87E44" w:rsidRDefault="00D87E44" w14:paraId="15458EA0"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Finalisation of data audit at the levels of the central </w:t>
            </w:r>
            <w:r w:rsidRPr="0824AC77">
              <w:rPr>
                <w:rFonts w:eastAsia="Times New Roman"/>
                <w:noProof/>
                <w:color w:val="006100"/>
                <w:sz w:val="20"/>
                <w:szCs w:val="20"/>
                <w:lang w:val="en-IE"/>
              </w:rPr>
              <w:t>government, and adoption of the conceptual document “Strategy of controlled access to data to ensure conditions for quality management of the public administration data collection” by the Government, forming a basis for new data management legislation</w:t>
            </w:r>
          </w:p>
        </w:tc>
      </w:tr>
      <w:tr w:rsidR="00E3458A" w:rsidTr="00F82987" w14:paraId="15458EA6" w14:textId="77777777">
        <w:trPr>
          <w:trHeight w:val="990"/>
        </w:trPr>
        <w:tc>
          <w:tcPr>
            <w:tcW w:w="1270"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00D87E44" w:rsidRDefault="00D87E44" w14:paraId="15458EA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7</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A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1.1: Digital services to citizens and businesses - Investment 1: Digital services for end users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A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auto" w:sz="8" w:space="0"/>
              <w:left w:val="nil"/>
              <w:bottom w:val="single" w:color="auto" w:sz="8" w:space="0"/>
              <w:right w:val="single" w:color="auto" w:sz="8" w:space="0"/>
            </w:tcBorders>
            <w:shd w:val="clear" w:color="auto" w:fill="C6EFCE"/>
            <w:vAlign w:val="center"/>
            <w:hideMark/>
          </w:tcPr>
          <w:p w:rsidR="00D87E44" w:rsidRDefault="00D87E44" w14:paraId="15458EA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Full operation of the Single Digital Gateway</w:t>
            </w:r>
          </w:p>
        </w:tc>
      </w:tr>
      <w:tr w:rsidRPr="00FE48E2" w:rsidR="00E3458A" w:rsidTr="00F82987" w14:paraId="15458EAC" w14:textId="77777777">
        <w:trPr>
          <w:trHeight w:val="990"/>
        </w:trPr>
        <w:tc>
          <w:tcPr>
            <w:tcW w:w="1270"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EA7"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8</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A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1.1: Digital services to citizens and businesses - Investment 1: Digital services for end </w:t>
            </w:r>
            <w:r w:rsidRPr="0824AC77">
              <w:rPr>
                <w:rFonts w:eastAsia="Times New Roman"/>
                <w:noProof/>
                <w:color w:val="006100"/>
                <w:sz w:val="20"/>
                <w:szCs w:val="20"/>
                <w:lang w:val="en-IE"/>
              </w:rPr>
              <w:t>users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A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auto" w:sz="8" w:space="0"/>
              <w:left w:val="nil"/>
              <w:bottom w:val="single" w:color="auto" w:sz="8" w:space="0"/>
              <w:right w:val="single" w:color="auto" w:sz="8" w:space="0"/>
            </w:tcBorders>
            <w:shd w:val="clear" w:color="auto" w:fill="C6EFCE"/>
            <w:vAlign w:val="center"/>
            <w:hideMark/>
          </w:tcPr>
          <w:p w:rsidRPr="004F1648" w:rsidR="00D87E44" w:rsidRDefault="00D87E44" w14:paraId="15458EAA" w14:textId="77777777">
            <w:pPr>
              <w:spacing w:before="0" w:after="0" w:line="240" w:lineRule="auto"/>
              <w:jc w:val="center"/>
              <w:rPr>
                <w:rFonts w:eastAsia="Times New Roman"/>
                <w:noProof/>
                <w:color w:val="006100"/>
                <w:sz w:val="20"/>
                <w:szCs w:val="20"/>
                <w:lang w:val="en-IE"/>
              </w:rPr>
            </w:pPr>
            <w:r w:rsidRPr="004F1648">
              <w:rPr>
                <w:rFonts w:eastAsia="Times New Roman"/>
                <w:noProof/>
                <w:color w:val="006100"/>
                <w:sz w:val="20"/>
                <w:szCs w:val="20"/>
                <w:lang w:val="en-IE"/>
              </w:rPr>
              <w:t>Completion of new information systems</w:t>
            </w:r>
          </w:p>
          <w:p w:rsidRPr="00FE48E2" w:rsidR="00D87E44" w:rsidRDefault="00D87E44" w14:paraId="15458EAB" w14:textId="77777777">
            <w:pPr>
              <w:spacing w:before="0" w:after="0" w:line="240" w:lineRule="auto"/>
              <w:jc w:val="center"/>
              <w:rPr>
                <w:rFonts w:eastAsia="Times New Roman"/>
                <w:noProof/>
                <w:color w:val="006100"/>
                <w:sz w:val="20"/>
                <w:szCs w:val="20"/>
                <w:lang w:val="en-IE"/>
              </w:rPr>
            </w:pPr>
          </w:p>
        </w:tc>
      </w:tr>
      <w:tr w:rsidRPr="00FE48E2" w:rsidR="00E3458A" w:rsidTr="00F82987" w14:paraId="15458EB1"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A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13</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A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1.1: Digital services to citizens and businesses - Investment 3: Digital service</w:t>
            </w:r>
            <w:r>
              <w:rPr>
                <w:rFonts w:eastAsia="Times New Roman"/>
                <w:noProof/>
                <w:color w:val="006100"/>
                <w:sz w:val="20"/>
                <w:szCs w:val="20"/>
                <w:lang w:val="en-IE"/>
              </w:rPr>
              <w:t>s</w:t>
            </w:r>
            <w:r w:rsidRPr="0824AC77">
              <w:rPr>
                <w:rFonts w:eastAsia="Times New Roman"/>
                <w:noProof/>
                <w:color w:val="006100"/>
                <w:sz w:val="20"/>
                <w:szCs w:val="20"/>
                <w:lang w:val="en-IE"/>
              </w:rPr>
              <w:t xml:space="preserve"> for justice</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A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B0"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Deployment of a new technology platform of the Justice Portal, which shall make digital services available to citizens and shall be connected to the central Citizen’s Portal</w:t>
            </w:r>
          </w:p>
        </w:tc>
      </w:tr>
      <w:tr w:rsidRPr="00FE48E2" w:rsidR="00E3458A" w:rsidTr="00F82987" w14:paraId="15458EB6" w14:textId="77777777">
        <w:trPr>
          <w:trHeight w:val="40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14</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1.1: Digital services to citizens and businesses - Investment 3: Digital service</w:t>
            </w:r>
            <w:r>
              <w:rPr>
                <w:rFonts w:eastAsia="Times New Roman"/>
                <w:noProof/>
                <w:color w:val="006100"/>
                <w:sz w:val="20"/>
                <w:szCs w:val="20"/>
                <w:lang w:val="en-IE"/>
              </w:rPr>
              <w:t>s</w:t>
            </w:r>
            <w:r w:rsidRPr="0824AC77">
              <w:rPr>
                <w:rFonts w:eastAsia="Times New Roman"/>
                <w:noProof/>
                <w:color w:val="006100"/>
                <w:sz w:val="20"/>
                <w:szCs w:val="20"/>
                <w:lang w:val="en-IE"/>
              </w:rPr>
              <w:t xml:space="preserve"> for justice</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B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Equipment of courtrooms with audio-visual data recorders</w:t>
            </w:r>
          </w:p>
        </w:tc>
      </w:tr>
      <w:tr w:rsidRPr="00FE48E2" w:rsidR="00E3458A" w:rsidTr="00F82987" w14:paraId="15458EBB"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7"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27</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w:t>
            </w:r>
            <w:r w:rsidRPr="0824AC77">
              <w:rPr>
                <w:rFonts w:eastAsia="Times New Roman"/>
                <w:noProof/>
                <w:color w:val="006100"/>
                <w:sz w:val="20"/>
                <w:szCs w:val="20"/>
                <w:lang w:val="en-IE"/>
              </w:rPr>
              <w:t>1.2: Digital Public Administration Systems - Reform 2:</w:t>
            </w:r>
            <w:r>
              <w:rPr>
                <w:noProof/>
              </w:rPr>
              <w:br/>
            </w:r>
            <w:r w:rsidRPr="0824AC77">
              <w:rPr>
                <w:rFonts w:eastAsia="Times New Roman"/>
                <w:noProof/>
                <w:color w:val="006100"/>
                <w:sz w:val="20"/>
                <w:szCs w:val="20"/>
                <w:lang w:val="en-IE"/>
              </w:rPr>
              <w:t>Development of systems supporting eHealth</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B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811914" w:rsidR="00D87E44" w:rsidRDefault="00D87E44" w14:paraId="15458EBA"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Extension of Shared Drug Recording (ePrescreption) to narcotics and psychotropic substances and to electronic vouchers for medical devices</w:t>
            </w:r>
          </w:p>
        </w:tc>
      </w:tr>
      <w:tr w:rsidR="00E3458A" w:rsidTr="00F82987" w14:paraId="15458EC0" w14:textId="77777777">
        <w:trPr>
          <w:trHeight w:val="795"/>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BC"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202</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B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4.3: Anti-Corruption Reforms - Reform 1: Protection of whistle-blowers </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B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811914" w:rsidR="00D87E44" w:rsidRDefault="00D87E44" w14:paraId="15458EBF"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Entry into force of the law on the protection of whistle-blowers and the accompanying amending law</w:t>
            </w:r>
          </w:p>
        </w:tc>
      </w:tr>
      <w:tr w:rsidRPr="00FE48E2" w:rsidR="00E3458A" w:rsidTr="00F82987" w14:paraId="15458EC5" w14:textId="77777777">
        <w:trPr>
          <w:trHeight w:val="795"/>
        </w:trPr>
        <w:tc>
          <w:tcPr>
            <w:tcW w:w="1270" w:type="dxa"/>
            <w:tcBorders>
              <w:top w:val="single" w:color="auto" w:sz="4" w:space="0"/>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C1"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59</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C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1.4: Digital Economy and Society, Innovative Start-Ups and New Technology - Investment 7: Czech Rise-Up programme</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C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single" w:color="auto" w:sz="4" w:space="0"/>
              <w:left w:val="nil"/>
              <w:bottom w:val="single" w:color="000000" w:themeColor="text1" w:sz="8" w:space="0"/>
              <w:right w:val="single" w:color="auto" w:sz="8" w:space="0"/>
            </w:tcBorders>
            <w:shd w:val="clear" w:color="auto" w:fill="C6EFCE"/>
            <w:vAlign w:val="center"/>
            <w:hideMark/>
          </w:tcPr>
          <w:p w:rsidRPr="00811914" w:rsidR="00D87E44" w:rsidRDefault="00D87E44" w14:paraId="15458EC4"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Support of projects aiming at innovation in medical and digital solutions to cope with the effects of COVID-19 and with its economic and social consequences</w:t>
            </w:r>
          </w:p>
        </w:tc>
      </w:tr>
      <w:tr w:rsidRPr="00FE48E2" w:rsidR="00E3458A" w:rsidTr="00F82987" w14:paraId="15458ECA" w14:textId="77777777">
        <w:trPr>
          <w:trHeight w:val="600"/>
        </w:trPr>
        <w:tc>
          <w:tcPr>
            <w:tcW w:w="1270" w:type="dxa"/>
            <w:tcBorders>
              <w:top w:val="nil"/>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EC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lastRenderedPageBreak/>
              <w:t>79</w:t>
            </w:r>
          </w:p>
        </w:tc>
        <w:tc>
          <w:tcPr>
            <w:tcW w:w="3349"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EC7"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2.1: Sustainable Transport - </w:t>
            </w:r>
            <w:r w:rsidRPr="0824AC77">
              <w:rPr>
                <w:rFonts w:eastAsia="Times New Roman"/>
                <w:noProof/>
                <w:color w:val="006100"/>
                <w:sz w:val="20"/>
                <w:szCs w:val="20"/>
                <w:lang w:val="en-IE"/>
              </w:rPr>
              <w:t>Reform 1: Creating alternatives to energy and space-intensive road transport</w:t>
            </w:r>
          </w:p>
        </w:tc>
        <w:tc>
          <w:tcPr>
            <w:tcW w:w="2756"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EC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auto" w:sz="4" w:space="0"/>
              <w:right w:val="single" w:color="auto" w:sz="8" w:space="0"/>
            </w:tcBorders>
            <w:shd w:val="clear" w:color="auto" w:fill="C6EFCE"/>
            <w:vAlign w:val="center"/>
            <w:hideMark/>
          </w:tcPr>
          <w:p w:rsidRPr="00FE48E2" w:rsidR="00D87E44" w:rsidRDefault="00D87E44" w14:paraId="15458EC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Approval and entry into force of the new Freight Transport Concept</w:t>
            </w:r>
          </w:p>
        </w:tc>
      </w:tr>
      <w:tr w:rsidRPr="00FE48E2" w:rsidR="00E3458A" w:rsidTr="00F82987" w14:paraId="15458ECF" w14:textId="77777777">
        <w:trPr>
          <w:trHeight w:val="600"/>
        </w:trPr>
        <w:tc>
          <w:tcPr>
            <w:tcW w:w="127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CB"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80</w:t>
            </w:r>
          </w:p>
        </w:tc>
        <w:tc>
          <w:tcPr>
            <w:tcW w:w="334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CC"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2.1: Sustainable Transport - Reform 1: Creating alternatives to energy and </w:t>
            </w:r>
            <w:r w:rsidRPr="0824AC77">
              <w:rPr>
                <w:rFonts w:eastAsia="Times New Roman"/>
                <w:noProof/>
                <w:color w:val="006100"/>
                <w:sz w:val="20"/>
                <w:szCs w:val="20"/>
                <w:lang w:val="en-IE"/>
              </w:rPr>
              <w:t>space-intensive road transport</w:t>
            </w:r>
          </w:p>
        </w:tc>
        <w:tc>
          <w:tcPr>
            <w:tcW w:w="275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C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C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Approval of the transport service plans.</w:t>
            </w:r>
          </w:p>
        </w:tc>
      </w:tr>
      <w:tr w:rsidR="00E3458A" w:rsidTr="00F82987" w14:paraId="15458ED4" w14:textId="77777777">
        <w:trPr>
          <w:trHeight w:val="600"/>
        </w:trPr>
        <w:tc>
          <w:tcPr>
            <w:tcW w:w="127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ED0" w14:textId="77777777">
            <w:pPr>
              <w:spacing w:before="0" w:after="0"/>
              <w:jc w:val="center"/>
              <w:rPr>
                <w:rFonts w:eastAsia="Times New Roman"/>
                <w:noProof/>
                <w:color w:val="006100"/>
                <w:sz w:val="20"/>
                <w:szCs w:val="20"/>
                <w:lang w:val="en-IE"/>
              </w:rPr>
            </w:pPr>
            <w:r w:rsidRPr="0824AC77">
              <w:rPr>
                <w:rFonts w:eastAsia="Times New Roman"/>
                <w:noProof/>
                <w:color w:val="006100"/>
                <w:sz w:val="20"/>
                <w:szCs w:val="20"/>
                <w:lang w:val="en-IE"/>
              </w:rPr>
              <w:t>88</w:t>
            </w:r>
          </w:p>
        </w:tc>
        <w:tc>
          <w:tcPr>
            <w:tcW w:w="334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ED1" w14:textId="77777777">
            <w:pPr>
              <w:spacing w:before="0" w:after="0"/>
              <w:jc w:val="center"/>
              <w:rPr>
                <w:rFonts w:eastAsia="Times New Roman"/>
                <w:noProof/>
                <w:color w:val="006100"/>
                <w:sz w:val="20"/>
                <w:szCs w:val="20"/>
                <w:lang w:val="en-IE"/>
              </w:rPr>
            </w:pPr>
            <w:r w:rsidRPr="0824AC77">
              <w:rPr>
                <w:rFonts w:eastAsia="Times New Roman"/>
                <w:noProof/>
                <w:color w:val="006100"/>
                <w:sz w:val="20"/>
                <w:szCs w:val="20"/>
                <w:lang w:val="en-IE"/>
              </w:rPr>
              <w:t>C 2.1: Sustainable Transport - Investment 2: Electrification of railways</w:t>
            </w:r>
          </w:p>
        </w:tc>
        <w:tc>
          <w:tcPr>
            <w:tcW w:w="275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ED2" w14:textId="77777777">
            <w:pPr>
              <w:spacing w:before="0" w:after="0"/>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00D87E44" w:rsidRDefault="00D87E44" w14:paraId="15458ED3" w14:textId="77777777">
            <w:pPr>
              <w:spacing w:before="0" w:after="0"/>
              <w:jc w:val="center"/>
              <w:rPr>
                <w:rFonts w:eastAsia="Times New Roman"/>
                <w:noProof/>
                <w:color w:val="006100"/>
                <w:sz w:val="20"/>
                <w:szCs w:val="20"/>
                <w:lang w:val="en-IE"/>
              </w:rPr>
            </w:pPr>
            <w:r w:rsidRPr="0824AC77">
              <w:rPr>
                <w:rFonts w:eastAsia="Times New Roman"/>
                <w:noProof/>
                <w:color w:val="006100"/>
                <w:sz w:val="20"/>
                <w:szCs w:val="20"/>
                <w:lang w:val="en-IE"/>
              </w:rPr>
              <w:t xml:space="preserve">Completion of six additional projects from a predefined set of projects </w:t>
            </w:r>
          </w:p>
        </w:tc>
      </w:tr>
      <w:tr w:rsidRPr="00FE48E2" w:rsidR="00E3458A" w:rsidTr="00F82987" w14:paraId="15458ED9" w14:textId="77777777">
        <w:trPr>
          <w:trHeight w:val="600"/>
        </w:trPr>
        <w:tc>
          <w:tcPr>
            <w:tcW w:w="1270" w:type="dxa"/>
            <w:tcBorders>
              <w:top w:val="single" w:color="auto" w:sz="4" w:space="0"/>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D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91</w:t>
            </w:r>
          </w:p>
        </w:tc>
        <w:tc>
          <w:tcPr>
            <w:tcW w:w="3349"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D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2.1: Sustainable Transport - Investment 3: Improving the environment (railway infrastructure support)</w:t>
            </w:r>
          </w:p>
        </w:tc>
        <w:tc>
          <w:tcPr>
            <w:tcW w:w="2756"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D7"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single" w:color="auto" w:sz="4" w:space="0"/>
              <w:left w:val="nil"/>
              <w:bottom w:val="single" w:color="000000" w:themeColor="text1" w:sz="8" w:space="0"/>
              <w:right w:val="single" w:color="auto" w:sz="8" w:space="0"/>
            </w:tcBorders>
            <w:shd w:val="clear" w:color="auto" w:fill="C6EFCE"/>
            <w:vAlign w:val="center"/>
            <w:hideMark/>
          </w:tcPr>
          <w:p w:rsidRPr="00FE48E2" w:rsidR="00D87E44" w:rsidRDefault="00D87E44" w14:paraId="15458ED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Completion of 11 additional projects from a predefined set of projects   </w:t>
            </w:r>
          </w:p>
        </w:tc>
      </w:tr>
      <w:tr w:rsidR="00E3458A" w:rsidTr="00F82987" w14:paraId="15458EDE" w14:textId="77777777">
        <w:trPr>
          <w:trHeight w:val="600"/>
        </w:trPr>
        <w:tc>
          <w:tcPr>
            <w:tcW w:w="1270" w:type="dxa"/>
            <w:tcBorders>
              <w:top w:val="single" w:color="000000" w:themeColor="text1" w:sz="4" w:space="0"/>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DA" w14:textId="77777777">
            <w:pPr>
              <w:spacing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343</w:t>
            </w:r>
          </w:p>
        </w:tc>
        <w:tc>
          <w:tcPr>
            <w:tcW w:w="3349"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00D87E44" w:rsidRDefault="00D87E44" w14:paraId="15458EDB"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C 7.7 Simplifying environmental permitting processes and defining areas for the development of renewable energy sources-Reform 2: Renewable acceleration areas </w:t>
            </w:r>
          </w:p>
        </w:tc>
        <w:tc>
          <w:tcPr>
            <w:tcW w:w="2756"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hideMark/>
          </w:tcPr>
          <w:p w:rsidR="00D87E44" w:rsidRDefault="00D87E44" w14:paraId="15458EDC" w14:textId="77777777">
            <w:pPr>
              <w:spacing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000000" w:themeColor="text1" w:sz="4" w:space="0"/>
              <w:left w:val="nil"/>
              <w:bottom w:val="single" w:color="000000" w:themeColor="text1" w:sz="8" w:space="0"/>
              <w:right w:val="single" w:color="auto" w:sz="8" w:space="0"/>
            </w:tcBorders>
            <w:shd w:val="clear" w:color="auto" w:fill="C6EFCE"/>
            <w:vAlign w:val="center"/>
            <w:hideMark/>
          </w:tcPr>
          <w:p w:rsidR="00D87E44" w:rsidRDefault="00D87E44" w14:paraId="15458EDD"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Methodology for designating renewables acceleration areas  </w:t>
            </w:r>
          </w:p>
        </w:tc>
      </w:tr>
      <w:tr w:rsidR="00E3458A" w:rsidTr="00F82987" w14:paraId="15458EE4"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DF" w14:textId="77777777">
            <w:pPr>
              <w:spacing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341</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E0"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C 7.7 Simplifying environmental permitting processes and defining areas for the development of renewable energy sources-Reform 1: </w:t>
            </w:r>
          </w:p>
          <w:p w:rsidR="00D87E44" w:rsidRDefault="00D87E44" w14:paraId="15458EE1"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Single Environmental Opinion  </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E2" w14:textId="77777777">
            <w:pPr>
              <w:spacing w:line="240" w:lineRule="auto"/>
              <w:jc w:val="center"/>
              <w:rPr>
                <w:rFonts w:eastAsia="Times New Roman"/>
                <w:noProof/>
                <w:color w:val="006100"/>
                <w:sz w:val="20"/>
                <w:szCs w:val="20"/>
                <w:lang w:val="en-IE"/>
              </w:rPr>
            </w:pPr>
            <w:r w:rsidRPr="0070162F">
              <w:rPr>
                <w:rFonts w:eastAsia="Times New Roman"/>
                <w:noProof/>
                <w:color w:val="006100"/>
                <w:sz w:val="20"/>
                <w:szCs w:val="20"/>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E3"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Technical assistance to accelerate and improve the quality of environmental permitting procedures   </w:t>
            </w:r>
          </w:p>
        </w:tc>
      </w:tr>
      <w:tr w:rsidR="00E3458A" w:rsidTr="00F82987" w14:paraId="15458EE9"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EE5" w14:textId="77777777">
            <w:pPr>
              <w:spacing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325</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E6"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C 7.4: School adaptation – Promoting green skills and sustainability in universities-Reform 1: Transformation of universities to adapt to changing needs of the labour market </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00D87E44" w:rsidRDefault="00D87E44" w14:paraId="15458EE7"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Milestone </w:t>
            </w:r>
          </w:p>
        </w:tc>
        <w:tc>
          <w:tcPr>
            <w:tcW w:w="2910" w:type="dxa"/>
            <w:tcBorders>
              <w:top w:val="nil"/>
              <w:left w:val="nil"/>
              <w:bottom w:val="single" w:color="000000" w:themeColor="text1" w:sz="8" w:space="0"/>
              <w:right w:val="single" w:color="auto" w:sz="8" w:space="0"/>
            </w:tcBorders>
            <w:shd w:val="clear" w:color="auto" w:fill="C6EFCE"/>
            <w:vAlign w:val="center"/>
            <w:hideMark/>
          </w:tcPr>
          <w:p w:rsidR="00D87E44" w:rsidRDefault="00D87E44" w14:paraId="15458EE8"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Launch of a programme to support transformation of universities</w:t>
            </w:r>
          </w:p>
        </w:tc>
      </w:tr>
      <w:tr w:rsidRPr="00FE48E2" w:rsidR="00E3458A" w:rsidTr="00F82987" w14:paraId="15458EEE"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EA"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100</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EB"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2.1: Sustainable Transport - Investment 4: Road and rail safety (railway crossings, bridges and tunnels, cycle paths and barrier-free routes)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EC"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E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Completion of built cycle paths, sidewalks and barrier-free routes</w:t>
            </w:r>
          </w:p>
        </w:tc>
      </w:tr>
      <w:tr w:rsidRPr="00FE48E2" w:rsidR="00E3458A" w:rsidTr="00F82987" w14:paraId="15458EF3"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E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101</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0"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2.1: Sustainable Transport - Investment 4: Road and rail safety (railway crossings, bridges and tunnels, cycle paths and barrier-free routes)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1"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FE48E2" w:rsidR="00D87E44" w:rsidRDefault="00D87E44" w14:paraId="15458EF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Completion of modernised railway bridges or tunnels</w:t>
            </w:r>
          </w:p>
        </w:tc>
      </w:tr>
      <w:tr w:rsidRPr="00FE48E2" w:rsidR="00E3458A" w:rsidTr="00F82987" w14:paraId="15458EF8" w14:textId="77777777">
        <w:trPr>
          <w:trHeight w:val="600"/>
        </w:trPr>
        <w:tc>
          <w:tcPr>
            <w:tcW w:w="127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F4"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108</w:t>
            </w:r>
          </w:p>
        </w:tc>
        <w:tc>
          <w:tcPr>
            <w:tcW w:w="334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F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2.2: Reducing Energy Consumption in the Public Sector - Investment 3: Improving the energy performance of public buildings</w:t>
            </w:r>
          </w:p>
        </w:tc>
        <w:tc>
          <w:tcPr>
            <w:tcW w:w="275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EF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70162F" w:rsidR="00D87E44" w:rsidRDefault="00D87E44" w14:paraId="15458EF7" w14:textId="77777777">
            <w:pPr>
              <w:spacing w:before="0" w:after="0" w:line="240" w:lineRule="auto"/>
              <w:jc w:val="center"/>
              <w:rPr>
                <w:rFonts w:eastAsia="Times New Roman"/>
                <w:noProof/>
                <w:color w:val="006100"/>
                <w:sz w:val="20"/>
                <w:szCs w:val="20"/>
                <w:lang w:val="en-IE"/>
              </w:rPr>
            </w:pPr>
            <w:r w:rsidRPr="0070162F">
              <w:rPr>
                <w:rFonts w:eastAsia="Times New Roman"/>
                <w:noProof/>
                <w:color w:val="006100"/>
                <w:sz w:val="20"/>
                <w:szCs w:val="20"/>
                <w:lang w:val="en-IE"/>
              </w:rPr>
              <w:t>Award of 75 % of public contracts for building renovation projects achieving at least 30 % primary energy savings</w:t>
            </w:r>
          </w:p>
        </w:tc>
      </w:tr>
      <w:tr w:rsidRPr="00FE48E2" w:rsidR="00E3458A" w:rsidTr="00F82987" w14:paraId="15458EFD"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9"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136</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A"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2.6: Nature Protection and Adaptation to Climate Change  - Investment 2: Small watercourses and water reservoirs </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B"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nil"/>
              <w:left w:val="nil"/>
              <w:bottom w:val="single" w:color="000000" w:themeColor="text1" w:sz="8" w:space="0"/>
              <w:right w:val="single" w:color="auto" w:sz="8" w:space="0"/>
            </w:tcBorders>
            <w:shd w:val="clear" w:color="auto" w:fill="C6EFCE"/>
            <w:vAlign w:val="center"/>
            <w:hideMark/>
          </w:tcPr>
          <w:p w:rsidRPr="0070162F" w:rsidR="00D87E44" w:rsidRDefault="00D87E44" w14:paraId="15458EFC" w14:textId="77777777">
            <w:pPr>
              <w:spacing w:before="0" w:after="0" w:line="240" w:lineRule="auto"/>
              <w:jc w:val="center"/>
              <w:rPr>
                <w:rFonts w:eastAsia="Times New Roman"/>
                <w:noProof/>
                <w:color w:val="006100"/>
                <w:sz w:val="20"/>
                <w:szCs w:val="20"/>
                <w:lang w:val="en-IE"/>
              </w:rPr>
            </w:pPr>
            <w:r w:rsidRPr="0070162F">
              <w:rPr>
                <w:rFonts w:eastAsia="Times New Roman"/>
                <w:noProof/>
                <w:color w:val="006100"/>
                <w:sz w:val="20"/>
                <w:szCs w:val="20"/>
                <w:lang w:val="en-IE"/>
              </w:rPr>
              <w:t>T2: Completion of 50% additional small watercourses and water reservoir projects</w:t>
            </w:r>
          </w:p>
        </w:tc>
      </w:tr>
      <w:tr w:rsidRPr="00FE48E2" w:rsidR="00E3458A" w:rsidTr="00F82987" w14:paraId="15458F02" w14:textId="77777777">
        <w:trPr>
          <w:trHeight w:val="600"/>
        </w:trPr>
        <w:tc>
          <w:tcPr>
            <w:tcW w:w="1270" w:type="dxa"/>
            <w:tcBorders>
              <w:top w:val="nil"/>
              <w:left w:val="single" w:color="auto" w:sz="8"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145</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EF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2.7: Circular Economy, Recycling and Industrial Water - Reform 1: Implementation of new legislation on waste management in the Czech Republic</w:t>
            </w:r>
          </w:p>
        </w:tc>
        <w:tc>
          <w:tcPr>
            <w:tcW w:w="2756" w:type="dxa"/>
            <w:tcBorders>
              <w:top w:val="single" w:color="000000" w:themeColor="text1" w:sz="8"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00"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000000" w:themeColor="text1" w:sz="8" w:space="0"/>
              <w:left w:val="nil"/>
              <w:bottom w:val="single" w:color="000000" w:themeColor="text1" w:sz="8" w:space="0"/>
              <w:right w:val="single" w:color="auto" w:sz="8" w:space="0"/>
            </w:tcBorders>
            <w:shd w:val="clear" w:color="auto" w:fill="C6EFCE"/>
            <w:vAlign w:val="center"/>
            <w:hideMark/>
          </w:tcPr>
          <w:p w:rsidRPr="00FE48E2" w:rsidR="00D87E44" w:rsidRDefault="00D87E44" w14:paraId="15458F01"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Entry into force of a national and regional waste management plan</w:t>
            </w:r>
          </w:p>
        </w:tc>
      </w:tr>
      <w:tr w:rsidRPr="00FE48E2" w:rsidR="00E3458A" w:rsidTr="00F82987" w14:paraId="15458F07" w14:textId="77777777">
        <w:trPr>
          <w:trHeight w:val="405"/>
        </w:trPr>
        <w:tc>
          <w:tcPr>
            <w:tcW w:w="1270" w:type="dxa"/>
            <w:tcBorders>
              <w:top w:val="nil"/>
              <w:left w:val="single" w:color="auto" w:sz="8" w:space="0"/>
              <w:bottom w:val="nil"/>
              <w:right w:val="single" w:color="000000" w:themeColor="text1" w:sz="8" w:space="0"/>
            </w:tcBorders>
            <w:shd w:val="clear" w:color="auto" w:fill="C6EFCE"/>
            <w:vAlign w:val="center"/>
            <w:hideMark/>
          </w:tcPr>
          <w:p w:rsidRPr="00FE48E2" w:rsidR="00D87E44" w:rsidRDefault="00D87E44" w14:paraId="15458F03"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154</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0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2.8: Brownfields Revitalisation - Investment 1: </w:t>
            </w:r>
            <w:r w:rsidRPr="0070162F">
              <w:rPr>
                <w:rFonts w:eastAsia="Times New Roman"/>
                <w:noProof/>
                <w:color w:val="006100"/>
                <w:sz w:val="20"/>
                <w:szCs w:val="20"/>
                <w:lang w:val="en-IE"/>
              </w:rPr>
              <w:t xml:space="preserve">Investment aid for </w:t>
            </w:r>
            <w:r w:rsidRPr="0070162F">
              <w:rPr>
                <w:rFonts w:eastAsia="Times New Roman"/>
                <w:noProof/>
                <w:color w:val="006100"/>
                <w:sz w:val="20"/>
                <w:szCs w:val="20"/>
                <w:lang w:val="en-IE"/>
              </w:rPr>
              <w:lastRenderedPageBreak/>
              <w:t>regeneration of specific brownfield sites</w:t>
            </w:r>
          </w:p>
        </w:tc>
        <w:tc>
          <w:tcPr>
            <w:tcW w:w="2756"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F05" w14:textId="77777777">
            <w:pPr>
              <w:spacing w:before="0" w:after="0" w:line="240" w:lineRule="auto"/>
              <w:jc w:val="center"/>
              <w:rPr>
                <w:rFonts w:eastAsia="Times New Roman"/>
                <w:noProof/>
                <w:color w:val="006100"/>
                <w:sz w:val="20"/>
                <w:szCs w:val="20"/>
                <w:lang w:val="en-IE"/>
              </w:rPr>
            </w:pPr>
            <w:r w:rsidRPr="0070162F">
              <w:rPr>
                <w:rFonts w:eastAsia="Times New Roman"/>
                <w:noProof/>
                <w:color w:val="006100"/>
                <w:sz w:val="20"/>
                <w:szCs w:val="20"/>
                <w:lang w:val="en-IE"/>
              </w:rPr>
              <w:lastRenderedPageBreak/>
              <w:t>Target</w:t>
            </w:r>
          </w:p>
        </w:tc>
        <w:tc>
          <w:tcPr>
            <w:tcW w:w="2910" w:type="dxa"/>
            <w:tcBorders>
              <w:top w:val="single" w:color="000000" w:themeColor="text1" w:sz="8" w:space="0"/>
              <w:left w:val="nil"/>
              <w:bottom w:val="single" w:color="auto" w:sz="4" w:space="0"/>
              <w:right w:val="single" w:color="auto" w:sz="8" w:space="0"/>
            </w:tcBorders>
            <w:shd w:val="clear" w:color="auto" w:fill="C6EFCE"/>
            <w:vAlign w:val="center"/>
            <w:hideMark/>
          </w:tcPr>
          <w:p w:rsidRPr="00811914" w:rsidR="00D87E44" w:rsidRDefault="00D87E44" w14:paraId="15458F06"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 xml:space="preserve">Entry into force of all subsidy contracts between the State </w:t>
            </w:r>
            <w:r w:rsidRPr="00811914">
              <w:rPr>
                <w:rFonts w:eastAsia="Times New Roman"/>
                <w:noProof/>
                <w:color w:val="006100"/>
                <w:sz w:val="20"/>
                <w:szCs w:val="20"/>
                <w:lang w:val="en-IE"/>
              </w:rPr>
              <w:lastRenderedPageBreak/>
              <w:t xml:space="preserve">Investment Fund and selected brownfield project holders  </w:t>
            </w:r>
          </w:p>
        </w:tc>
      </w:tr>
      <w:tr w:rsidRPr="00FE48E2" w:rsidR="00E3458A" w:rsidTr="00F82987" w14:paraId="15458F0C" w14:textId="77777777">
        <w:trPr>
          <w:trHeight w:val="600"/>
        </w:trPr>
        <w:tc>
          <w:tcPr>
            <w:tcW w:w="1270"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08"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lastRenderedPageBreak/>
              <w:t>156</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0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2.8: Brownfields Revitalisation - Investment 2: </w:t>
            </w:r>
            <w:r w:rsidRPr="0070162F">
              <w:rPr>
                <w:rFonts w:eastAsia="Times New Roman"/>
                <w:noProof/>
                <w:color w:val="006100"/>
                <w:sz w:val="20"/>
                <w:szCs w:val="20"/>
                <w:lang w:val="en-IE"/>
              </w:rPr>
              <w:t>Investment aid for the regeneration of brownfield sites owned by municipalities and regions</w:t>
            </w:r>
            <w:r>
              <w:rPr>
                <w:rFonts w:eastAsia="Times New Roman"/>
                <w:noProof/>
                <w:color w:val="006100"/>
                <w:sz w:val="20"/>
                <w:szCs w:val="20"/>
                <w:lang w:val="en-IE"/>
              </w:rPr>
              <w:t xml:space="preserve"> </w:t>
            </w:r>
            <w:r w:rsidRPr="0824AC77">
              <w:rPr>
                <w:rFonts w:eastAsia="Times New Roman"/>
                <w:noProof/>
                <w:color w:val="006100"/>
                <w:sz w:val="20"/>
                <w:szCs w:val="20"/>
                <w:lang w:val="en-IE"/>
              </w:rPr>
              <w:t>for non-business use</w:t>
            </w:r>
          </w:p>
        </w:tc>
        <w:tc>
          <w:tcPr>
            <w:tcW w:w="2756"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0A" w14:textId="77777777">
            <w:pPr>
              <w:spacing w:before="0" w:after="0" w:line="240" w:lineRule="auto"/>
              <w:jc w:val="center"/>
              <w:rPr>
                <w:rFonts w:eastAsia="Times New Roman"/>
                <w:noProof/>
                <w:color w:val="006100"/>
                <w:sz w:val="20"/>
                <w:szCs w:val="20"/>
                <w:lang w:val="en-IE"/>
              </w:rPr>
            </w:pPr>
            <w:r w:rsidRPr="0070162F">
              <w:rPr>
                <w:rFonts w:eastAsia="Times New Roman"/>
                <w:noProof/>
                <w:color w:val="006100"/>
                <w:sz w:val="20"/>
                <w:szCs w:val="20"/>
                <w:lang w:val="en-IE"/>
              </w:rPr>
              <w:t>Target</w:t>
            </w:r>
          </w:p>
        </w:tc>
        <w:tc>
          <w:tcPr>
            <w:tcW w:w="2910" w:type="dxa"/>
            <w:tcBorders>
              <w:top w:val="single" w:color="auto" w:sz="4" w:space="0"/>
              <w:left w:val="nil"/>
              <w:bottom w:val="single" w:color="auto" w:sz="8" w:space="0"/>
              <w:right w:val="single" w:color="auto" w:sz="8" w:space="0"/>
            </w:tcBorders>
            <w:shd w:val="clear" w:color="auto" w:fill="C6EFCE"/>
            <w:vAlign w:val="center"/>
            <w:hideMark/>
          </w:tcPr>
          <w:p w:rsidRPr="00811914" w:rsidR="00D87E44" w:rsidRDefault="00D87E44" w14:paraId="15458F0B" w14:textId="77777777">
            <w:pPr>
              <w:spacing w:before="0" w:after="0" w:line="240" w:lineRule="auto"/>
              <w:jc w:val="center"/>
              <w:rPr>
                <w:rFonts w:eastAsia="Times New Roman"/>
                <w:noProof/>
                <w:color w:val="006100"/>
                <w:sz w:val="20"/>
                <w:szCs w:val="20"/>
                <w:lang w:val="en-IE"/>
              </w:rPr>
            </w:pPr>
            <w:r w:rsidRPr="00811914">
              <w:rPr>
                <w:rFonts w:eastAsia="Times New Roman"/>
                <w:noProof/>
                <w:color w:val="006100"/>
                <w:sz w:val="20"/>
                <w:szCs w:val="20"/>
                <w:lang w:val="en-IE"/>
              </w:rPr>
              <w:t xml:space="preserve">Entry into force of all contracts between the State Investment Fund and selected brownfield project holders  </w:t>
            </w:r>
          </w:p>
        </w:tc>
      </w:tr>
      <w:tr w:rsidRPr="00FE48E2" w:rsidR="00E3458A" w:rsidTr="00F82987" w14:paraId="15458F11" w14:textId="77777777">
        <w:trPr>
          <w:trHeight w:val="600"/>
        </w:trPr>
        <w:tc>
          <w:tcPr>
            <w:tcW w:w="1270" w:type="dxa"/>
            <w:tcBorders>
              <w:top w:val="nil"/>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F0D"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158</w:t>
            </w:r>
          </w:p>
        </w:tc>
        <w:tc>
          <w:tcPr>
            <w:tcW w:w="3349"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F0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2.8: Brownfields Revitalisation - Investment 3: </w:t>
            </w:r>
            <w:r>
              <w:rPr>
                <w:rFonts w:eastAsia="Times New Roman"/>
                <w:noProof/>
                <w:color w:val="006100"/>
                <w:sz w:val="20"/>
                <w:szCs w:val="20"/>
                <w:lang w:val="en-IE"/>
              </w:rPr>
              <w:t xml:space="preserve">Investment aid for the regeneration of brownfield sites owned by municipalities and regions </w:t>
            </w:r>
            <w:r w:rsidRPr="0824AC77">
              <w:rPr>
                <w:rFonts w:eastAsia="Times New Roman"/>
                <w:noProof/>
                <w:color w:val="006100"/>
                <w:sz w:val="20"/>
                <w:szCs w:val="20"/>
                <w:lang w:val="en-IE"/>
              </w:rPr>
              <w:t>for business use</w:t>
            </w:r>
          </w:p>
        </w:tc>
        <w:tc>
          <w:tcPr>
            <w:tcW w:w="2756"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F0F" w14:textId="77777777">
            <w:pPr>
              <w:spacing w:before="0" w:after="0" w:line="240" w:lineRule="auto"/>
              <w:jc w:val="center"/>
              <w:rPr>
                <w:rFonts w:eastAsia="Times New Roman"/>
                <w:noProof/>
                <w:color w:val="006100"/>
                <w:sz w:val="20"/>
                <w:szCs w:val="20"/>
                <w:lang w:val="en-IE"/>
              </w:rPr>
            </w:pPr>
            <w:r w:rsidRPr="0070162F">
              <w:rPr>
                <w:rFonts w:eastAsia="Times New Roman"/>
                <w:noProof/>
                <w:color w:val="006100"/>
                <w:sz w:val="20"/>
                <w:szCs w:val="20"/>
                <w:lang w:val="en-IE"/>
              </w:rPr>
              <w:t>Target</w:t>
            </w:r>
          </w:p>
        </w:tc>
        <w:tc>
          <w:tcPr>
            <w:tcW w:w="2910" w:type="dxa"/>
            <w:tcBorders>
              <w:top w:val="nil"/>
              <w:left w:val="nil"/>
              <w:bottom w:val="single" w:color="auto" w:sz="4" w:space="0"/>
              <w:right w:val="single" w:color="auto" w:sz="8" w:space="0"/>
            </w:tcBorders>
            <w:shd w:val="clear" w:color="auto" w:fill="C6EFCE"/>
            <w:vAlign w:val="center"/>
            <w:hideMark/>
          </w:tcPr>
          <w:p w:rsidRPr="00FE48E2" w:rsidR="00D87E44" w:rsidRDefault="00D87E44" w14:paraId="15458F10" w14:textId="77777777">
            <w:pPr>
              <w:spacing w:before="0" w:after="0" w:line="240" w:lineRule="auto"/>
              <w:jc w:val="center"/>
              <w:rPr>
                <w:rFonts w:eastAsia="Times New Roman"/>
                <w:noProof/>
                <w:color w:val="004300"/>
                <w:sz w:val="20"/>
                <w:szCs w:val="20"/>
                <w:lang w:val="en-IE"/>
              </w:rPr>
            </w:pPr>
            <w:r w:rsidRPr="00811914">
              <w:rPr>
                <w:rFonts w:eastAsia="Times New Roman"/>
                <w:noProof/>
                <w:color w:val="006100"/>
                <w:sz w:val="20"/>
                <w:szCs w:val="20"/>
                <w:lang w:val="en-IE"/>
              </w:rPr>
              <w:t>Entry into force of all public contracts for the regeneration of publicly owned brownfields for business use</w:t>
            </w:r>
            <w:r w:rsidRPr="0824AC77">
              <w:rPr>
                <w:rFonts w:eastAsia="Times New Roman"/>
                <w:noProof/>
                <w:color w:val="004300"/>
                <w:sz w:val="20"/>
                <w:szCs w:val="20"/>
                <w:lang w:val="en-IE"/>
              </w:rPr>
              <w:t xml:space="preserve">  </w:t>
            </w:r>
          </w:p>
        </w:tc>
      </w:tr>
      <w:tr w:rsidRPr="00FE48E2" w:rsidR="00E3458A" w:rsidTr="00F82987" w14:paraId="15458F16" w14:textId="77777777">
        <w:trPr>
          <w:trHeight w:val="405"/>
        </w:trPr>
        <w:tc>
          <w:tcPr>
            <w:tcW w:w="1270" w:type="dxa"/>
            <w:tcBorders>
              <w:top w:val="single" w:color="auto" w:sz="4" w:space="0"/>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F12"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183</w:t>
            </w:r>
          </w:p>
        </w:tc>
        <w:tc>
          <w:tcPr>
            <w:tcW w:w="3349"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3.2: Adaptation of School Programmes - Investment 2: Tutoring </w:t>
            </w:r>
            <w:r>
              <w:rPr>
                <w:rFonts w:eastAsia="Times New Roman"/>
                <w:noProof/>
                <w:color w:val="006100"/>
                <w:sz w:val="20"/>
                <w:szCs w:val="20"/>
                <w:lang w:val="en-IE"/>
              </w:rPr>
              <w:t>programmes</w:t>
            </w:r>
            <w:r w:rsidRPr="0824AC77">
              <w:rPr>
                <w:rFonts w:eastAsia="Times New Roman"/>
                <w:noProof/>
                <w:color w:val="006100"/>
                <w:sz w:val="20"/>
                <w:szCs w:val="20"/>
                <w:lang w:val="en-IE"/>
              </w:rPr>
              <w:t xml:space="preserve"> </w:t>
            </w:r>
          </w:p>
        </w:tc>
        <w:tc>
          <w:tcPr>
            <w:tcW w:w="2756"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Target</w:t>
            </w:r>
          </w:p>
        </w:tc>
        <w:tc>
          <w:tcPr>
            <w:tcW w:w="2910" w:type="dxa"/>
            <w:tcBorders>
              <w:top w:val="single" w:color="auto" w:sz="4" w:space="0"/>
              <w:left w:val="nil"/>
              <w:bottom w:val="single" w:color="auto" w:sz="8" w:space="0"/>
              <w:right w:val="single" w:color="auto" w:sz="8" w:space="0"/>
            </w:tcBorders>
            <w:shd w:val="clear" w:color="auto" w:fill="C6EFCE"/>
            <w:vAlign w:val="center"/>
            <w:hideMark/>
          </w:tcPr>
          <w:p w:rsidRPr="00FE48E2" w:rsidR="00D87E44" w:rsidRDefault="00D87E44" w14:paraId="15458F1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Number of  </w:t>
            </w:r>
            <w:r>
              <w:rPr>
                <w:rFonts w:eastAsia="Times New Roman"/>
                <w:noProof/>
                <w:color w:val="006100"/>
                <w:sz w:val="20"/>
                <w:szCs w:val="20"/>
                <w:lang w:val="en-IE"/>
              </w:rPr>
              <w:t>schools organising tutoring programmes</w:t>
            </w:r>
            <w:r w:rsidRPr="0824AC77">
              <w:rPr>
                <w:rFonts w:eastAsia="Times New Roman"/>
                <w:noProof/>
                <w:color w:val="006100"/>
                <w:sz w:val="20"/>
                <w:szCs w:val="20"/>
                <w:lang w:val="en-IE"/>
              </w:rPr>
              <w:t xml:space="preserve">   </w:t>
            </w:r>
          </w:p>
        </w:tc>
      </w:tr>
      <w:tr w:rsidRPr="00FE48E2" w:rsidR="00E3458A" w:rsidTr="00F82987" w14:paraId="15458F1B" w14:textId="77777777">
        <w:trPr>
          <w:trHeight w:val="600"/>
        </w:trPr>
        <w:tc>
          <w:tcPr>
            <w:tcW w:w="1270"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17"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186</w:t>
            </w:r>
          </w:p>
        </w:tc>
        <w:tc>
          <w:tcPr>
            <w:tcW w:w="3349" w:type="dxa"/>
            <w:tcBorders>
              <w:top w:val="nil"/>
              <w:left w:val="single" w:color="auto" w:sz="4" w:space="0"/>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3.3: Modernisation of Employment Services and Labour Market Development  - Reform 1: Development of labour market policies</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9"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nil"/>
              <w:right w:val="single" w:color="auto" w:sz="8" w:space="0"/>
            </w:tcBorders>
            <w:shd w:val="clear" w:color="auto" w:fill="C6EFCE"/>
            <w:vAlign w:val="center"/>
            <w:hideMark/>
          </w:tcPr>
          <w:p w:rsidRPr="00FE48E2" w:rsidR="00D87E44" w:rsidRDefault="00D87E44" w14:paraId="15458F1A"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Database of reskilling and upskilling courses</w:t>
            </w:r>
          </w:p>
        </w:tc>
      </w:tr>
      <w:tr w:rsidRPr="00FE48E2" w:rsidR="00E3458A" w:rsidTr="00F82987" w14:paraId="15458F20" w14:textId="77777777">
        <w:trPr>
          <w:trHeight w:val="600"/>
        </w:trPr>
        <w:tc>
          <w:tcPr>
            <w:tcW w:w="1270" w:type="dxa"/>
            <w:tcBorders>
              <w:top w:val="single" w:color="auto"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1C"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192</w:t>
            </w:r>
          </w:p>
        </w:tc>
        <w:tc>
          <w:tcPr>
            <w:tcW w:w="334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 3.3: Modernisation of Employment Services and Labour Market Development  - Reform 2: Ensuring sustainability of financing of childcare facilities </w:t>
            </w:r>
          </w:p>
        </w:tc>
        <w:tc>
          <w:tcPr>
            <w:tcW w:w="2756"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1E"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000000" w:themeColor="text1" w:sz="8" w:space="0"/>
              <w:left w:val="nil"/>
              <w:bottom w:val="single" w:color="auto" w:sz="8" w:space="0"/>
              <w:right w:val="single" w:color="auto" w:sz="8" w:space="0"/>
            </w:tcBorders>
            <w:shd w:val="clear" w:color="auto" w:fill="C6EFCE"/>
            <w:vAlign w:val="center"/>
            <w:hideMark/>
          </w:tcPr>
          <w:p w:rsidRPr="00FE48E2" w:rsidR="00D87E44" w:rsidRDefault="00D87E44" w14:paraId="15458F1F"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Entry into force of the law on childcare (amendment to Act No 247/2014 on the provision of childcare services in a child group) </w:t>
            </w:r>
          </w:p>
        </w:tc>
      </w:tr>
      <w:tr w:rsidRPr="00FE48E2" w:rsidR="00E3458A" w:rsidTr="00F82987" w14:paraId="15458F25" w14:textId="77777777">
        <w:trPr>
          <w:trHeight w:val="600"/>
        </w:trPr>
        <w:tc>
          <w:tcPr>
            <w:tcW w:w="1270" w:type="dxa"/>
            <w:tcBorders>
              <w:top w:val="single" w:color="auto" w:sz="8" w:space="0"/>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F21"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193</w:t>
            </w:r>
          </w:p>
        </w:tc>
        <w:tc>
          <w:tcPr>
            <w:tcW w:w="3349"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F22"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3.3: Modernisation of Employment Services and Labour Market Development  - Reform 3: Reform of long-term care</w:t>
            </w:r>
          </w:p>
        </w:tc>
        <w:tc>
          <w:tcPr>
            <w:tcW w:w="2756" w:type="dxa"/>
            <w:tcBorders>
              <w:top w:val="single" w:color="000000" w:themeColor="text1" w:sz="8" w:space="0"/>
              <w:left w:val="nil"/>
              <w:bottom w:val="single" w:color="auto" w:sz="4" w:space="0"/>
              <w:right w:val="single" w:color="000000" w:themeColor="text1" w:sz="8" w:space="0"/>
            </w:tcBorders>
            <w:shd w:val="clear" w:color="auto" w:fill="C6EFCE"/>
            <w:vAlign w:val="center"/>
            <w:hideMark/>
          </w:tcPr>
          <w:p w:rsidRPr="00FE48E2" w:rsidR="00D87E44" w:rsidRDefault="00D87E44" w14:paraId="15458F2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single" w:color="auto" w:sz="8" w:space="0"/>
              <w:left w:val="nil"/>
              <w:bottom w:val="single" w:color="auto" w:sz="4" w:space="0"/>
              <w:right w:val="single" w:color="auto" w:sz="8" w:space="0"/>
            </w:tcBorders>
            <w:shd w:val="clear" w:color="auto" w:fill="C6EFCE"/>
            <w:vAlign w:val="center"/>
            <w:hideMark/>
          </w:tcPr>
          <w:p w:rsidRPr="00FE48E2" w:rsidR="00D87E44" w:rsidRDefault="00D87E44" w14:paraId="15458F2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Entry into force of the law on long-term care</w:t>
            </w:r>
          </w:p>
        </w:tc>
      </w:tr>
      <w:tr w:rsidR="00E3458A" w:rsidTr="00F82987" w14:paraId="15458F2B" w14:textId="77777777">
        <w:trPr>
          <w:trHeight w:val="405"/>
        </w:trPr>
        <w:tc>
          <w:tcPr>
            <w:tcW w:w="1270" w:type="dxa"/>
            <w:tcBorders>
              <w:top w:val="single" w:color="auto" w:sz="4" w:space="0"/>
              <w:left w:val="single" w:color="auto" w:sz="8" w:space="0"/>
              <w:bottom w:val="single" w:color="000000" w:themeColor="text1" w:sz="8" w:space="0"/>
              <w:right w:val="single" w:color="000000" w:themeColor="text1" w:sz="8" w:space="0"/>
            </w:tcBorders>
            <w:shd w:val="clear" w:color="auto" w:fill="C6EFCE"/>
            <w:vAlign w:val="center"/>
            <w:hideMark/>
          </w:tcPr>
          <w:p w:rsidR="00D87E44" w:rsidRDefault="00D87E44" w14:paraId="15458F26" w14:textId="77777777">
            <w:pPr>
              <w:spacing w:before="0" w:after="0"/>
              <w:jc w:val="center"/>
              <w:rPr>
                <w:rFonts w:eastAsia="Times New Roman"/>
                <w:noProof/>
                <w:color w:val="006100"/>
                <w:sz w:val="20"/>
                <w:szCs w:val="20"/>
              </w:rPr>
            </w:pPr>
            <w:r w:rsidRPr="0824AC77">
              <w:rPr>
                <w:rFonts w:eastAsia="Times New Roman"/>
                <w:noProof/>
                <w:color w:val="006100"/>
                <w:sz w:val="20"/>
                <w:szCs w:val="20"/>
              </w:rPr>
              <w:t xml:space="preserve">301 </w:t>
            </w:r>
          </w:p>
        </w:tc>
        <w:tc>
          <w:tcPr>
            <w:tcW w:w="3349"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00D87E44" w:rsidRDefault="00D87E44" w14:paraId="15458F27"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C 7.1:  Renewable energy and electricity infrastructure -</w:t>
            </w:r>
            <w:r>
              <w:rPr>
                <w:rFonts w:eastAsia="Times New Roman"/>
                <w:noProof/>
                <w:color w:val="006100"/>
                <w:sz w:val="20"/>
                <w:szCs w:val="20"/>
              </w:rPr>
              <w:t xml:space="preserve"> </w:t>
            </w:r>
            <w:r w:rsidRPr="0824AC77">
              <w:rPr>
                <w:rFonts w:eastAsia="Times New Roman"/>
                <w:noProof/>
                <w:color w:val="006100"/>
                <w:sz w:val="20"/>
                <w:szCs w:val="20"/>
              </w:rPr>
              <w:t>Reform 1: Simplifying permitting procedures for renewables</w:t>
            </w:r>
          </w:p>
        </w:tc>
        <w:tc>
          <w:tcPr>
            <w:tcW w:w="2756"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00D87E44" w:rsidRDefault="00D87E44" w14:paraId="15458F28"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Milestone </w:t>
            </w:r>
          </w:p>
        </w:tc>
        <w:tc>
          <w:tcPr>
            <w:tcW w:w="2910" w:type="dxa"/>
            <w:tcBorders>
              <w:top w:val="single" w:color="auto" w:sz="4" w:space="0"/>
              <w:left w:val="nil"/>
              <w:bottom w:val="single" w:color="000000" w:themeColor="text1" w:sz="8" w:space="0"/>
              <w:right w:val="single" w:color="auto" w:sz="8" w:space="0"/>
            </w:tcBorders>
            <w:shd w:val="clear" w:color="auto" w:fill="C6EFCE"/>
            <w:vAlign w:val="center"/>
            <w:hideMark/>
          </w:tcPr>
          <w:p w:rsidR="00D87E44" w:rsidRDefault="00D87E44" w14:paraId="15458F29" w14:textId="77777777">
            <w:pPr>
              <w:spacing w:before="0" w:after="0"/>
              <w:jc w:val="center"/>
              <w:rPr>
                <w:rFonts w:eastAsia="Times New Roman"/>
                <w:noProof/>
                <w:color w:val="006100"/>
                <w:sz w:val="20"/>
                <w:szCs w:val="20"/>
              </w:rPr>
            </w:pPr>
            <w:r w:rsidRPr="0824AC77">
              <w:rPr>
                <w:rFonts w:eastAsia="Times New Roman"/>
                <w:noProof/>
                <w:color w:val="006100"/>
                <w:sz w:val="20"/>
                <w:szCs w:val="20"/>
              </w:rPr>
              <w:t>Entry into force of the amended legislation</w:t>
            </w:r>
          </w:p>
          <w:p w:rsidR="00D87E44" w:rsidRDefault="00D87E44" w14:paraId="15458F2A" w14:textId="77777777">
            <w:pPr>
              <w:spacing w:before="0" w:after="0"/>
              <w:rPr>
                <w:rFonts w:eastAsia="Times New Roman"/>
                <w:noProof/>
                <w:color w:val="006100"/>
                <w:sz w:val="20"/>
                <w:szCs w:val="20"/>
              </w:rPr>
            </w:pPr>
          </w:p>
        </w:tc>
      </w:tr>
      <w:tr w:rsidR="00E3458A" w:rsidTr="00F82987" w14:paraId="15458F32" w14:textId="77777777">
        <w:trPr>
          <w:trHeight w:val="405"/>
        </w:trPr>
        <w:tc>
          <w:tcPr>
            <w:tcW w:w="1270" w:type="dxa"/>
            <w:tcBorders>
              <w:top w:val="single" w:color="000000" w:themeColor="text1" w:sz="4" w:space="0"/>
              <w:left w:val="single" w:color="auto" w:sz="8" w:space="0"/>
              <w:bottom w:val="single" w:color="auto" w:sz="8" w:space="0"/>
              <w:right w:val="single" w:color="000000" w:themeColor="text1" w:sz="8" w:space="0"/>
            </w:tcBorders>
            <w:shd w:val="clear" w:color="auto" w:fill="C6EFCE"/>
            <w:vAlign w:val="center"/>
            <w:hideMark/>
          </w:tcPr>
          <w:p w:rsidR="00D87E44" w:rsidRDefault="00D87E44" w14:paraId="15458F2C"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340 </w:t>
            </w:r>
          </w:p>
        </w:tc>
        <w:tc>
          <w:tcPr>
            <w:tcW w:w="3349" w:type="dxa"/>
            <w:tcBorders>
              <w:top w:val="single" w:color="000000" w:themeColor="text1" w:sz="4" w:space="0"/>
              <w:left w:val="nil"/>
              <w:bottom w:val="single" w:color="auto" w:sz="8" w:space="0"/>
              <w:right w:val="single" w:color="000000" w:themeColor="text1" w:sz="8" w:space="0"/>
            </w:tcBorders>
            <w:shd w:val="clear" w:color="auto" w:fill="C6EFCE"/>
            <w:vAlign w:val="center"/>
            <w:hideMark/>
          </w:tcPr>
          <w:p w:rsidR="00D87E44" w:rsidRDefault="00D87E44" w14:paraId="15458F2D"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C 7.7 Simplifying environmental permitting processes and defining areas for the development of renewable energy sources</w:t>
            </w:r>
            <w:r>
              <w:rPr>
                <w:rFonts w:eastAsia="Times New Roman"/>
                <w:noProof/>
                <w:color w:val="006100"/>
                <w:sz w:val="20"/>
                <w:szCs w:val="20"/>
              </w:rPr>
              <w:t xml:space="preserve"> - </w:t>
            </w:r>
          </w:p>
          <w:p w:rsidR="00D87E44" w:rsidRDefault="00D87E44" w14:paraId="15458F2E"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Reform 1: </w:t>
            </w:r>
          </w:p>
          <w:p w:rsidR="00D87E44" w:rsidRDefault="00D87E44" w14:paraId="15458F2F"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Single Environmental Opinion   </w:t>
            </w:r>
          </w:p>
        </w:tc>
        <w:tc>
          <w:tcPr>
            <w:tcW w:w="2756" w:type="dxa"/>
            <w:tcBorders>
              <w:top w:val="single" w:color="000000" w:themeColor="text1" w:sz="4" w:space="0"/>
              <w:left w:val="nil"/>
              <w:bottom w:val="single" w:color="auto" w:sz="8" w:space="0"/>
              <w:right w:val="single" w:color="000000" w:themeColor="text1" w:sz="8" w:space="0"/>
            </w:tcBorders>
            <w:shd w:val="clear" w:color="auto" w:fill="C6EFCE"/>
            <w:vAlign w:val="center"/>
            <w:hideMark/>
          </w:tcPr>
          <w:p w:rsidR="00D87E44" w:rsidRDefault="00D87E44" w14:paraId="15458F30"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Milestone  </w:t>
            </w:r>
          </w:p>
        </w:tc>
        <w:tc>
          <w:tcPr>
            <w:tcW w:w="2910" w:type="dxa"/>
            <w:tcBorders>
              <w:top w:val="single" w:color="000000" w:themeColor="text1" w:sz="4" w:space="0"/>
              <w:left w:val="nil"/>
              <w:bottom w:val="single" w:color="auto" w:sz="8" w:space="0"/>
              <w:right w:val="single" w:color="auto" w:sz="8" w:space="0"/>
            </w:tcBorders>
            <w:shd w:val="clear" w:color="auto" w:fill="C6EFCE"/>
            <w:vAlign w:val="center"/>
            <w:hideMark/>
          </w:tcPr>
          <w:p w:rsidR="00D87E44" w:rsidRDefault="00D87E44" w14:paraId="15458F31"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Entry into Force of the Single Environmental Opinion </w:t>
            </w:r>
          </w:p>
        </w:tc>
      </w:tr>
      <w:tr w:rsidR="00E3458A" w:rsidTr="00F82987" w14:paraId="15458F37" w14:textId="77777777">
        <w:trPr>
          <w:trHeight w:val="405"/>
        </w:trPr>
        <w:tc>
          <w:tcPr>
            <w:tcW w:w="1270" w:type="dxa"/>
            <w:tcBorders>
              <w:top w:val="nil"/>
              <w:left w:val="single" w:color="auto" w:sz="8" w:space="0"/>
              <w:bottom w:val="single" w:color="auto" w:sz="8" w:space="0"/>
              <w:right w:val="single" w:color="000000" w:themeColor="text1" w:sz="8" w:space="0"/>
            </w:tcBorders>
            <w:shd w:val="clear" w:color="auto" w:fill="C6EFCE"/>
            <w:vAlign w:val="center"/>
            <w:hideMark/>
          </w:tcPr>
          <w:p w:rsidR="00D87E44" w:rsidRDefault="00D87E44" w14:paraId="15458F33" w14:textId="77777777">
            <w:pPr>
              <w:spacing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284</w:t>
            </w:r>
          </w:p>
        </w:tc>
        <w:tc>
          <w:tcPr>
            <w:tcW w:w="3349" w:type="dxa"/>
            <w:tcBorders>
              <w:top w:val="nil"/>
              <w:left w:val="nil"/>
              <w:bottom w:val="single" w:color="auto" w:sz="8" w:space="0"/>
              <w:right w:val="single" w:color="000000" w:themeColor="text1" w:sz="8" w:space="0"/>
            </w:tcBorders>
            <w:shd w:val="clear" w:color="auto" w:fill="C6EFCE"/>
            <w:vAlign w:val="center"/>
            <w:hideMark/>
          </w:tcPr>
          <w:p w:rsidR="00D87E44" w:rsidRDefault="00D87E44" w14:paraId="15458F3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 xml:space="preserve">C4.1: </w:t>
            </w:r>
            <w:r w:rsidRPr="0824AC77">
              <w:rPr>
                <w:rFonts w:eastAsia="Times New Roman"/>
                <w:noProof/>
                <w:color w:val="006100"/>
                <w:sz w:val="20"/>
                <w:szCs w:val="20"/>
                <w:lang w:val="en-IE"/>
              </w:rPr>
              <w:t>Systemic support for public investment</w:t>
            </w:r>
            <w:r>
              <w:rPr>
                <w:rFonts w:eastAsia="Times New Roman"/>
                <w:noProof/>
                <w:color w:val="006100"/>
                <w:sz w:val="20"/>
                <w:szCs w:val="20"/>
                <w:lang w:val="en-IE"/>
              </w:rPr>
              <w:t xml:space="preserve"> </w:t>
            </w:r>
            <w:r w:rsidRPr="0824AC77">
              <w:rPr>
                <w:rFonts w:eastAsia="Times New Roman"/>
                <w:noProof/>
                <w:color w:val="006100"/>
                <w:sz w:val="20"/>
                <w:szCs w:val="20"/>
                <w:lang w:val="en-IE"/>
              </w:rPr>
              <w:t>- Reform 4: The increase of effectiveness and enhancing the implementation of the Recovery and Resilience Plan</w:t>
            </w:r>
          </w:p>
        </w:tc>
        <w:tc>
          <w:tcPr>
            <w:tcW w:w="2756" w:type="dxa"/>
            <w:tcBorders>
              <w:top w:val="nil"/>
              <w:left w:val="nil"/>
              <w:bottom w:val="single" w:color="auto" w:sz="8" w:space="0"/>
              <w:right w:val="single" w:color="000000" w:themeColor="text1" w:sz="8" w:space="0"/>
            </w:tcBorders>
            <w:shd w:val="clear" w:color="auto" w:fill="C6EFCE"/>
            <w:vAlign w:val="center"/>
            <w:hideMark/>
          </w:tcPr>
          <w:p w:rsidR="00D87E44" w:rsidRDefault="00D87E44" w14:paraId="15458F3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auto" w:sz="8" w:space="0"/>
              <w:right w:val="single" w:color="auto" w:sz="8" w:space="0"/>
            </w:tcBorders>
            <w:shd w:val="clear" w:color="auto" w:fill="C6EFCE"/>
            <w:vAlign w:val="center"/>
            <w:hideMark/>
          </w:tcPr>
          <w:p w:rsidR="00D87E44" w:rsidRDefault="00D87E44" w14:paraId="15458F36" w14:textId="77777777">
            <w:pPr>
              <w:spacing w:before="0" w:after="0" w:line="240" w:lineRule="auto"/>
              <w:rPr>
                <w:rFonts w:eastAsia="Times New Roman"/>
                <w:noProof/>
                <w:color w:val="006100"/>
                <w:sz w:val="20"/>
                <w:szCs w:val="20"/>
                <w:lang w:val="en-IE"/>
              </w:rPr>
            </w:pPr>
            <w:r w:rsidRPr="0824AC77">
              <w:rPr>
                <w:rFonts w:eastAsia="Times New Roman"/>
                <w:noProof/>
                <w:color w:val="006100"/>
                <w:sz w:val="20"/>
                <w:szCs w:val="20"/>
                <w:lang w:val="en-IE"/>
              </w:rPr>
              <w:t>Approval of a government resolution on increasing the administrative capacity for the implementation of the National Recovery and Resilience Plan (systematisation decision) and approval of the related budget</w:t>
            </w:r>
          </w:p>
        </w:tc>
      </w:tr>
      <w:tr w:rsidR="00E3458A" w:rsidTr="00F82987" w14:paraId="15458F3E" w14:textId="77777777">
        <w:trPr>
          <w:trHeight w:val="405"/>
        </w:trPr>
        <w:tc>
          <w:tcPr>
            <w:tcW w:w="1270" w:type="dxa"/>
            <w:tcBorders>
              <w:top w:val="nil"/>
              <w:left w:val="single" w:color="auto" w:sz="8" w:space="0"/>
              <w:bottom w:val="single" w:color="auto" w:sz="8" w:space="0"/>
              <w:right w:val="single" w:color="000000" w:themeColor="text1" w:sz="8" w:space="0"/>
            </w:tcBorders>
            <w:shd w:val="clear" w:color="auto" w:fill="C6EFCE"/>
            <w:vAlign w:val="center"/>
            <w:hideMark/>
          </w:tcPr>
          <w:p w:rsidR="00D87E44" w:rsidRDefault="00D87E44" w14:paraId="15458F38"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285 </w:t>
            </w:r>
          </w:p>
        </w:tc>
        <w:tc>
          <w:tcPr>
            <w:tcW w:w="3349" w:type="dxa"/>
            <w:tcBorders>
              <w:top w:val="nil"/>
              <w:left w:val="nil"/>
              <w:bottom w:val="single" w:color="auto" w:sz="8" w:space="0"/>
              <w:right w:val="single" w:color="000000" w:themeColor="text1" w:sz="8" w:space="0"/>
            </w:tcBorders>
            <w:shd w:val="clear" w:color="auto" w:fill="C6EFCE"/>
            <w:vAlign w:val="center"/>
            <w:hideMark/>
          </w:tcPr>
          <w:p w:rsidR="00D87E44" w:rsidRDefault="00D87E44" w14:paraId="15458F39"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C 4.1: Systemic support for public investment-</w:t>
            </w:r>
          </w:p>
          <w:p w:rsidR="00D87E44" w:rsidRDefault="00D87E44" w14:paraId="15458F3A"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Reform 4:  </w:t>
            </w:r>
          </w:p>
          <w:p w:rsidR="00D87E44" w:rsidRDefault="00D87E44" w14:paraId="15458F3B"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The increase of effectiveness and enhancing the implementation of the Recovery and Resilience Plan </w:t>
            </w:r>
          </w:p>
        </w:tc>
        <w:tc>
          <w:tcPr>
            <w:tcW w:w="2756" w:type="dxa"/>
            <w:tcBorders>
              <w:top w:val="nil"/>
              <w:left w:val="nil"/>
              <w:bottom w:val="single" w:color="auto" w:sz="8" w:space="0"/>
              <w:right w:val="single" w:color="000000" w:themeColor="text1" w:sz="8" w:space="0"/>
            </w:tcBorders>
            <w:shd w:val="clear" w:color="auto" w:fill="C6EFCE"/>
            <w:vAlign w:val="center"/>
            <w:hideMark/>
          </w:tcPr>
          <w:p w:rsidR="00D87E44" w:rsidRDefault="00D87E44" w14:paraId="15458F3C"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Target </w:t>
            </w:r>
          </w:p>
        </w:tc>
        <w:tc>
          <w:tcPr>
            <w:tcW w:w="2910" w:type="dxa"/>
            <w:tcBorders>
              <w:top w:val="nil"/>
              <w:left w:val="nil"/>
              <w:bottom w:val="single" w:color="auto" w:sz="8" w:space="0"/>
              <w:right w:val="single" w:color="auto" w:sz="8" w:space="0"/>
            </w:tcBorders>
            <w:shd w:val="clear" w:color="auto" w:fill="C6EFCE"/>
            <w:vAlign w:val="center"/>
            <w:hideMark/>
          </w:tcPr>
          <w:p w:rsidR="00D87E44" w:rsidRDefault="00D87E44" w14:paraId="15458F3D"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Increasing the number of people working on the Recovery and Resilience Plan by 2023</w:t>
            </w:r>
          </w:p>
        </w:tc>
      </w:tr>
      <w:tr w:rsidR="00E3458A" w:rsidTr="00F82987" w14:paraId="15458F43" w14:textId="77777777">
        <w:trPr>
          <w:trHeight w:val="405"/>
        </w:trPr>
        <w:tc>
          <w:tcPr>
            <w:tcW w:w="1270" w:type="dxa"/>
            <w:tcBorders>
              <w:top w:val="nil"/>
              <w:left w:val="single" w:color="auto" w:sz="8" w:space="0"/>
              <w:bottom w:val="single" w:color="auto" w:sz="8" w:space="0"/>
              <w:right w:val="single" w:color="000000" w:themeColor="text1" w:sz="8" w:space="0"/>
            </w:tcBorders>
            <w:shd w:val="clear" w:color="auto" w:fill="C6EFCE"/>
            <w:vAlign w:val="center"/>
          </w:tcPr>
          <w:p w:rsidRPr="2716B483" w:rsidR="00D87E44" w:rsidRDefault="00D87E44" w14:paraId="15458F3F"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280</w:t>
            </w:r>
          </w:p>
        </w:tc>
        <w:tc>
          <w:tcPr>
            <w:tcW w:w="3349" w:type="dxa"/>
            <w:tcBorders>
              <w:top w:val="nil"/>
              <w:left w:val="nil"/>
              <w:bottom w:val="single" w:color="auto" w:sz="8" w:space="0"/>
              <w:right w:val="single" w:color="000000" w:themeColor="text1" w:sz="8" w:space="0"/>
            </w:tcBorders>
            <w:shd w:val="clear" w:color="auto" w:fill="C6EFCE"/>
            <w:vAlign w:val="center"/>
          </w:tcPr>
          <w:p w:rsidRPr="2716B483" w:rsidR="00D87E44" w:rsidRDefault="00D87E44" w14:paraId="15458F40"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C 4.1: Systemic support for public investment-Reform 1:  Methodological support for the </w:t>
            </w:r>
            <w:r w:rsidRPr="0824AC77">
              <w:rPr>
                <w:rFonts w:eastAsia="Times New Roman"/>
                <w:noProof/>
                <w:color w:val="006100"/>
                <w:sz w:val="20"/>
                <w:szCs w:val="20"/>
              </w:rPr>
              <w:lastRenderedPageBreak/>
              <w:t>preparation of projects in line with the EU objectives</w:t>
            </w:r>
          </w:p>
        </w:tc>
        <w:tc>
          <w:tcPr>
            <w:tcW w:w="2756" w:type="dxa"/>
            <w:tcBorders>
              <w:top w:val="nil"/>
              <w:left w:val="nil"/>
              <w:bottom w:val="single" w:color="auto" w:sz="8" w:space="0"/>
              <w:right w:val="single" w:color="000000" w:themeColor="text1" w:sz="8" w:space="0"/>
            </w:tcBorders>
            <w:shd w:val="clear" w:color="auto" w:fill="C6EFCE"/>
            <w:vAlign w:val="center"/>
          </w:tcPr>
          <w:p w:rsidRPr="2716B483" w:rsidR="00D87E44" w:rsidRDefault="00D87E44" w14:paraId="15458F41"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lastRenderedPageBreak/>
              <w:t>Milestone</w:t>
            </w:r>
          </w:p>
        </w:tc>
        <w:tc>
          <w:tcPr>
            <w:tcW w:w="2910" w:type="dxa"/>
            <w:tcBorders>
              <w:top w:val="nil"/>
              <w:left w:val="nil"/>
              <w:bottom w:val="single" w:color="auto" w:sz="8" w:space="0"/>
              <w:right w:val="single" w:color="auto" w:sz="8" w:space="0"/>
            </w:tcBorders>
            <w:shd w:val="clear" w:color="auto" w:fill="C6EFCE"/>
            <w:vAlign w:val="center"/>
          </w:tcPr>
          <w:p w:rsidRPr="2716B483" w:rsidR="00D87E44" w:rsidRDefault="00D87E44" w14:paraId="15458F42"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Establishment of the Coordination and Competence </w:t>
            </w:r>
            <w:r w:rsidRPr="0824AC77">
              <w:rPr>
                <w:rFonts w:eastAsia="Times New Roman"/>
                <w:noProof/>
                <w:color w:val="006100"/>
                <w:sz w:val="20"/>
                <w:szCs w:val="20"/>
              </w:rPr>
              <w:lastRenderedPageBreak/>
              <w:t>Centre and adoption of its management plan</w:t>
            </w:r>
          </w:p>
        </w:tc>
      </w:tr>
      <w:tr w:rsidRPr="00FE48E2" w:rsidR="00E3458A" w:rsidTr="00F82987" w14:paraId="15458F48" w14:textId="77777777">
        <w:trPr>
          <w:trHeight w:val="405"/>
        </w:trPr>
        <w:tc>
          <w:tcPr>
            <w:tcW w:w="1270"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44"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lastRenderedPageBreak/>
              <w:t>205</w:t>
            </w:r>
          </w:p>
        </w:tc>
        <w:tc>
          <w:tcPr>
            <w:tcW w:w="3349"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F45"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C 4.3: Anti-Corruption Reforms - Reform 3: Collection and analysis of data on corruption</w:t>
            </w:r>
          </w:p>
        </w:tc>
        <w:tc>
          <w:tcPr>
            <w:tcW w:w="2756"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F46"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Milestone</w:t>
            </w:r>
          </w:p>
        </w:tc>
        <w:tc>
          <w:tcPr>
            <w:tcW w:w="2910"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F47" w14:textId="77777777">
            <w:pPr>
              <w:spacing w:before="0" w:after="0" w:line="240" w:lineRule="auto"/>
              <w:jc w:val="center"/>
              <w:rPr>
                <w:rFonts w:eastAsia="Times New Roman"/>
                <w:noProof/>
                <w:color w:val="004300"/>
                <w:sz w:val="20"/>
                <w:szCs w:val="20"/>
                <w:lang w:val="en-IE"/>
              </w:rPr>
            </w:pPr>
            <w:r w:rsidRPr="009B2E60">
              <w:rPr>
                <w:rFonts w:eastAsia="Times New Roman"/>
                <w:noProof/>
                <w:color w:val="006100"/>
                <w:sz w:val="20"/>
                <w:szCs w:val="20"/>
              </w:rPr>
              <w:t>Creation of methodology for measuring of corruption in the Czech Republic</w:t>
            </w:r>
          </w:p>
        </w:tc>
      </w:tr>
      <w:tr w:rsidRPr="00FE48E2" w:rsidR="00D226F4" w:rsidTr="00F82987" w14:paraId="15458F4D" w14:textId="77777777">
        <w:trPr>
          <w:trHeight w:val="543"/>
        </w:trPr>
        <w:tc>
          <w:tcPr>
            <w:tcW w:w="1270"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49" w14:textId="77777777">
            <w:pPr>
              <w:spacing w:before="0" w:after="0" w:line="240" w:lineRule="auto"/>
              <w:jc w:val="center"/>
              <w:rPr>
                <w:rFonts w:eastAsia="Times New Roman"/>
                <w:noProof/>
                <w:color w:val="004300"/>
                <w:sz w:val="20"/>
                <w:szCs w:val="20"/>
                <w:lang w:val="en-IE"/>
              </w:rPr>
            </w:pPr>
            <w:r w:rsidRPr="00FE48E2">
              <w:rPr>
                <w:rFonts w:eastAsia="Times New Roman"/>
                <w:noProof/>
                <w:color w:val="004300"/>
                <w:sz w:val="20"/>
                <w:szCs w:val="20"/>
                <w:lang w:val="en-IE"/>
              </w:rPr>
              <w:t xml:space="preserve"> </w:t>
            </w:r>
          </w:p>
        </w:tc>
        <w:tc>
          <w:tcPr>
            <w:tcW w:w="3349"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F4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 </w:t>
            </w:r>
          </w:p>
        </w:tc>
        <w:tc>
          <w:tcPr>
            <w:tcW w:w="2756" w:type="dxa"/>
            <w:tcBorders>
              <w:top w:val="nil"/>
              <w:left w:val="nil"/>
              <w:bottom w:val="single" w:color="auto" w:sz="8" w:space="0"/>
              <w:right w:val="single" w:color="000000" w:themeColor="text1" w:sz="8" w:space="0"/>
            </w:tcBorders>
            <w:shd w:val="clear" w:color="auto" w:fill="C6EFCE"/>
            <w:vAlign w:val="center"/>
            <w:hideMark/>
          </w:tcPr>
          <w:p w:rsidRPr="00FE48E2" w:rsidR="00D87E44" w:rsidRDefault="00D87E44" w14:paraId="15458F4B"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Instalment Amount</w:t>
            </w:r>
          </w:p>
        </w:tc>
        <w:tc>
          <w:tcPr>
            <w:tcW w:w="2910"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F4C" w14:textId="77777777">
            <w:pPr>
              <w:spacing w:before="0" w:after="0" w:line="240" w:lineRule="auto"/>
              <w:jc w:val="center"/>
              <w:rPr>
                <w:rFonts w:eastAsia="Times New Roman"/>
                <w:b/>
                <w:bCs/>
                <w:noProof/>
                <w:color w:val="006100"/>
                <w:sz w:val="20"/>
                <w:szCs w:val="20"/>
                <w:lang w:val="en-IE"/>
              </w:rPr>
            </w:pPr>
            <w:r w:rsidRPr="0824AC77">
              <w:rPr>
                <w:rFonts w:eastAsia="Times New Roman"/>
                <w:b/>
                <w:bCs/>
                <w:noProof/>
                <w:color w:val="006100"/>
                <w:sz w:val="20"/>
                <w:szCs w:val="20"/>
                <w:lang w:val="en-IE"/>
              </w:rPr>
              <w:t>EUR</w:t>
            </w:r>
            <w:r>
              <w:rPr>
                <w:rFonts w:eastAsia="Times New Roman"/>
                <w:b/>
                <w:bCs/>
                <w:noProof/>
                <w:color w:val="006100"/>
                <w:sz w:val="20"/>
                <w:szCs w:val="20"/>
                <w:lang w:val="en-IE"/>
              </w:rPr>
              <w:t xml:space="preserve"> </w:t>
            </w:r>
            <w:r w:rsidRPr="0824AC77">
              <w:rPr>
                <w:rFonts w:eastAsia="Times New Roman"/>
                <w:b/>
                <w:bCs/>
                <w:noProof/>
                <w:color w:val="006100"/>
                <w:sz w:val="20"/>
                <w:szCs w:val="20"/>
                <w:lang w:val="en-IE"/>
              </w:rPr>
              <w:t>1</w:t>
            </w:r>
            <w:r>
              <w:rPr>
                <w:rFonts w:eastAsia="Times New Roman"/>
                <w:noProof/>
                <w:color w:val="006100"/>
                <w:sz w:val="20"/>
                <w:szCs w:val="20"/>
                <w:lang w:val="en-IE" w:eastAsia="en-GB"/>
              </w:rPr>
              <w:t> </w:t>
            </w:r>
            <w:r w:rsidRPr="0824AC77">
              <w:rPr>
                <w:rFonts w:eastAsia="Times New Roman"/>
                <w:b/>
                <w:bCs/>
                <w:noProof/>
                <w:color w:val="006100"/>
                <w:sz w:val="20"/>
                <w:szCs w:val="20"/>
                <w:lang w:val="en-IE"/>
              </w:rPr>
              <w:t>268</w:t>
            </w:r>
            <w:r>
              <w:rPr>
                <w:rFonts w:eastAsia="Times New Roman"/>
                <w:noProof/>
                <w:color w:val="006100"/>
                <w:sz w:val="20"/>
                <w:szCs w:val="20"/>
                <w:lang w:val="en-IE" w:eastAsia="en-GB"/>
              </w:rPr>
              <w:t> </w:t>
            </w:r>
            <w:r w:rsidRPr="0824AC77">
              <w:rPr>
                <w:rFonts w:eastAsia="Times New Roman"/>
                <w:b/>
                <w:bCs/>
                <w:noProof/>
                <w:color w:val="006100"/>
                <w:sz w:val="20"/>
                <w:szCs w:val="20"/>
                <w:lang w:val="en-IE"/>
              </w:rPr>
              <w:t>379</w:t>
            </w:r>
            <w:r>
              <w:rPr>
                <w:rFonts w:eastAsia="Times New Roman"/>
                <w:noProof/>
                <w:color w:val="006100"/>
                <w:sz w:val="20"/>
                <w:szCs w:val="20"/>
                <w:lang w:val="en-IE" w:eastAsia="en-GB"/>
              </w:rPr>
              <w:t> </w:t>
            </w:r>
            <w:r w:rsidRPr="0824AC77">
              <w:rPr>
                <w:rFonts w:eastAsia="Times New Roman"/>
                <w:b/>
                <w:bCs/>
                <w:noProof/>
                <w:color w:val="006100"/>
                <w:sz w:val="20"/>
                <w:szCs w:val="20"/>
                <w:lang w:val="en-IE"/>
              </w:rPr>
              <w:t>005</w:t>
            </w:r>
          </w:p>
        </w:tc>
      </w:tr>
    </w:tbl>
    <w:p w:rsidR="00D87E44" w:rsidP="00D226F4" w:rsidRDefault="00D87E44" w14:paraId="15458F4E" w14:textId="77777777">
      <w:pPr>
        <w:spacing w:line="240" w:lineRule="auto"/>
        <w:jc w:val="both"/>
        <w:rPr>
          <w:noProof/>
          <w:lang w:val="en-IE"/>
        </w:rPr>
        <w:sectPr w:rsidR="00C16C1F" w:rsidSect="00D226F4">
          <w:headerReference w:type="even" r:id="R64b9a481d14c4894"/>
          <w:headerReference w:type="default" r:id="Rb22111a2d87e4ac1"/>
          <w:footerReference w:type="even" r:id="Rb34696e049bb4001"/>
          <w:footerReference w:type="default" r:id="Raee7179b254b4c3e"/>
          <w:headerReference w:type="first" r:id="R9ae07f021c6944ca"/>
          <w:footerReference w:type="first" r:id="R3b79d5f051fd4445"/>
          <w:pgSz w:w="11907" w:h="16839"/>
          <w:pgMar w:top="1134" w:right="1134" w:bottom="1134" w:left="1134" w:header="567" w:footer="567" w:gutter="0"/>
          <w:cols w:space="720"/>
          <w:docGrid w:linePitch="360"/>
        </w:sectPr>
      </w:pPr>
    </w:p>
    <w:p w:rsidRPr="00FE48E2" w:rsidR="00D87E44" w:rsidP="00D226F4" w:rsidRDefault="00D87E44" w14:paraId="15458F4F" w14:textId="77777777">
      <w:pPr>
        <w:numPr>
          <w:ilvl w:val="1"/>
          <w:numId w:val="89"/>
        </w:numPr>
        <w:spacing w:line="240" w:lineRule="auto"/>
        <w:jc w:val="both"/>
        <w:rPr>
          <w:noProof/>
          <w:lang w:val="en-IE"/>
        </w:rPr>
      </w:pPr>
      <w:r w:rsidRPr="00FE48E2">
        <w:rPr>
          <w:noProof/>
          <w:lang w:val="en-IE"/>
        </w:rPr>
        <w:lastRenderedPageBreak/>
        <w:t xml:space="preserve">Fifth Instalment (non-repayable support): </w:t>
      </w:r>
    </w:p>
    <w:tbl>
      <w:tblPr>
        <w:tblW w:w="10490" w:type="dxa"/>
        <w:tblInd w:w="-601" w:type="dxa"/>
        <w:tblLook w:val="04A0" w:firstRow="1" w:lastRow="0" w:firstColumn="1" w:lastColumn="0" w:noHBand="0" w:noVBand="1"/>
      </w:tblPr>
      <w:tblGrid>
        <w:gridCol w:w="1297"/>
        <w:gridCol w:w="3959"/>
        <w:gridCol w:w="1840"/>
        <w:gridCol w:w="3394"/>
      </w:tblGrid>
      <w:tr w:rsidRPr="00FE48E2" w:rsidR="00E3458A" w:rsidTr="00F82987" w14:paraId="15458F54" w14:textId="77777777">
        <w:trPr>
          <w:trHeight w:val="825"/>
          <w:tblHeader/>
        </w:trPr>
        <w:tc>
          <w:tcPr>
            <w:tcW w:w="1276" w:type="dxa"/>
            <w:tcBorders>
              <w:top w:val="single" w:color="auto" w:sz="8" w:space="0"/>
              <w:left w:val="single" w:color="auto" w:sz="8" w:space="0"/>
              <w:bottom w:val="single" w:color="auto" w:sz="4" w:space="0"/>
              <w:right w:val="single" w:color="auto" w:sz="8" w:space="0"/>
            </w:tcBorders>
            <w:shd w:val="clear" w:color="auto" w:fill="BDD7EE"/>
            <w:vAlign w:val="center"/>
            <w:hideMark/>
          </w:tcPr>
          <w:p w:rsidRPr="00FE48E2" w:rsidR="00D87E44" w:rsidRDefault="00D87E44" w14:paraId="15458F50" w14:textId="77777777">
            <w:pPr>
              <w:spacing w:before="0" w:after="0" w:line="240" w:lineRule="auto"/>
              <w:jc w:val="center"/>
              <w:rPr>
                <w:b/>
                <w:color w:val="000000"/>
                <w:lang w:val="en-IE"/>
              </w:rPr>
            </w:pPr>
            <w:r w:rsidRPr="00FF1320">
              <w:rPr>
                <w:b/>
                <w:color w:val="000000"/>
                <w:lang w:val="en-IE"/>
              </w:rPr>
              <w:t>Sequential Number</w:t>
            </w:r>
          </w:p>
        </w:tc>
        <w:tc>
          <w:tcPr>
            <w:tcW w:w="3969"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F51" w14:textId="77777777">
            <w:pPr>
              <w:spacing w:before="0" w:after="0" w:line="240" w:lineRule="auto"/>
              <w:jc w:val="center"/>
              <w:rPr>
                <w:b/>
                <w:color w:val="000000"/>
                <w:lang w:val="en-IE"/>
              </w:rPr>
            </w:pPr>
            <w:r w:rsidRPr="00FF1320">
              <w:rPr>
                <w:b/>
                <w:color w:val="000000"/>
                <w:lang w:val="en-IE"/>
              </w:rPr>
              <w:t>Related Measure (Reform or Investment)</w:t>
            </w:r>
          </w:p>
        </w:tc>
        <w:tc>
          <w:tcPr>
            <w:tcW w:w="1843"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F52" w14:textId="77777777">
            <w:pPr>
              <w:spacing w:before="0" w:after="0" w:line="240" w:lineRule="auto"/>
              <w:jc w:val="center"/>
              <w:rPr>
                <w:b/>
                <w:color w:val="000000"/>
                <w:lang w:val="en-IE"/>
              </w:rPr>
            </w:pPr>
            <w:r w:rsidRPr="00FF1320">
              <w:rPr>
                <w:b/>
                <w:color w:val="000000"/>
                <w:lang w:val="en-IE"/>
              </w:rPr>
              <w:t>Milestone / Target</w:t>
            </w:r>
          </w:p>
        </w:tc>
        <w:tc>
          <w:tcPr>
            <w:tcW w:w="3402" w:type="dxa"/>
            <w:tcBorders>
              <w:top w:val="single" w:color="auto" w:sz="8" w:space="0"/>
              <w:left w:val="nil"/>
              <w:bottom w:val="single" w:color="auto" w:sz="4" w:space="0"/>
              <w:right w:val="single" w:color="auto" w:sz="8" w:space="0"/>
            </w:tcBorders>
            <w:shd w:val="clear" w:color="auto" w:fill="BDD7EE"/>
            <w:vAlign w:val="center"/>
            <w:hideMark/>
          </w:tcPr>
          <w:p w:rsidRPr="00FE48E2" w:rsidR="00D87E44" w:rsidRDefault="00D87E44" w14:paraId="15458F53" w14:textId="77777777">
            <w:pPr>
              <w:spacing w:before="0" w:after="0" w:line="240" w:lineRule="auto"/>
              <w:jc w:val="center"/>
              <w:rPr>
                <w:b/>
                <w:color w:val="000000"/>
                <w:lang w:val="en-IE"/>
              </w:rPr>
            </w:pPr>
            <w:r w:rsidRPr="00FF1320">
              <w:rPr>
                <w:b/>
                <w:color w:val="000000"/>
                <w:lang w:val="en-IE"/>
              </w:rPr>
              <w:t>Name</w:t>
            </w:r>
          </w:p>
        </w:tc>
      </w:tr>
      <w:tr w:rsidRPr="00FE48E2" w:rsidR="00E3458A" w:rsidTr="00F82987" w14:paraId="15458F59" w14:textId="77777777">
        <w:trPr>
          <w:trHeight w:val="99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55"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143</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5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2.6: Nature Protection and Adaptation to Climate Change  - Investment 5: Water retention in forest</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4F1648" w:rsidR="00D87E44" w:rsidRDefault="00D87E44" w14:paraId="15458F57" w14:textId="77777777">
            <w:pPr>
              <w:spacing w:before="0" w:after="0" w:line="240" w:lineRule="auto"/>
              <w:jc w:val="center"/>
              <w:rPr>
                <w:rFonts w:eastAsia="Times New Roman"/>
                <w:noProof/>
                <w:color w:val="006100"/>
                <w:sz w:val="20"/>
                <w:szCs w:val="20"/>
                <w:lang w:val="en-IE"/>
              </w:rPr>
            </w:pPr>
            <w:r w:rsidRPr="004F1648">
              <w:rPr>
                <w:noProof/>
                <w:color w:val="006100"/>
                <w:sz w:val="18"/>
                <w:szCs w:val="18"/>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DF2196" w:rsidR="00D87E44" w:rsidRDefault="00D87E44" w14:paraId="15458F58" w14:textId="77777777">
            <w:pPr>
              <w:spacing w:before="0" w:after="0" w:line="240" w:lineRule="auto"/>
              <w:jc w:val="center"/>
              <w:rPr>
                <w:rFonts w:eastAsia="Times New Roman"/>
                <w:noProof/>
                <w:color w:val="006100"/>
                <w:sz w:val="20"/>
                <w:szCs w:val="20"/>
                <w:lang w:val="en-IE"/>
              </w:rPr>
            </w:pPr>
            <w:r w:rsidRPr="00DF2196">
              <w:rPr>
                <w:rFonts w:eastAsia="Times New Roman"/>
                <w:noProof/>
                <w:color w:val="006100"/>
                <w:sz w:val="20"/>
                <w:szCs w:val="20"/>
                <w:lang w:val="en-IE"/>
              </w:rPr>
              <w:t>T2: Completion of 20 additional projects of torrent control (small scale wooden and natural stone dams) to slow down surface runoff and water retention projects in forests (retention and small reservoirs).</w:t>
            </w:r>
          </w:p>
        </w:tc>
      </w:tr>
      <w:tr w:rsidRPr="00FE48E2" w:rsidR="00E3458A" w:rsidTr="00F82987" w14:paraId="15458F5E" w14:textId="77777777">
        <w:trPr>
          <w:trHeight w:val="600"/>
        </w:trPr>
        <w:tc>
          <w:tcPr>
            <w:tcW w:w="1276"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5A"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174</w:t>
            </w:r>
          </w:p>
        </w:tc>
        <w:tc>
          <w:tcPr>
            <w:tcW w:w="3969"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5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3.1: Innovation in Education in the Context of Digitalisation - Investment 2: Digital equipment for schools</w:t>
            </w:r>
          </w:p>
        </w:tc>
        <w:tc>
          <w:tcPr>
            <w:tcW w:w="1843"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FE48E2" w:rsidR="00D87E44" w:rsidRDefault="00D87E44" w14:paraId="15458F5C"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single" w:color="auto" w:sz="4" w:space="0"/>
              <w:bottom w:val="single" w:color="auto" w:sz="4" w:space="0"/>
              <w:right w:val="single" w:color="auto" w:sz="4" w:space="0"/>
            </w:tcBorders>
            <w:shd w:val="clear" w:color="auto" w:fill="C6EFCE"/>
            <w:vAlign w:val="center"/>
            <w:hideMark/>
          </w:tcPr>
          <w:p w:rsidRPr="00DF2196" w:rsidR="00D87E44" w:rsidRDefault="00D87E44" w14:paraId="15458F5D" w14:textId="77777777">
            <w:pPr>
              <w:spacing w:before="0" w:after="0" w:line="240" w:lineRule="auto"/>
              <w:jc w:val="center"/>
              <w:rPr>
                <w:rFonts w:eastAsia="Times New Roman"/>
                <w:noProof/>
                <w:color w:val="006100"/>
                <w:sz w:val="20"/>
                <w:szCs w:val="20"/>
                <w:lang w:val="en-IE"/>
              </w:rPr>
            </w:pPr>
            <w:r w:rsidRPr="00DF2196">
              <w:rPr>
                <w:rFonts w:eastAsia="Times New Roman"/>
                <w:noProof/>
                <w:color w:val="006100"/>
                <w:sz w:val="20"/>
                <w:szCs w:val="20"/>
                <w:lang w:val="en-IE"/>
              </w:rPr>
              <w:t xml:space="preserve">Number of schools supported with digital  technologies and equipment to promote digital literacy and implement the new IT curricula </w:t>
            </w:r>
          </w:p>
        </w:tc>
      </w:tr>
      <w:tr w:rsidRPr="00FE48E2" w:rsidR="00E3458A" w:rsidTr="00F82987" w14:paraId="15458F63" w14:textId="77777777">
        <w:trPr>
          <w:trHeight w:val="795"/>
        </w:trPr>
        <w:tc>
          <w:tcPr>
            <w:tcW w:w="1276" w:type="dxa"/>
            <w:tcBorders>
              <w:top w:val="single" w:color="auto" w:sz="4"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5F"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18</w:t>
            </w:r>
          </w:p>
        </w:tc>
        <w:tc>
          <w:tcPr>
            <w:tcW w:w="3969"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60" w14:textId="77777777">
            <w:pPr>
              <w:spacing w:before="0" w:after="0" w:line="240" w:lineRule="auto"/>
              <w:jc w:val="center"/>
              <w:rPr>
                <w:rFonts w:eastAsia="Times New Roman"/>
                <w:noProof/>
                <w:color w:val="006100"/>
                <w:sz w:val="20"/>
                <w:szCs w:val="20"/>
                <w:lang w:val="en-IE"/>
              </w:rPr>
            </w:pPr>
            <w:r w:rsidRPr="336FB62E">
              <w:rPr>
                <w:rFonts w:eastAsia="Times New Roman"/>
                <w:noProof/>
                <w:color w:val="006100"/>
                <w:sz w:val="20"/>
                <w:szCs w:val="20"/>
                <w:lang w:val="en-IE"/>
              </w:rPr>
              <w:t>C 1.2: Digital Public Administration Systems - Investment 1:</w:t>
            </w:r>
            <w:r>
              <w:rPr>
                <w:noProof/>
              </w:rPr>
              <w:br/>
            </w:r>
            <w:r w:rsidRPr="336FB62E">
              <w:rPr>
                <w:rFonts w:eastAsia="Times New Roman"/>
                <w:noProof/>
                <w:color w:val="006100"/>
                <w:sz w:val="20"/>
                <w:szCs w:val="20"/>
                <w:lang w:val="en-IE"/>
              </w:rPr>
              <w:t xml:space="preserve">Development </w:t>
            </w:r>
            <w:r w:rsidRPr="336FB62E" w:rsidDel="76AA5DFC">
              <w:rPr>
                <w:rFonts w:eastAsia="Times New Roman"/>
                <w:noProof/>
                <w:color w:val="006100"/>
                <w:sz w:val="20"/>
                <w:szCs w:val="20"/>
                <w:lang w:val="en-IE"/>
              </w:rPr>
              <w:t>of</w:t>
            </w:r>
            <w:r w:rsidRPr="336FB62E">
              <w:rPr>
                <w:rFonts w:eastAsia="Times New Roman"/>
                <w:noProof/>
                <w:color w:val="006100"/>
                <w:sz w:val="20"/>
                <w:szCs w:val="20"/>
                <w:lang w:val="en-IE"/>
              </w:rPr>
              <w:t xml:space="preserve"> information systems</w:t>
            </w:r>
          </w:p>
        </w:tc>
        <w:tc>
          <w:tcPr>
            <w:tcW w:w="1843" w:type="dxa"/>
            <w:tcBorders>
              <w:top w:val="single" w:color="auto" w:sz="4" w:space="0"/>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61"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single" w:color="auto" w:sz="4" w:space="0"/>
              <w:left w:val="nil"/>
              <w:bottom w:val="single" w:color="auto" w:sz="8" w:space="0"/>
              <w:right w:val="single" w:color="auto" w:sz="8" w:space="0"/>
            </w:tcBorders>
            <w:shd w:val="clear" w:color="auto" w:fill="C6EFCE"/>
            <w:vAlign w:val="center"/>
            <w:hideMark/>
          </w:tcPr>
          <w:p w:rsidRPr="00DF2196" w:rsidR="00D87E44" w:rsidRDefault="00D87E44" w14:paraId="15458F62" w14:textId="77777777">
            <w:pPr>
              <w:spacing w:before="0" w:after="0" w:line="240" w:lineRule="auto"/>
              <w:jc w:val="center"/>
              <w:rPr>
                <w:rFonts w:eastAsia="Times New Roman"/>
                <w:noProof/>
                <w:color w:val="006100"/>
                <w:sz w:val="20"/>
                <w:szCs w:val="20"/>
                <w:lang w:val="en-IE"/>
              </w:rPr>
            </w:pPr>
            <w:r w:rsidRPr="00DF2196">
              <w:rPr>
                <w:rFonts w:eastAsia="Times New Roman"/>
                <w:noProof/>
                <w:color w:val="006100"/>
                <w:sz w:val="20"/>
                <w:szCs w:val="20"/>
                <w:lang w:val="en-IE"/>
              </w:rPr>
              <w:t>Contracting the execution of the listed information system projects forming the back-end basis of the information systems’ development for public administration</w:t>
            </w:r>
          </w:p>
        </w:tc>
      </w:tr>
      <w:tr w:rsidRPr="00FE48E2" w:rsidR="00E3458A" w:rsidTr="00F82987" w14:paraId="15458F68" w14:textId="77777777">
        <w:trPr>
          <w:trHeight w:val="600"/>
        </w:trPr>
        <w:tc>
          <w:tcPr>
            <w:tcW w:w="1276" w:type="dxa"/>
            <w:tcBorders>
              <w:top w:val="nil"/>
              <w:left w:val="single" w:color="auto" w:sz="8" w:space="0"/>
              <w:bottom w:val="nil"/>
              <w:right w:val="single" w:color="000000" w:themeColor="text1" w:sz="8" w:space="0"/>
            </w:tcBorders>
            <w:shd w:val="clear" w:color="auto" w:fill="C6EFCE"/>
            <w:vAlign w:val="center"/>
            <w:hideMark/>
          </w:tcPr>
          <w:p w:rsidRPr="00FE48E2" w:rsidR="00D87E44" w:rsidRDefault="00D87E44" w14:paraId="15458F64"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84</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65" w14:textId="77777777">
            <w:pPr>
              <w:spacing w:before="0" w:after="0" w:line="240" w:lineRule="auto"/>
              <w:jc w:val="center"/>
              <w:rPr>
                <w:rFonts w:eastAsia="Times New Roman"/>
                <w:noProof/>
                <w:color w:val="006100"/>
                <w:sz w:val="20"/>
                <w:szCs w:val="20"/>
                <w:lang w:val="en-IE"/>
              </w:rPr>
            </w:pPr>
            <w:r w:rsidRPr="336FB62E">
              <w:rPr>
                <w:rFonts w:eastAsia="Times New Roman"/>
                <w:noProof/>
                <w:color w:val="006100"/>
                <w:sz w:val="20"/>
                <w:szCs w:val="20"/>
                <w:lang w:val="en-IE"/>
              </w:rPr>
              <w:t xml:space="preserve">C 2.1: Sustainable Transport - Investment 1: </w:t>
            </w:r>
            <w:r>
              <w:rPr>
                <w:rFonts w:eastAsia="Times New Roman"/>
                <w:noProof/>
                <w:color w:val="006100"/>
                <w:sz w:val="20"/>
                <w:szCs w:val="20"/>
                <w:lang w:val="en-IE"/>
              </w:rPr>
              <w:t>Application of modern</w:t>
            </w:r>
            <w:r w:rsidRPr="336FB62E">
              <w:rPr>
                <w:rFonts w:eastAsia="Times New Roman"/>
                <w:noProof/>
                <w:color w:val="006100"/>
                <w:sz w:val="20"/>
                <w:szCs w:val="20"/>
                <w:lang w:val="en-IE"/>
              </w:rPr>
              <w:t xml:space="preserve"> </w:t>
            </w:r>
            <w:r w:rsidRPr="336FB62E">
              <w:rPr>
                <w:rFonts w:eastAsia="Times New Roman"/>
                <w:noProof/>
                <w:color w:val="006100"/>
                <w:sz w:val="20"/>
                <w:szCs w:val="20"/>
                <w:lang w:val="en-IE"/>
              </w:rPr>
              <w:t xml:space="preserve">technologies </w:t>
            </w:r>
            <w:r>
              <w:rPr>
                <w:rFonts w:eastAsia="Times New Roman"/>
                <w:noProof/>
                <w:color w:val="006100"/>
                <w:sz w:val="20"/>
                <w:szCs w:val="20"/>
                <w:lang w:val="en-IE"/>
              </w:rPr>
              <w:t>to</w:t>
            </w:r>
            <w:r w:rsidRPr="336FB62E">
              <w:rPr>
                <w:rFonts w:eastAsia="Times New Roman"/>
                <w:noProof/>
                <w:color w:val="006100"/>
                <w:sz w:val="20"/>
                <w:szCs w:val="20"/>
                <w:lang w:val="en-IE"/>
              </w:rPr>
              <w:t xml:space="preserve"> railway infrastructure</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6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Target</w:t>
            </w:r>
          </w:p>
        </w:tc>
        <w:tc>
          <w:tcPr>
            <w:tcW w:w="3402" w:type="dxa"/>
            <w:tcBorders>
              <w:top w:val="nil"/>
              <w:left w:val="nil"/>
              <w:bottom w:val="nil"/>
              <w:right w:val="single" w:color="auto" w:sz="8" w:space="0"/>
            </w:tcBorders>
            <w:shd w:val="clear" w:color="auto" w:fill="C6EFCE"/>
            <w:vAlign w:val="center"/>
            <w:hideMark/>
          </w:tcPr>
          <w:p w:rsidRPr="00FE48E2" w:rsidR="00D87E44" w:rsidRDefault="00D87E44" w14:paraId="15458F67"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Completion of two projects from a predefined set of projects.</w:t>
            </w:r>
          </w:p>
        </w:tc>
      </w:tr>
      <w:tr w:rsidR="00E3458A" w:rsidTr="00F82987" w14:paraId="15458F6D" w14:textId="77777777">
        <w:trPr>
          <w:trHeight w:val="600"/>
        </w:trPr>
        <w:tc>
          <w:tcPr>
            <w:tcW w:w="1276" w:type="dxa"/>
            <w:tcBorders>
              <w:top w:val="single" w:color="auto" w:sz="8" w:space="0"/>
              <w:left w:val="single" w:color="auto" w:sz="8" w:space="0"/>
              <w:bottom w:val="single" w:color="auto" w:sz="8" w:space="0"/>
              <w:right w:val="single" w:color="000000" w:themeColor="text1" w:sz="8" w:space="0"/>
            </w:tcBorders>
            <w:shd w:val="clear" w:color="auto" w:fill="C6EFCE"/>
            <w:vAlign w:val="center"/>
          </w:tcPr>
          <w:p w:rsidR="00D87E44" w:rsidRDefault="00D87E44" w14:paraId="15458F69"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56</w:t>
            </w:r>
          </w:p>
        </w:tc>
        <w:tc>
          <w:tcPr>
            <w:tcW w:w="3969" w:type="dxa"/>
            <w:tcBorders>
              <w:top w:val="nil"/>
              <w:left w:val="nil"/>
              <w:bottom w:val="single" w:color="000000" w:themeColor="text1" w:sz="8" w:space="0"/>
              <w:right w:val="single" w:color="000000" w:themeColor="text1" w:sz="8" w:space="0"/>
            </w:tcBorders>
            <w:shd w:val="clear" w:color="auto" w:fill="C6EFCE"/>
            <w:vAlign w:val="center"/>
          </w:tcPr>
          <w:p w:rsidR="00D87E44" w:rsidRDefault="00D87E44" w14:paraId="15458F6A" w14:textId="77777777">
            <w:pPr>
              <w:spacing w:before="0" w:after="0" w:line="240" w:lineRule="auto"/>
              <w:jc w:val="center"/>
              <w:rPr>
                <w:rFonts w:eastAsia="Times New Roman"/>
                <w:noProof/>
                <w:color w:val="004300"/>
                <w:sz w:val="20"/>
                <w:szCs w:val="20"/>
                <w:lang w:val="en-IE"/>
              </w:rPr>
            </w:pPr>
            <w:r w:rsidRPr="00DF2196">
              <w:rPr>
                <w:rFonts w:eastAsia="Times New Roman"/>
                <w:noProof/>
                <w:color w:val="006100"/>
                <w:sz w:val="20"/>
                <w:szCs w:val="20"/>
                <w:lang w:val="en-IE"/>
              </w:rPr>
              <w:t xml:space="preserve">C 1.4: Digital Economy and Society, Innovative Start-Ups and New Technology - Investment 5: European Blockchain Services </w:t>
            </w:r>
            <w:r w:rsidRPr="00DF2196">
              <w:rPr>
                <w:rFonts w:eastAsia="Times New Roman"/>
                <w:noProof/>
                <w:color w:val="006100"/>
                <w:sz w:val="20"/>
                <w:szCs w:val="20"/>
                <w:lang w:val="en-IE"/>
              </w:rPr>
              <w:t>Infrastructure (EBSI) – DLT bonds for SME financing</w:t>
            </w:r>
          </w:p>
        </w:tc>
        <w:tc>
          <w:tcPr>
            <w:tcW w:w="1843" w:type="dxa"/>
            <w:tcBorders>
              <w:top w:val="nil"/>
              <w:left w:val="nil"/>
              <w:bottom w:val="single" w:color="000000" w:themeColor="text1" w:sz="8" w:space="0"/>
              <w:right w:val="single" w:color="000000" w:themeColor="text1" w:sz="8" w:space="0"/>
            </w:tcBorders>
            <w:shd w:val="clear" w:color="auto" w:fill="C6EFCE"/>
            <w:vAlign w:val="center"/>
          </w:tcPr>
          <w:p w:rsidR="00D87E44" w:rsidRDefault="00D87E44" w14:paraId="15458F6B" w14:textId="77777777">
            <w:pPr>
              <w:spacing w:before="0" w:after="0" w:line="240" w:lineRule="auto"/>
              <w:jc w:val="center"/>
              <w:rPr>
                <w:rFonts w:eastAsia="Times New Roman"/>
                <w:noProof/>
                <w:color w:val="004300"/>
                <w:sz w:val="20"/>
                <w:szCs w:val="20"/>
                <w:lang w:val="en-IE"/>
              </w:rPr>
            </w:pPr>
            <w:r w:rsidRPr="0F243218">
              <w:rPr>
                <w:rFonts w:eastAsia="Times New Roman"/>
                <w:noProof/>
                <w:color w:val="004300"/>
                <w:sz w:val="20"/>
                <w:szCs w:val="20"/>
                <w:lang w:val="en-IE"/>
              </w:rPr>
              <w:t>Target</w:t>
            </w:r>
          </w:p>
        </w:tc>
        <w:tc>
          <w:tcPr>
            <w:tcW w:w="3402" w:type="dxa"/>
            <w:tcBorders>
              <w:top w:val="single" w:color="auto" w:sz="8" w:space="0"/>
              <w:left w:val="nil"/>
              <w:bottom w:val="single" w:color="auto" w:sz="8" w:space="0"/>
              <w:right w:val="single" w:color="auto" w:sz="8" w:space="0"/>
            </w:tcBorders>
            <w:shd w:val="clear" w:color="auto" w:fill="C6EFCE"/>
            <w:vAlign w:val="center"/>
          </w:tcPr>
          <w:p w:rsidR="00D87E44" w:rsidRDefault="00D87E44" w14:paraId="15458F6C" w14:textId="77777777">
            <w:pPr>
              <w:spacing w:before="0" w:after="0" w:line="240" w:lineRule="auto"/>
              <w:jc w:val="center"/>
              <w:rPr>
                <w:rFonts w:eastAsia="Times New Roman"/>
                <w:noProof/>
                <w:color w:val="004300"/>
                <w:sz w:val="20"/>
                <w:szCs w:val="20"/>
                <w:lang w:val="en-IE"/>
              </w:rPr>
            </w:pPr>
            <w:r w:rsidRPr="00D56D34">
              <w:rPr>
                <w:rFonts w:eastAsia="Times New Roman"/>
                <w:noProof/>
                <w:color w:val="006100"/>
                <w:sz w:val="20"/>
                <w:szCs w:val="20"/>
                <w:lang w:val="en-IE"/>
              </w:rPr>
              <w:t>Number of SMEs enabled to offer digital bonds on the basis of EBSI</w:t>
            </w:r>
          </w:p>
        </w:tc>
      </w:tr>
      <w:tr w:rsidR="00E3458A" w:rsidTr="00F82987" w14:paraId="15458F72" w14:textId="77777777">
        <w:trPr>
          <w:trHeight w:val="600"/>
        </w:trPr>
        <w:tc>
          <w:tcPr>
            <w:tcW w:w="1276" w:type="dxa"/>
            <w:tcBorders>
              <w:top w:val="single" w:color="auto" w:sz="8" w:space="0"/>
              <w:left w:val="single" w:color="auto" w:sz="8" w:space="0"/>
              <w:bottom w:val="single" w:color="auto" w:sz="8" w:space="0"/>
              <w:right w:val="single" w:color="000000" w:themeColor="text1" w:sz="8" w:space="0"/>
            </w:tcBorders>
            <w:shd w:val="clear" w:color="auto" w:fill="C6EFCE"/>
            <w:vAlign w:val="center"/>
          </w:tcPr>
          <w:p w:rsidR="00D87E44" w:rsidRDefault="00D87E44" w14:paraId="15458F6E" w14:textId="77777777">
            <w:pPr>
              <w:spacing w:before="0" w:after="0" w:line="240" w:lineRule="auto"/>
              <w:jc w:val="center"/>
              <w:rPr>
                <w:rFonts w:eastAsia="Times New Roman"/>
                <w:noProof/>
                <w:color w:val="004300"/>
                <w:sz w:val="20"/>
                <w:szCs w:val="20"/>
                <w:lang w:val="en-IE"/>
              </w:rPr>
            </w:pPr>
            <w:r w:rsidRPr="0824AC77">
              <w:rPr>
                <w:rFonts w:eastAsia="Times New Roman"/>
                <w:noProof/>
                <w:color w:val="004300"/>
                <w:sz w:val="20"/>
                <w:szCs w:val="20"/>
                <w:lang w:val="en-IE"/>
              </w:rPr>
              <w:t>64</w:t>
            </w:r>
          </w:p>
        </w:tc>
        <w:tc>
          <w:tcPr>
            <w:tcW w:w="3969"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tcPr>
          <w:p w:rsidRPr="00F360F2" w:rsidR="00D87E44" w:rsidRDefault="00D87E44" w14:paraId="15458F6F" w14:textId="77777777">
            <w:pPr>
              <w:spacing w:before="0" w:after="0" w:line="240" w:lineRule="auto"/>
              <w:jc w:val="center"/>
              <w:rPr>
                <w:rFonts w:eastAsia="Times New Roman"/>
                <w:noProof/>
                <w:color w:val="006100"/>
                <w:sz w:val="20"/>
                <w:szCs w:val="20"/>
                <w:lang w:val="en-IE"/>
              </w:rPr>
            </w:pPr>
            <w:r w:rsidRPr="00F360F2">
              <w:rPr>
                <w:rFonts w:eastAsia="Times New Roman"/>
                <w:noProof/>
                <w:color w:val="006100"/>
                <w:sz w:val="20"/>
                <w:szCs w:val="20"/>
                <w:lang w:val="en-IE"/>
              </w:rPr>
              <w:t xml:space="preserve">C 1.4: Digital Economy and Society, Innovative Start-Ups and New Technology - Investment 11: </w:t>
            </w:r>
            <w:r w:rsidRPr="004F1648">
              <w:rPr>
                <w:rFonts w:eastAsia="Times New Roman"/>
                <w:noProof/>
                <w:color w:val="006100"/>
                <w:sz w:val="20"/>
                <w:szCs w:val="20"/>
                <w:lang w:val="en-IE"/>
              </w:rPr>
              <w:t>Digital</w:t>
            </w:r>
            <w:r w:rsidRPr="00F360F2">
              <w:rPr>
                <w:rFonts w:eastAsia="Times New Roman"/>
                <w:noProof/>
                <w:color w:val="006100"/>
                <w:sz w:val="20"/>
                <w:szCs w:val="20"/>
                <w:lang w:val="en-IE"/>
              </w:rPr>
              <w:t xml:space="preserve"> regulatory sandboxes in line with EU priorities</w:t>
            </w:r>
          </w:p>
        </w:tc>
        <w:tc>
          <w:tcPr>
            <w:tcW w:w="1843"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tcPr>
          <w:p w:rsidRPr="00F360F2" w:rsidR="00D87E44" w:rsidRDefault="00D87E44" w14:paraId="15458F70" w14:textId="77777777">
            <w:pPr>
              <w:spacing w:before="0" w:after="0" w:line="240" w:lineRule="auto"/>
              <w:jc w:val="center"/>
              <w:rPr>
                <w:rFonts w:eastAsia="Times New Roman"/>
                <w:noProof/>
                <w:color w:val="006100"/>
                <w:sz w:val="20"/>
                <w:szCs w:val="20"/>
                <w:lang w:val="en-IE"/>
              </w:rPr>
            </w:pPr>
            <w:r w:rsidRPr="00F360F2">
              <w:rPr>
                <w:rFonts w:eastAsia="Times New Roman"/>
                <w:noProof/>
                <w:color w:val="006100"/>
                <w:sz w:val="20"/>
                <w:szCs w:val="20"/>
                <w:lang w:val="en-IE"/>
              </w:rPr>
              <w:t>Milestone</w:t>
            </w:r>
          </w:p>
        </w:tc>
        <w:tc>
          <w:tcPr>
            <w:tcW w:w="3402" w:type="dxa"/>
            <w:tcBorders>
              <w:top w:val="single" w:color="auto" w:sz="8" w:space="0"/>
              <w:left w:val="nil"/>
              <w:bottom w:val="single" w:color="auto" w:sz="8" w:space="0"/>
              <w:right w:val="single" w:color="auto" w:sz="8" w:space="0"/>
            </w:tcBorders>
            <w:shd w:val="clear" w:color="auto" w:fill="C6EFCE"/>
            <w:vAlign w:val="center"/>
          </w:tcPr>
          <w:p w:rsidRPr="004F1648" w:rsidR="00D87E44" w:rsidRDefault="00D87E44" w14:paraId="15458F71" w14:textId="77777777">
            <w:pPr>
              <w:spacing w:before="0" w:after="0" w:line="240" w:lineRule="auto"/>
              <w:jc w:val="center"/>
              <w:rPr>
                <w:rFonts w:eastAsia="Times New Roman"/>
                <w:noProof/>
                <w:color w:val="004300"/>
                <w:sz w:val="20"/>
                <w:szCs w:val="20"/>
                <w:lang w:val="en-IE"/>
              </w:rPr>
            </w:pPr>
            <w:r w:rsidRPr="00DF2196">
              <w:rPr>
                <w:rFonts w:eastAsia="Times New Roman"/>
                <w:noProof/>
                <w:color w:val="006100"/>
                <w:sz w:val="20"/>
                <w:szCs w:val="20"/>
                <w:lang w:val="en-IE"/>
              </w:rPr>
              <w:t>Launch of the digital regulatory sandbox</w:t>
            </w:r>
          </w:p>
        </w:tc>
      </w:tr>
      <w:tr w:rsidRPr="00FE48E2" w:rsidR="00E3458A" w:rsidTr="00F82987" w14:paraId="15458F77" w14:textId="77777777">
        <w:trPr>
          <w:trHeight w:val="600"/>
        </w:trPr>
        <w:tc>
          <w:tcPr>
            <w:tcW w:w="1276" w:type="dxa"/>
            <w:tcBorders>
              <w:top w:val="single" w:color="auto" w:sz="8" w:space="0"/>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73"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113</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74"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C 2.3: Transition to Cleaner Energy Sources  - Investment 2: Modernisation of distribution of heat in district heating systems</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75"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single" w:color="auto" w:sz="8" w:space="0"/>
              <w:left w:val="nil"/>
              <w:bottom w:val="single" w:color="auto" w:sz="8" w:space="0"/>
              <w:right w:val="single" w:color="auto" w:sz="8" w:space="0"/>
            </w:tcBorders>
            <w:shd w:val="clear" w:color="auto" w:fill="C6EFCE"/>
            <w:vAlign w:val="center"/>
            <w:hideMark/>
          </w:tcPr>
          <w:p w:rsidRPr="00FE48E2" w:rsidR="00D87E44" w:rsidRDefault="00D87E44" w14:paraId="15458F76"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Plan for investment in heat/power generation facilities</w:t>
            </w:r>
          </w:p>
        </w:tc>
      </w:tr>
      <w:tr w:rsidRPr="00FE48E2" w:rsidR="00E3458A" w:rsidTr="00F82987" w14:paraId="15458F7C" w14:textId="77777777">
        <w:trPr>
          <w:trHeight w:val="600"/>
        </w:trPr>
        <w:tc>
          <w:tcPr>
            <w:tcW w:w="1276" w:type="dxa"/>
            <w:tcBorders>
              <w:top w:val="nil"/>
              <w:left w:val="single" w:color="auto" w:sz="8" w:space="0"/>
              <w:bottom w:val="single" w:color="auto" w:sz="8" w:space="0"/>
              <w:right w:val="single" w:color="000000" w:themeColor="text1" w:sz="8" w:space="0"/>
            </w:tcBorders>
            <w:shd w:val="clear" w:color="auto" w:fill="C6EFCE"/>
            <w:vAlign w:val="center"/>
            <w:hideMark/>
          </w:tcPr>
          <w:p w:rsidRPr="00FE48E2" w:rsidR="00D87E44" w:rsidRDefault="00D87E44" w14:paraId="15458F78"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179</w:t>
            </w:r>
          </w:p>
        </w:tc>
        <w:tc>
          <w:tcPr>
            <w:tcW w:w="3969"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79"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3.2: Adaptation of School Programmes - </w:t>
            </w:r>
            <w:r w:rsidRPr="00FE48E2">
              <w:rPr>
                <w:rFonts w:eastAsia="Times New Roman"/>
                <w:noProof/>
                <w:color w:val="006100"/>
                <w:sz w:val="20"/>
                <w:szCs w:val="20"/>
                <w:lang w:val="en-IE"/>
              </w:rPr>
              <w:t>Investment 1: Development of selected key academic sites</w:t>
            </w:r>
          </w:p>
        </w:tc>
        <w:tc>
          <w:tcPr>
            <w:tcW w:w="1843" w:type="dxa"/>
            <w:tcBorders>
              <w:top w:val="nil"/>
              <w:left w:val="nil"/>
              <w:bottom w:val="single" w:color="000000" w:themeColor="text1" w:sz="8" w:space="0"/>
              <w:right w:val="single" w:color="000000" w:themeColor="text1" w:sz="8" w:space="0"/>
            </w:tcBorders>
            <w:shd w:val="clear" w:color="auto" w:fill="C6EFCE"/>
            <w:vAlign w:val="center"/>
            <w:hideMark/>
          </w:tcPr>
          <w:p w:rsidRPr="00FE48E2" w:rsidR="00D87E44" w:rsidRDefault="00D87E44" w14:paraId="15458F7A"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nil"/>
              <w:left w:val="nil"/>
              <w:bottom w:val="single" w:color="auto" w:sz="8" w:space="0"/>
              <w:right w:val="single" w:color="auto" w:sz="8" w:space="0"/>
            </w:tcBorders>
            <w:shd w:val="clear" w:color="auto" w:fill="C6EFCE"/>
            <w:vAlign w:val="center"/>
            <w:hideMark/>
          </w:tcPr>
          <w:p w:rsidRPr="00FE48E2" w:rsidR="00D87E44" w:rsidRDefault="00D87E44" w14:paraId="15458F7B"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Award of contracts for the construction of new university facilities </w:t>
            </w:r>
          </w:p>
        </w:tc>
      </w:tr>
      <w:tr w:rsidRPr="00FE48E2" w:rsidR="00E3458A" w:rsidTr="00F82987" w14:paraId="15458F81"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hideMark/>
          </w:tcPr>
          <w:p w:rsidRPr="00FE48E2" w:rsidR="00D87E44" w:rsidRDefault="00D87E44" w14:paraId="15458F7D" w14:textId="77777777">
            <w:pPr>
              <w:spacing w:before="0" w:after="0" w:line="240" w:lineRule="auto"/>
              <w:jc w:val="center"/>
              <w:rPr>
                <w:rFonts w:eastAsia="Times New Roman"/>
                <w:noProof/>
                <w:color w:val="006100"/>
                <w:sz w:val="20"/>
                <w:szCs w:val="20"/>
                <w:lang w:val="en-IE"/>
              </w:rPr>
            </w:pPr>
            <w:r w:rsidRPr="0824AC77">
              <w:rPr>
                <w:rFonts w:eastAsia="Times New Roman"/>
                <w:noProof/>
                <w:color w:val="006100"/>
                <w:sz w:val="20"/>
                <w:szCs w:val="20"/>
                <w:lang w:val="en-IE"/>
              </w:rPr>
              <w:t>231</w:t>
            </w:r>
          </w:p>
        </w:tc>
        <w:tc>
          <w:tcPr>
            <w:tcW w:w="3969"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F7E"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C 6.1: Increasing Resilience of the Health System  - Reform 1: Improvement of education of healthcare professionals </w:t>
            </w:r>
          </w:p>
        </w:tc>
        <w:tc>
          <w:tcPr>
            <w:tcW w:w="1843" w:type="dxa"/>
            <w:tcBorders>
              <w:top w:val="nil"/>
              <w:left w:val="nil"/>
              <w:bottom w:val="single" w:color="auto" w:sz="4" w:space="0"/>
              <w:right w:val="single" w:color="000000" w:themeColor="text1" w:sz="8" w:space="0"/>
            </w:tcBorders>
            <w:shd w:val="clear" w:color="auto" w:fill="C6EFCE"/>
            <w:vAlign w:val="center"/>
            <w:hideMark/>
          </w:tcPr>
          <w:p w:rsidRPr="00FE48E2" w:rsidR="00D87E44" w:rsidRDefault="00D87E44" w14:paraId="15458F7F"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Milestone</w:t>
            </w:r>
          </w:p>
        </w:tc>
        <w:tc>
          <w:tcPr>
            <w:tcW w:w="3402" w:type="dxa"/>
            <w:tcBorders>
              <w:top w:val="nil"/>
              <w:left w:val="nil"/>
              <w:bottom w:val="single" w:color="auto" w:sz="4" w:space="0"/>
              <w:right w:val="single" w:color="auto" w:sz="8" w:space="0"/>
            </w:tcBorders>
            <w:shd w:val="clear" w:color="auto" w:fill="C6EFCE"/>
            <w:vAlign w:val="center"/>
            <w:hideMark/>
          </w:tcPr>
          <w:p w:rsidRPr="00FE48E2" w:rsidR="00D87E44" w:rsidRDefault="00D87E44" w14:paraId="15458F80" w14:textId="77777777">
            <w:pPr>
              <w:spacing w:before="0" w:after="0" w:line="240" w:lineRule="auto"/>
              <w:jc w:val="center"/>
              <w:rPr>
                <w:rFonts w:eastAsia="Times New Roman"/>
                <w:noProof/>
                <w:color w:val="006100"/>
                <w:sz w:val="20"/>
                <w:szCs w:val="20"/>
                <w:lang w:val="en-IE"/>
              </w:rPr>
            </w:pPr>
            <w:r w:rsidRPr="00FE48E2">
              <w:rPr>
                <w:rFonts w:eastAsia="Times New Roman"/>
                <w:noProof/>
                <w:color w:val="006100"/>
                <w:sz w:val="20"/>
                <w:szCs w:val="20"/>
                <w:lang w:val="en-IE"/>
              </w:rPr>
              <w:t xml:space="preserve">Electronic system for management, administration and evaluation of training of healthcare </w:t>
            </w:r>
            <w:r w:rsidRPr="008D6032">
              <w:rPr>
                <w:rFonts w:eastAsia="Times New Roman"/>
                <w:noProof/>
                <w:color w:val="006100"/>
                <w:sz w:val="20"/>
                <w:szCs w:val="20"/>
                <w:lang w:val="en-IE"/>
              </w:rPr>
              <w:t>professionals</w:t>
            </w:r>
          </w:p>
        </w:tc>
      </w:tr>
      <w:tr w:rsidR="00E3458A" w:rsidTr="00F82987" w14:paraId="15458F87"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82"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274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83"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C3.3: </w:t>
            </w:r>
            <w:r w:rsidRPr="3729303F">
              <w:rPr>
                <w:rFonts w:eastAsia="Times New Roman"/>
                <w:noProof/>
                <w:color w:val="006100"/>
                <w:sz w:val="20"/>
                <w:szCs w:val="20"/>
              </w:rPr>
              <w:t>Modernisation of Employment Services and Labour Market Development  -</w:t>
            </w:r>
          </w:p>
          <w:p w:rsidR="00D87E44" w:rsidRDefault="00D87E44" w14:paraId="15458F84"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Investment 4: Development and modernisation of </w:t>
            </w:r>
            <w:r>
              <w:rPr>
                <w:rFonts w:eastAsia="Times New Roman"/>
                <w:noProof/>
                <w:color w:val="006100"/>
                <w:sz w:val="20"/>
                <w:szCs w:val="20"/>
              </w:rPr>
              <w:t xml:space="preserve">infrastructure in the field of care for </w:t>
            </w:r>
            <w:r w:rsidRPr="3729303F">
              <w:rPr>
                <w:rFonts w:eastAsia="Times New Roman"/>
                <w:noProof/>
                <w:color w:val="006100"/>
                <w:sz w:val="20"/>
                <w:szCs w:val="20"/>
              </w:rPr>
              <w:t xml:space="preserve">children </w:t>
            </w:r>
            <w:r>
              <w:rPr>
                <w:rFonts w:eastAsia="Times New Roman"/>
                <w:noProof/>
                <w:color w:val="006100"/>
                <w:sz w:val="20"/>
                <w:szCs w:val="20"/>
              </w:rPr>
              <w:t>at risk</w:t>
            </w:r>
            <w:r w:rsidRPr="3729303F">
              <w:rPr>
                <w:rFonts w:eastAsia="Times New Roman"/>
                <w:noProof/>
                <w:color w:val="006100"/>
                <w:sz w:val="20"/>
                <w:szCs w:val="20"/>
              </w:rPr>
              <w:t xml:space="preserve">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85"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86"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Call for projects published for housing for children at risk </w:t>
            </w:r>
          </w:p>
        </w:tc>
      </w:tr>
      <w:tr w:rsidR="00E3458A" w:rsidTr="00F82987" w14:paraId="15458F8D"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88"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275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89"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C3.3: Modernisation of Employment Services and Labour Market Development  -</w:t>
            </w:r>
          </w:p>
          <w:p w:rsidR="00D87E44" w:rsidRDefault="00D87E44" w14:paraId="15458F8A"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Investment 4: Development and modernisation of </w:t>
            </w:r>
            <w:r>
              <w:rPr>
                <w:rFonts w:eastAsia="Times New Roman"/>
                <w:noProof/>
                <w:color w:val="006100"/>
                <w:sz w:val="20"/>
                <w:szCs w:val="20"/>
              </w:rPr>
              <w:t xml:space="preserve">infrastructure in the field of care for </w:t>
            </w:r>
            <w:r w:rsidRPr="3729303F">
              <w:rPr>
                <w:rFonts w:eastAsia="Times New Roman"/>
                <w:noProof/>
                <w:color w:val="006100"/>
                <w:sz w:val="20"/>
                <w:szCs w:val="20"/>
              </w:rPr>
              <w:t xml:space="preserve">children </w:t>
            </w:r>
            <w:r>
              <w:rPr>
                <w:rFonts w:eastAsia="Times New Roman"/>
                <w:noProof/>
                <w:color w:val="006100"/>
                <w:sz w:val="20"/>
                <w:szCs w:val="20"/>
              </w:rPr>
              <w:t>at risk</w:t>
            </w:r>
            <w:r w:rsidRPr="3729303F">
              <w:rPr>
                <w:rFonts w:eastAsia="Times New Roman"/>
                <w:noProof/>
                <w:color w:val="006100"/>
                <w:sz w:val="20"/>
                <w:szCs w:val="20"/>
              </w:rPr>
              <w:t xml:space="preserve">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8B"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8C"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Call for projects published for facilities for children at risk</w:t>
            </w:r>
          </w:p>
        </w:tc>
      </w:tr>
      <w:tr w:rsidR="00E3458A" w:rsidTr="00F82987" w14:paraId="15458F92"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8E"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281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8F"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4.1: Systemic support for public investment -Reform 2: Methodological support and modernisation of public investment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90"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91"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Adoption by the Government of the Czech Republic a new public procurement strategy and an action plan for its implementation</w:t>
            </w:r>
          </w:p>
        </w:tc>
      </w:tr>
      <w:tr w:rsidR="00E3458A" w:rsidTr="00F82987" w14:paraId="15458F98"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93"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286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94"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4.1: Systemic support for public investment- Reform 4:  </w:t>
            </w:r>
          </w:p>
          <w:p w:rsidR="00D87E44" w:rsidRDefault="00D87E44" w14:paraId="15458F95"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lastRenderedPageBreak/>
              <w:t xml:space="preserve">The increase of effectiveness and enhancing the implementation of the Recovery and Resilience Plan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96"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lastRenderedPageBreak/>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97"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Approved media and communications plan for the revised Recovery and Resilience Plan</w:t>
            </w:r>
          </w:p>
        </w:tc>
      </w:tr>
      <w:tr w:rsidR="00E3458A" w:rsidTr="00F82987" w14:paraId="15458F9E"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99"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304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9A"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7.1:  Renewable energy and electricity infrastructure- Reform 3 – Sub measure 1 </w:t>
            </w:r>
          </w:p>
          <w:p w:rsidR="00D87E44" w:rsidRDefault="00D87E44" w14:paraId="15458F9B"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Improve transparency of the grid connection procedure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9C"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9D"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Entry into force of legislative and procedural changes   </w:t>
            </w:r>
          </w:p>
        </w:tc>
      </w:tr>
      <w:tr w:rsidR="00E3458A" w:rsidTr="00F82987" w14:paraId="15458FA4"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9F"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305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0"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7.1:  Renewable energy and electricity infrastructure- Reform 3 – Sub measure 1 </w:t>
            </w:r>
          </w:p>
          <w:p w:rsidR="00D87E44" w:rsidRDefault="00D87E44" w14:paraId="15458FA1"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Improve transparency of the grid connection procedure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2"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A3"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Publication of information on grid connection requests and capacities </w:t>
            </w:r>
          </w:p>
        </w:tc>
      </w:tr>
      <w:tr w:rsidR="00E3458A" w:rsidTr="00F82987" w14:paraId="15458FA9"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A5"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309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6"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7.2 Supporting decentralisation and digitalisation of the energy- Investment 1:  Electricity Data Centre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7"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A8"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Entry into force of the legislation establishing the Electricity Data Centre</w:t>
            </w:r>
          </w:p>
        </w:tc>
      </w:tr>
      <w:tr w:rsidR="00E3458A" w:rsidTr="00F82987" w14:paraId="15458FAF"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AA"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250</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B"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C 1.4: Digital Economy and Society, Innovative Start-Ups and New Technology-</w:t>
            </w:r>
          </w:p>
          <w:p w:rsidR="00D87E44" w:rsidRDefault="00D87E44" w14:paraId="15458FAC"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Investment 2: European Digital Media Observatory Hub (EDMO)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AD"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AE"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Launch of the extended CEDMO hub  </w:t>
            </w:r>
          </w:p>
        </w:tc>
      </w:tr>
      <w:tr w:rsidR="00E3458A" w:rsidTr="00F82987" w14:paraId="15458FB5" w14:textId="77777777">
        <w:trPr>
          <w:trHeight w:val="600"/>
        </w:trPr>
        <w:tc>
          <w:tcPr>
            <w:tcW w:w="1276" w:type="dxa"/>
            <w:tcBorders>
              <w:top w:val="nil"/>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8FB0"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256 </w:t>
            </w:r>
          </w:p>
        </w:tc>
        <w:tc>
          <w:tcPr>
            <w:tcW w:w="3969" w:type="dxa"/>
            <w:tcBorders>
              <w:top w:val="nil"/>
              <w:left w:val="nil"/>
              <w:bottom w:val="single" w:color="000000" w:themeColor="text1" w:sz="4" w:space="0"/>
              <w:right w:val="single" w:color="000000" w:themeColor="text1" w:sz="8" w:space="0"/>
            </w:tcBorders>
            <w:shd w:val="clear" w:color="auto" w:fill="C6EFCE"/>
            <w:vAlign w:val="center"/>
          </w:tcPr>
          <w:p w:rsidR="00D87E44" w:rsidRDefault="00D87E44" w14:paraId="15458FB1"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C 1.7: Digital Transformation of Public Administration-</w:t>
            </w:r>
          </w:p>
          <w:p w:rsidR="00D87E44" w:rsidRDefault="00D87E44" w14:paraId="15458FB2"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Investment 2: Improvement of the management system for digitalised services </w:t>
            </w:r>
          </w:p>
        </w:tc>
        <w:tc>
          <w:tcPr>
            <w:tcW w:w="1843" w:type="dxa"/>
            <w:tcBorders>
              <w:top w:val="nil"/>
              <w:left w:val="nil"/>
              <w:bottom w:val="single" w:color="000000" w:themeColor="text1" w:sz="4" w:space="0"/>
              <w:right w:val="single" w:color="000000" w:themeColor="text1" w:sz="8" w:space="0"/>
            </w:tcBorders>
            <w:shd w:val="clear" w:color="auto" w:fill="C6EFCE"/>
            <w:vAlign w:val="center"/>
          </w:tcPr>
          <w:p w:rsidR="00D87E44" w:rsidRDefault="00D87E44" w14:paraId="15458FB3"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000000" w:themeColor="text1" w:sz="4" w:space="0"/>
              <w:right w:val="single" w:color="auto" w:sz="8" w:space="0"/>
            </w:tcBorders>
            <w:shd w:val="clear" w:color="auto" w:fill="C6EFCE"/>
            <w:vAlign w:val="center"/>
          </w:tcPr>
          <w:p w:rsidR="00D87E44" w:rsidRDefault="00D87E44" w14:paraId="15458FB4"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Setting up the working groups</w:t>
            </w:r>
          </w:p>
        </w:tc>
      </w:tr>
      <w:tr w:rsidR="00E3458A" w:rsidTr="00F82987" w14:paraId="15458FBA" w14:textId="77777777">
        <w:trPr>
          <w:trHeight w:val="600"/>
        </w:trPr>
        <w:tc>
          <w:tcPr>
            <w:tcW w:w="1276" w:type="dxa"/>
            <w:tcBorders>
              <w:top w:val="single" w:color="000000" w:themeColor="text1" w:sz="4" w:space="0"/>
              <w:left w:val="single" w:color="auto" w:sz="8" w:space="0"/>
              <w:bottom w:val="single" w:color="auto" w:sz="4" w:space="0"/>
              <w:right w:val="single" w:color="000000" w:themeColor="text1" w:sz="8" w:space="0"/>
            </w:tcBorders>
            <w:shd w:val="clear" w:color="auto" w:fill="C6EFCE"/>
            <w:vAlign w:val="center"/>
          </w:tcPr>
          <w:p w:rsidR="00D87E44" w:rsidRDefault="00D87E44" w14:paraId="15458FB6"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292 </w:t>
            </w:r>
          </w:p>
        </w:tc>
        <w:tc>
          <w:tcPr>
            <w:tcW w:w="3969" w:type="dxa"/>
            <w:tcBorders>
              <w:top w:val="single" w:color="000000" w:themeColor="text1" w:sz="4" w:space="0"/>
              <w:left w:val="nil"/>
              <w:bottom w:val="single" w:color="auto" w:sz="4" w:space="0"/>
              <w:right w:val="single" w:color="000000" w:themeColor="text1" w:sz="8" w:space="0"/>
            </w:tcBorders>
            <w:shd w:val="clear" w:color="auto" w:fill="C6EFCE"/>
            <w:vAlign w:val="center"/>
          </w:tcPr>
          <w:p w:rsidR="00D87E44" w:rsidRDefault="00D87E44" w14:paraId="15458FB7"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5.2: Support for Research and Development in Companies and Introduction of Innovations into Business Practice  - Investment 5: Aid for research and development in enterprises in line with the national RIS3 strategy </w:t>
            </w:r>
          </w:p>
        </w:tc>
        <w:tc>
          <w:tcPr>
            <w:tcW w:w="1843" w:type="dxa"/>
            <w:tcBorders>
              <w:top w:val="single" w:color="000000" w:themeColor="text1" w:sz="4" w:space="0"/>
              <w:left w:val="nil"/>
              <w:bottom w:val="single" w:color="auto" w:sz="4" w:space="0"/>
              <w:right w:val="single" w:color="000000" w:themeColor="text1" w:sz="8" w:space="0"/>
            </w:tcBorders>
            <w:shd w:val="clear" w:color="auto" w:fill="C6EFCE"/>
            <w:vAlign w:val="center"/>
          </w:tcPr>
          <w:p w:rsidR="00D87E44" w:rsidRDefault="00D87E44" w14:paraId="15458FB8"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Target </w:t>
            </w:r>
          </w:p>
        </w:tc>
        <w:tc>
          <w:tcPr>
            <w:tcW w:w="3402" w:type="dxa"/>
            <w:tcBorders>
              <w:top w:val="single" w:color="000000" w:themeColor="text1" w:sz="4" w:space="0"/>
              <w:left w:val="nil"/>
              <w:bottom w:val="single" w:color="auto" w:sz="4" w:space="0"/>
              <w:right w:val="single" w:color="auto" w:sz="8" w:space="0"/>
            </w:tcBorders>
            <w:shd w:val="clear" w:color="auto" w:fill="C6EFCE"/>
            <w:vAlign w:val="center"/>
          </w:tcPr>
          <w:p w:rsidR="00D87E44" w:rsidRDefault="00D87E44" w14:paraId="15458FB9"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Research and development in line with the RIS3 strategy</w:t>
            </w:r>
          </w:p>
        </w:tc>
      </w:tr>
      <w:tr w:rsidR="00E3458A" w:rsidTr="00F82987" w14:paraId="15458FBF"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BB"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294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BC"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5.2: Support for Research and Development in Companies and Introduction of Innovations into Business Practice  - Investment 6: Aid for research and development in the field of transport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BD"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Target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BE"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Research and development in the field of transport</w:t>
            </w:r>
          </w:p>
        </w:tc>
      </w:tr>
      <w:tr w:rsidR="00E3458A" w:rsidTr="00F82987" w14:paraId="15458FC4"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C0"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296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1"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5.2: Support for Research and Development in Companies and Introduction of Innovations into Business Practice  - Investment 7: Aid for research and development in the environmental field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2"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Target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C3"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Research and development in the environmental field</w:t>
            </w:r>
          </w:p>
        </w:tc>
      </w:tr>
      <w:tr w:rsidR="00E3458A" w:rsidTr="00F82987" w14:paraId="15458FCA"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C5" w14:textId="77777777">
            <w:pPr>
              <w:spacing w:before="0" w:after="0" w:line="240" w:lineRule="auto"/>
              <w:jc w:val="center"/>
              <w:rPr>
                <w:rFonts w:eastAsia="Times New Roman"/>
                <w:noProof/>
                <w:color w:val="006100"/>
                <w:sz w:val="20"/>
                <w:szCs w:val="20"/>
              </w:rPr>
            </w:pPr>
            <w:r w:rsidRPr="0824AC77">
              <w:rPr>
                <w:rFonts w:eastAsia="Times New Roman"/>
                <w:noProof/>
                <w:color w:val="006100"/>
                <w:sz w:val="20"/>
                <w:szCs w:val="20"/>
              </w:rPr>
              <w:t xml:space="preserve">312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6"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7.2 Supporting decentralisation and digitalisation of the energy- Reform 1 : Energy communities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7"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C8"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Entry into force of the amended legislation on energy communities </w:t>
            </w:r>
          </w:p>
          <w:p w:rsidR="00D87E44" w:rsidRDefault="00D87E44" w14:paraId="15458FC9" w14:textId="77777777">
            <w:pPr>
              <w:spacing w:before="0" w:after="0" w:line="240" w:lineRule="auto"/>
              <w:jc w:val="center"/>
              <w:rPr>
                <w:rFonts w:eastAsia="Times New Roman"/>
                <w:noProof/>
                <w:color w:val="006100"/>
                <w:sz w:val="20"/>
                <w:szCs w:val="20"/>
              </w:rPr>
            </w:pPr>
          </w:p>
        </w:tc>
      </w:tr>
      <w:tr w:rsidR="00E3458A" w:rsidTr="00F82987" w14:paraId="15458FCF"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CB" w14:textId="77777777">
            <w:pPr>
              <w:spacing w:before="0" w:after="0"/>
              <w:jc w:val="center"/>
              <w:rPr>
                <w:rFonts w:eastAsia="Times New Roman"/>
                <w:noProof/>
                <w:color w:val="006100"/>
                <w:sz w:val="20"/>
                <w:szCs w:val="20"/>
              </w:rPr>
            </w:pPr>
            <w:r w:rsidRPr="0824AC77">
              <w:rPr>
                <w:rFonts w:eastAsia="Times New Roman"/>
                <w:noProof/>
                <w:color w:val="006100"/>
                <w:sz w:val="20"/>
                <w:szCs w:val="20"/>
              </w:rPr>
              <w:t xml:space="preserve">329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C"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7.5 Decarbonisation of Road Transport -  Reform 1: National Action Plan for Clean Mobility and deployment targets for zero-emission mobility  </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CD"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CE"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Revision of the National Action Plan for Clean Mobility</w:t>
            </w:r>
          </w:p>
        </w:tc>
      </w:tr>
      <w:tr w:rsidR="00E3458A" w:rsidTr="00F82987" w14:paraId="15458FD5" w14:textId="77777777">
        <w:trPr>
          <w:trHeight w:val="600"/>
        </w:trPr>
        <w:tc>
          <w:tcPr>
            <w:tcW w:w="1276" w:type="dxa"/>
            <w:tcBorders>
              <w:top w:val="nil"/>
              <w:left w:val="single" w:color="auto" w:sz="8" w:space="0"/>
              <w:bottom w:val="single" w:color="auto" w:sz="4" w:space="0"/>
              <w:right w:val="single" w:color="000000" w:themeColor="text1" w:sz="8" w:space="0"/>
            </w:tcBorders>
            <w:shd w:val="clear" w:color="auto" w:fill="C6EFCE"/>
            <w:vAlign w:val="center"/>
          </w:tcPr>
          <w:p w:rsidR="00D87E44" w:rsidRDefault="00D87E44" w14:paraId="15458FD0" w14:textId="77777777">
            <w:pPr>
              <w:spacing w:before="0" w:after="0"/>
              <w:jc w:val="center"/>
              <w:rPr>
                <w:rFonts w:eastAsia="Times New Roman"/>
                <w:noProof/>
                <w:color w:val="006100"/>
                <w:sz w:val="20"/>
                <w:szCs w:val="20"/>
              </w:rPr>
            </w:pPr>
            <w:r w:rsidRPr="0824AC77">
              <w:rPr>
                <w:rFonts w:eastAsia="Times New Roman"/>
                <w:noProof/>
                <w:color w:val="006100"/>
                <w:sz w:val="20"/>
                <w:szCs w:val="20"/>
              </w:rPr>
              <w:t xml:space="preserve">333 </w:t>
            </w:r>
          </w:p>
        </w:tc>
        <w:tc>
          <w:tcPr>
            <w:tcW w:w="3969"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D1"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C 7.5 Decarbonisation of Road Transport </w:t>
            </w:r>
            <w:r w:rsidRPr="11582C34">
              <w:rPr>
                <w:rFonts w:eastAsia="Times New Roman"/>
                <w:noProof/>
                <w:color w:val="006100"/>
                <w:sz w:val="20"/>
                <w:szCs w:val="20"/>
                <w:lang w:val="en-IE"/>
              </w:rPr>
              <w:t xml:space="preserve">(REPowerEU) </w:t>
            </w:r>
            <w:r w:rsidRPr="3729303F">
              <w:rPr>
                <w:rFonts w:eastAsia="Times New Roman"/>
                <w:noProof/>
                <w:color w:val="006100"/>
                <w:sz w:val="20"/>
                <w:szCs w:val="20"/>
              </w:rPr>
              <w:t>-</w:t>
            </w:r>
          </w:p>
          <w:p w:rsidR="00D87E44" w:rsidRDefault="00D87E44" w14:paraId="15458FD2"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Reform 3: Improving the regulatory framework for renewable hydrogen</w:t>
            </w:r>
          </w:p>
        </w:tc>
        <w:tc>
          <w:tcPr>
            <w:tcW w:w="1843" w:type="dxa"/>
            <w:tcBorders>
              <w:top w:val="nil"/>
              <w:left w:val="nil"/>
              <w:bottom w:val="single" w:color="auto" w:sz="4" w:space="0"/>
              <w:right w:val="single" w:color="000000" w:themeColor="text1" w:sz="8" w:space="0"/>
            </w:tcBorders>
            <w:shd w:val="clear" w:color="auto" w:fill="C6EFCE"/>
            <w:vAlign w:val="center"/>
          </w:tcPr>
          <w:p w:rsidR="00D87E44" w:rsidRDefault="00D87E44" w14:paraId="15458FD3"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 xml:space="preserve">Milestone </w:t>
            </w:r>
          </w:p>
        </w:tc>
        <w:tc>
          <w:tcPr>
            <w:tcW w:w="3402" w:type="dxa"/>
            <w:tcBorders>
              <w:top w:val="nil"/>
              <w:left w:val="nil"/>
              <w:bottom w:val="single" w:color="auto" w:sz="4" w:space="0"/>
              <w:right w:val="single" w:color="auto" w:sz="8" w:space="0"/>
            </w:tcBorders>
            <w:shd w:val="clear" w:color="auto" w:fill="C6EFCE"/>
            <w:vAlign w:val="center"/>
          </w:tcPr>
          <w:p w:rsidR="00D87E44" w:rsidRDefault="00D87E44" w14:paraId="15458FD4" w14:textId="77777777">
            <w:pPr>
              <w:spacing w:before="0" w:after="0" w:line="240" w:lineRule="auto"/>
              <w:jc w:val="center"/>
              <w:rPr>
                <w:rFonts w:eastAsia="Times New Roman"/>
                <w:noProof/>
                <w:color w:val="006100"/>
                <w:sz w:val="20"/>
                <w:szCs w:val="20"/>
              </w:rPr>
            </w:pPr>
            <w:r w:rsidRPr="3729303F">
              <w:rPr>
                <w:rFonts w:eastAsia="Times New Roman"/>
                <w:noProof/>
                <w:color w:val="006100"/>
                <w:sz w:val="20"/>
                <w:szCs w:val="20"/>
              </w:rPr>
              <w:t>Revision of the Czech Hydrogen Strategy</w:t>
            </w:r>
          </w:p>
        </w:tc>
      </w:tr>
      <w:tr w:rsidRPr="00FE48E2" w:rsidR="00D226F4" w:rsidTr="00F82987" w14:paraId="15458FDA" w14:textId="77777777">
        <w:trPr>
          <w:trHeight w:val="600"/>
        </w:trPr>
        <w:tc>
          <w:tcPr>
            <w:tcW w:w="1276" w:type="dxa"/>
            <w:tcBorders>
              <w:top w:val="single" w:color="auto" w:sz="4" w:space="0"/>
              <w:left w:val="single" w:color="auto" w:sz="8" w:space="0"/>
              <w:bottom w:val="single" w:color="auto" w:sz="8" w:space="0"/>
              <w:right w:val="single" w:color="000000" w:themeColor="text1" w:sz="8" w:space="0"/>
            </w:tcBorders>
            <w:shd w:val="clear" w:color="auto" w:fill="C6EFCE"/>
            <w:vAlign w:val="center"/>
          </w:tcPr>
          <w:p w:rsidRPr="00FE48E2" w:rsidR="00D87E44" w:rsidRDefault="00D87E44" w14:paraId="15458FD6" w14:textId="77777777">
            <w:pPr>
              <w:spacing w:before="0" w:after="0" w:line="240" w:lineRule="auto"/>
              <w:jc w:val="center"/>
              <w:rPr>
                <w:rFonts w:eastAsia="Times New Roman"/>
                <w:noProof/>
                <w:color w:val="006100"/>
                <w:sz w:val="20"/>
                <w:szCs w:val="20"/>
                <w:lang w:val="en-IE"/>
              </w:rPr>
            </w:pPr>
          </w:p>
        </w:tc>
        <w:tc>
          <w:tcPr>
            <w:tcW w:w="3969" w:type="dxa"/>
            <w:tcBorders>
              <w:top w:val="single" w:color="auto" w:sz="4" w:space="0"/>
              <w:left w:val="nil"/>
              <w:bottom w:val="single" w:color="auto" w:sz="8" w:space="0"/>
              <w:right w:val="single" w:color="000000" w:themeColor="text1" w:sz="8" w:space="0"/>
            </w:tcBorders>
            <w:shd w:val="clear" w:color="auto" w:fill="C6EFCE"/>
            <w:vAlign w:val="center"/>
          </w:tcPr>
          <w:p w:rsidRPr="00FE48E2" w:rsidR="00D87E44" w:rsidRDefault="00D87E44" w14:paraId="15458FD7" w14:textId="77777777">
            <w:pPr>
              <w:spacing w:before="0" w:after="0" w:line="240" w:lineRule="auto"/>
              <w:jc w:val="center"/>
              <w:rPr>
                <w:rFonts w:eastAsia="Times New Roman"/>
                <w:noProof/>
                <w:color w:val="006100"/>
                <w:sz w:val="20"/>
                <w:szCs w:val="20"/>
                <w:lang w:val="en-IE"/>
              </w:rPr>
            </w:pPr>
          </w:p>
        </w:tc>
        <w:tc>
          <w:tcPr>
            <w:tcW w:w="1843" w:type="dxa"/>
            <w:tcBorders>
              <w:top w:val="single" w:color="auto" w:sz="4" w:space="0"/>
              <w:left w:val="nil"/>
              <w:bottom w:val="single" w:color="auto" w:sz="8" w:space="0"/>
              <w:right w:val="single" w:color="000000" w:themeColor="text1" w:sz="8" w:space="0"/>
            </w:tcBorders>
            <w:shd w:val="clear" w:color="auto" w:fill="C6EFCE"/>
            <w:vAlign w:val="center"/>
          </w:tcPr>
          <w:p w:rsidRPr="00FE48E2" w:rsidR="00D87E44" w:rsidRDefault="00D87E44" w14:paraId="15458FD8"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Instalment Amount</w:t>
            </w:r>
          </w:p>
        </w:tc>
        <w:tc>
          <w:tcPr>
            <w:tcW w:w="3402" w:type="dxa"/>
            <w:tcBorders>
              <w:top w:val="single" w:color="auto" w:sz="4" w:space="0"/>
              <w:left w:val="nil"/>
              <w:bottom w:val="single" w:color="auto" w:sz="8" w:space="0"/>
              <w:right w:val="single" w:color="auto" w:sz="8" w:space="0"/>
            </w:tcBorders>
            <w:shd w:val="clear" w:color="auto" w:fill="C6EFCE"/>
            <w:vAlign w:val="center"/>
          </w:tcPr>
          <w:p w:rsidRPr="00FE48E2" w:rsidR="00D87E44" w:rsidRDefault="00D87E44" w14:paraId="15458FD9" w14:textId="77777777">
            <w:pPr>
              <w:spacing w:before="0" w:after="0" w:line="240" w:lineRule="auto"/>
              <w:jc w:val="center"/>
              <w:rPr>
                <w:rFonts w:eastAsia="Times New Roman"/>
                <w:b/>
                <w:bCs/>
                <w:noProof/>
                <w:color w:val="006100"/>
                <w:sz w:val="20"/>
                <w:szCs w:val="20"/>
                <w:lang w:val="en-IE"/>
              </w:rPr>
            </w:pPr>
            <w:r w:rsidRPr="0824AC77">
              <w:rPr>
                <w:rFonts w:eastAsia="Times New Roman"/>
                <w:b/>
                <w:bCs/>
                <w:noProof/>
                <w:color w:val="006100"/>
                <w:sz w:val="20"/>
                <w:szCs w:val="20"/>
                <w:lang w:val="en-IE"/>
              </w:rPr>
              <w:t>EUR 687</w:t>
            </w:r>
            <w:r>
              <w:rPr>
                <w:rFonts w:eastAsia="Times New Roman"/>
                <w:b/>
                <w:bCs/>
                <w:noProof/>
                <w:color w:val="006100"/>
                <w:sz w:val="20"/>
                <w:szCs w:val="20"/>
                <w:lang w:val="en-IE"/>
              </w:rPr>
              <w:t> </w:t>
            </w:r>
            <w:r w:rsidRPr="0824AC77">
              <w:rPr>
                <w:rFonts w:eastAsia="Times New Roman"/>
                <w:b/>
                <w:bCs/>
                <w:noProof/>
                <w:color w:val="006100"/>
                <w:sz w:val="20"/>
                <w:szCs w:val="20"/>
                <w:lang w:val="en-IE"/>
              </w:rPr>
              <w:t>612</w:t>
            </w:r>
            <w:r>
              <w:rPr>
                <w:rFonts w:eastAsia="Times New Roman"/>
                <w:b/>
                <w:bCs/>
                <w:noProof/>
                <w:color w:val="006100"/>
                <w:sz w:val="20"/>
                <w:szCs w:val="20"/>
                <w:lang w:val="en-IE"/>
              </w:rPr>
              <w:t> </w:t>
            </w:r>
            <w:r w:rsidRPr="0824AC77">
              <w:rPr>
                <w:rFonts w:eastAsia="Times New Roman"/>
                <w:b/>
                <w:bCs/>
                <w:noProof/>
                <w:color w:val="006100"/>
                <w:sz w:val="20"/>
                <w:szCs w:val="20"/>
                <w:lang w:val="en-IE"/>
              </w:rPr>
              <w:t>357</w:t>
            </w:r>
          </w:p>
        </w:tc>
      </w:tr>
    </w:tbl>
    <w:p w:rsidR="00D87E44" w:rsidP="00D226F4" w:rsidRDefault="00D87E44" w14:paraId="15458FDB" w14:textId="77777777">
      <w:pPr>
        <w:spacing w:line="240" w:lineRule="auto"/>
        <w:jc w:val="both"/>
        <w:rPr>
          <w:noProof/>
          <w:lang w:val="en-IE"/>
        </w:rPr>
        <w:sectPr w:rsidR="00C16C1F" w:rsidSect="00D226F4">
          <w:headerReference w:type="even" r:id="R1f2f3bb93fb24aaf"/>
          <w:footerReference w:type="even" r:id="Rf89b7844f61542d7"/>
          <w:headerReference w:type="first" r:id="R29fb86dbce8941f2"/>
          <w:footerReference w:type="first" r:id="R9e6f5ea94d264773"/>
          <w:pgSz w:w="11907" w:h="16839"/>
          <w:pgMar w:top="1134" w:right="1134" w:bottom="1134" w:left="1134" w:header="567" w:footer="567" w:gutter="0"/>
          <w:cols w:space="720"/>
          <w:docGrid w:linePitch="360"/>
        </w:sectPr>
      </w:pPr>
    </w:p>
    <w:p w:rsidRPr="00161ECD" w:rsidR="00D87E44" w:rsidP="00D226F4" w:rsidRDefault="00D87E44" w14:paraId="15458FDC" w14:textId="77777777">
      <w:pPr>
        <w:numPr>
          <w:ilvl w:val="1"/>
          <w:numId w:val="89"/>
        </w:numPr>
        <w:spacing w:line="240" w:lineRule="auto"/>
        <w:jc w:val="both"/>
        <w:rPr>
          <w:noProof/>
          <w:lang w:val="fr-BE"/>
        </w:rPr>
      </w:pPr>
      <w:r w:rsidRPr="00AB0C90">
        <w:rPr>
          <w:noProof/>
          <w:lang w:val="fr-BE"/>
        </w:rPr>
        <w:lastRenderedPageBreak/>
        <w:t xml:space="preserve">Sixth Instalment (non-repayable support): </w:t>
      </w:r>
    </w:p>
    <w:tbl>
      <w:tblPr>
        <w:tblW w:w="10656"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97"/>
        <w:gridCol w:w="4021"/>
        <w:gridCol w:w="1692"/>
        <w:gridCol w:w="3646"/>
      </w:tblGrid>
      <w:tr w:rsidRPr="00E03285" w:rsidR="00E3458A" w:rsidTr="00BF2B2E" w14:paraId="15458FE1" w14:textId="77777777">
        <w:trPr>
          <w:trHeight w:val="822"/>
          <w:tblHeader/>
        </w:trPr>
        <w:tc>
          <w:tcPr>
            <w:tcW w:w="1207" w:type="dxa"/>
            <w:shd w:val="clear" w:color="auto" w:fill="BDD7EE"/>
            <w:vAlign w:val="center"/>
            <w:hideMark/>
          </w:tcPr>
          <w:p w:rsidRPr="00E03285" w:rsidR="00D87E44" w:rsidRDefault="00D87E44" w14:paraId="15458FDD" w14:textId="77777777">
            <w:pPr>
              <w:spacing w:before="0" w:after="0" w:line="240" w:lineRule="auto"/>
              <w:jc w:val="center"/>
              <w:rPr>
                <w:b/>
                <w:color w:val="000000"/>
                <w:lang w:val="en-IE"/>
              </w:rPr>
            </w:pPr>
            <w:r w:rsidRPr="00FF1320">
              <w:rPr>
                <w:b/>
                <w:color w:val="000000"/>
                <w:lang w:val="en-IE"/>
              </w:rPr>
              <w:t>Sequential Number</w:t>
            </w:r>
          </w:p>
        </w:tc>
        <w:tc>
          <w:tcPr>
            <w:tcW w:w="4062" w:type="dxa"/>
            <w:shd w:val="clear" w:color="auto" w:fill="BDD7EE"/>
            <w:vAlign w:val="center"/>
            <w:hideMark/>
          </w:tcPr>
          <w:p w:rsidRPr="00E03285" w:rsidR="00D87E44" w:rsidRDefault="00D87E44" w14:paraId="15458FDE" w14:textId="77777777">
            <w:pPr>
              <w:spacing w:before="0" w:after="0" w:line="240" w:lineRule="auto"/>
              <w:jc w:val="center"/>
              <w:rPr>
                <w:b/>
                <w:color w:val="000000"/>
                <w:lang w:val="en-IE"/>
              </w:rPr>
            </w:pPr>
            <w:r w:rsidRPr="00FF1320">
              <w:rPr>
                <w:b/>
                <w:color w:val="000000"/>
                <w:lang w:val="en-IE"/>
              </w:rPr>
              <w:t>Related Measure (Reform or Investment)</w:t>
            </w:r>
          </w:p>
        </w:tc>
        <w:tc>
          <w:tcPr>
            <w:tcW w:w="1701" w:type="dxa"/>
            <w:shd w:val="clear" w:color="auto" w:fill="BDD7EE"/>
            <w:vAlign w:val="center"/>
            <w:hideMark/>
          </w:tcPr>
          <w:p w:rsidRPr="00E03285" w:rsidR="00D87E44" w:rsidRDefault="00D87E44" w14:paraId="15458FDF" w14:textId="77777777">
            <w:pPr>
              <w:spacing w:before="0" w:after="0" w:line="240" w:lineRule="auto"/>
              <w:jc w:val="center"/>
              <w:rPr>
                <w:b/>
                <w:color w:val="000000"/>
                <w:lang w:val="en-IE"/>
              </w:rPr>
            </w:pPr>
            <w:r w:rsidRPr="00FF1320">
              <w:rPr>
                <w:b/>
                <w:color w:val="000000"/>
                <w:lang w:val="en-IE"/>
              </w:rPr>
              <w:t>Milestone / Target</w:t>
            </w:r>
          </w:p>
        </w:tc>
        <w:tc>
          <w:tcPr>
            <w:tcW w:w="3686" w:type="dxa"/>
            <w:shd w:val="clear" w:color="auto" w:fill="BDD7EE"/>
            <w:vAlign w:val="center"/>
            <w:hideMark/>
          </w:tcPr>
          <w:p w:rsidRPr="00E03285" w:rsidR="00D87E44" w:rsidRDefault="00D87E44" w14:paraId="15458FE0" w14:textId="77777777">
            <w:pPr>
              <w:spacing w:before="0" w:after="0" w:line="240" w:lineRule="auto"/>
              <w:jc w:val="center"/>
              <w:rPr>
                <w:b/>
                <w:color w:val="000000"/>
                <w:lang w:val="en-IE"/>
              </w:rPr>
            </w:pPr>
            <w:r w:rsidRPr="00FF1320">
              <w:rPr>
                <w:b/>
                <w:color w:val="000000"/>
                <w:lang w:val="en-IE"/>
              </w:rPr>
              <w:t>Name</w:t>
            </w:r>
          </w:p>
        </w:tc>
      </w:tr>
      <w:tr w:rsidRPr="00E03285" w:rsidR="00E3458A" w:rsidTr="00BF2B2E" w14:paraId="15458FE6" w14:textId="77777777">
        <w:trPr>
          <w:trHeight w:val="300"/>
        </w:trPr>
        <w:tc>
          <w:tcPr>
            <w:tcW w:w="1207" w:type="dxa"/>
            <w:shd w:val="clear" w:color="auto" w:fill="C6EFCE"/>
            <w:vAlign w:val="center"/>
            <w:hideMark/>
          </w:tcPr>
          <w:p w:rsidRPr="00E03285" w:rsidR="00D87E44" w:rsidRDefault="00D87E44" w14:paraId="15458FE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125</w:t>
            </w:r>
          </w:p>
        </w:tc>
        <w:tc>
          <w:tcPr>
            <w:tcW w:w="4062" w:type="dxa"/>
            <w:shd w:val="clear" w:color="auto" w:fill="C6EFCE"/>
            <w:vAlign w:val="center"/>
            <w:hideMark/>
          </w:tcPr>
          <w:p w:rsidRPr="00E03285" w:rsidR="00D87E44" w:rsidRDefault="00D87E44" w14:paraId="15458FE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2.5: Building Renovation and Air Protection - Investment 1: Renovation and revitalisation of buildings for energy savings</w:t>
            </w:r>
          </w:p>
        </w:tc>
        <w:tc>
          <w:tcPr>
            <w:tcW w:w="1701" w:type="dxa"/>
            <w:shd w:val="clear" w:color="auto" w:fill="C6EFCE"/>
            <w:vAlign w:val="center"/>
            <w:hideMark/>
          </w:tcPr>
          <w:p w:rsidRPr="00E03285" w:rsidR="00D87E44" w:rsidRDefault="00D87E44" w14:paraId="15458FE4" w14:textId="77777777">
            <w:pPr>
              <w:spacing w:before="0" w:after="0" w:line="240" w:lineRule="auto"/>
              <w:jc w:val="center"/>
              <w:rPr>
                <w:rFonts w:eastAsia="Times New Roman"/>
                <w:noProof/>
                <w:color w:val="006100"/>
                <w:sz w:val="20"/>
                <w:szCs w:val="20"/>
                <w:lang w:val="en-IE"/>
              </w:rPr>
            </w:pPr>
            <w:r w:rsidRPr="00E03285">
              <w:rPr>
                <w:noProof/>
                <w:color w:val="006100"/>
                <w:sz w:val="18"/>
                <w:szCs w:val="18"/>
                <w:lang w:val="en-IE"/>
              </w:rPr>
              <w:t>Target</w:t>
            </w:r>
          </w:p>
        </w:tc>
        <w:tc>
          <w:tcPr>
            <w:tcW w:w="3686" w:type="dxa"/>
            <w:shd w:val="clear" w:color="auto" w:fill="C6EFCE"/>
            <w:vAlign w:val="center"/>
            <w:hideMark/>
          </w:tcPr>
          <w:p w:rsidRPr="00E03285" w:rsidR="00D87E44" w:rsidRDefault="00D87E44" w14:paraId="15458FE5" w14:textId="77777777">
            <w:pPr>
              <w:spacing w:before="0" w:after="0" w:line="240" w:lineRule="auto"/>
              <w:rPr>
                <w:rFonts w:eastAsia="Times New Roman"/>
                <w:noProof/>
                <w:color w:val="006100"/>
                <w:sz w:val="20"/>
                <w:szCs w:val="20"/>
                <w:lang w:val="en-IE"/>
              </w:rPr>
            </w:pPr>
            <w:r w:rsidRPr="00E03285">
              <w:rPr>
                <w:rFonts w:eastAsia="Times New Roman"/>
                <w:noProof/>
                <w:color w:val="006100"/>
                <w:sz w:val="20"/>
                <w:szCs w:val="20"/>
                <w:lang w:val="en-IE"/>
              </w:rPr>
              <w:t xml:space="preserve">Projects contracted for reduction of energy consumption </w:t>
            </w:r>
          </w:p>
        </w:tc>
      </w:tr>
      <w:tr w:rsidRPr="00E03285" w:rsidR="00E3458A" w:rsidTr="00BF2B2E" w14:paraId="15458FEB" w14:textId="77777777">
        <w:trPr>
          <w:trHeight w:val="300"/>
        </w:trPr>
        <w:tc>
          <w:tcPr>
            <w:tcW w:w="1207" w:type="dxa"/>
            <w:shd w:val="clear" w:color="auto" w:fill="C6EFCE"/>
            <w:vAlign w:val="center"/>
            <w:hideMark/>
          </w:tcPr>
          <w:p w:rsidRPr="00E03285" w:rsidR="00D87E44" w:rsidRDefault="00D87E44" w14:paraId="15458FE7" w14:textId="77777777">
            <w:pPr>
              <w:spacing w:before="0" w:after="0" w:line="240" w:lineRule="auto"/>
              <w:jc w:val="center"/>
              <w:rPr>
                <w:rFonts w:eastAsia="Times New Roman"/>
                <w:noProof/>
                <w:color w:val="006100"/>
                <w:sz w:val="18"/>
                <w:szCs w:val="18"/>
              </w:rPr>
            </w:pPr>
            <w:r w:rsidRPr="00E03285">
              <w:rPr>
                <w:rFonts w:eastAsia="Times New Roman"/>
                <w:noProof/>
                <w:color w:val="006100"/>
                <w:sz w:val="18"/>
                <w:szCs w:val="18"/>
              </w:rPr>
              <w:t xml:space="preserve">148 </w:t>
            </w:r>
          </w:p>
        </w:tc>
        <w:tc>
          <w:tcPr>
            <w:tcW w:w="4062" w:type="dxa"/>
            <w:shd w:val="clear" w:color="auto" w:fill="C6EFCE"/>
            <w:vAlign w:val="center"/>
            <w:hideMark/>
          </w:tcPr>
          <w:p w:rsidRPr="00E03285" w:rsidR="00D87E44" w:rsidRDefault="00D87E44" w14:paraId="15458FE8" w14:textId="77777777">
            <w:pPr>
              <w:bidi/>
              <w:spacing w:before="0" w:after="0" w:line="240" w:lineRule="auto"/>
              <w:jc w:val="center"/>
              <w:rPr>
                <w:rFonts w:eastAsia="Times New Roman"/>
                <w:noProof/>
                <w:sz w:val="20"/>
                <w:szCs w:val="20"/>
              </w:rPr>
            </w:pPr>
            <w:r w:rsidRPr="00E03285">
              <w:rPr>
                <w:rFonts w:eastAsia="Times New Roman"/>
                <w:noProof/>
                <w:color w:val="006100"/>
                <w:sz w:val="20"/>
                <w:szCs w:val="20"/>
              </w:rPr>
              <w:t>C</w:t>
            </w:r>
            <w:r w:rsidRPr="00F44062">
              <w:rPr>
                <w:noProof/>
                <w:color w:val="006100"/>
                <w:sz w:val="20"/>
              </w:rPr>
              <w:t xml:space="preserve"> </w:t>
            </w:r>
            <w:r w:rsidRPr="00E03285">
              <w:rPr>
                <w:rFonts w:eastAsia="Times New Roman"/>
                <w:noProof/>
                <w:color w:val="006100"/>
                <w:sz w:val="20"/>
                <w:szCs w:val="20"/>
              </w:rPr>
              <w:t xml:space="preserve">2.7: Circular Economy, Recycling </w:t>
            </w:r>
            <w:r w:rsidRPr="0824AC77">
              <w:rPr>
                <w:rFonts w:eastAsia="Times New Roman"/>
                <w:noProof/>
                <w:color w:val="006100"/>
                <w:sz w:val="20"/>
                <w:szCs w:val="20"/>
              </w:rPr>
              <w:t>and</w:t>
            </w:r>
            <w:r w:rsidRPr="00E03285">
              <w:rPr>
                <w:rFonts w:eastAsia="Times New Roman"/>
                <w:noProof/>
                <w:color w:val="006100"/>
                <w:sz w:val="20"/>
                <w:szCs w:val="20"/>
              </w:rPr>
              <w:t xml:space="preserve"> Industrial Water - Investment 1: Building recycling infrastructure</w:t>
            </w:r>
          </w:p>
        </w:tc>
        <w:tc>
          <w:tcPr>
            <w:tcW w:w="1701" w:type="dxa"/>
            <w:shd w:val="clear" w:color="auto" w:fill="C6EFCE"/>
            <w:vAlign w:val="center"/>
            <w:hideMark/>
          </w:tcPr>
          <w:p w:rsidRPr="00E03285" w:rsidR="00D87E44" w:rsidRDefault="00D87E44" w14:paraId="15458FE9" w14:textId="77777777">
            <w:pPr>
              <w:spacing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B34047" w:rsidR="00D87E44" w:rsidRDefault="00D87E44" w14:paraId="15458FEA" w14:textId="77777777">
            <w:pPr>
              <w:spacing w:before="0" w:after="0" w:line="240" w:lineRule="auto"/>
              <w:jc w:val="center"/>
              <w:rPr>
                <w:rFonts w:eastAsia="Times New Roman"/>
                <w:noProof/>
                <w:sz w:val="18"/>
                <w:szCs w:val="18"/>
              </w:rPr>
            </w:pPr>
            <w:r w:rsidRPr="00B34047">
              <w:rPr>
                <w:rFonts w:eastAsia="Times New Roman"/>
                <w:noProof/>
                <w:color w:val="006100"/>
                <w:sz w:val="20"/>
                <w:szCs w:val="20"/>
              </w:rPr>
              <w:t>Grant decisions for projects investing in recycling infrastructure by the Ministry of Environment</w:t>
            </w:r>
          </w:p>
        </w:tc>
      </w:tr>
      <w:tr w:rsidRPr="00E03285" w:rsidR="00E3458A" w:rsidTr="00BF2B2E" w14:paraId="15458FF0" w14:textId="77777777">
        <w:trPr>
          <w:trHeight w:val="300"/>
        </w:trPr>
        <w:tc>
          <w:tcPr>
            <w:tcW w:w="1207" w:type="dxa"/>
            <w:shd w:val="clear" w:color="auto" w:fill="C6EFCE"/>
            <w:vAlign w:val="center"/>
            <w:hideMark/>
          </w:tcPr>
          <w:p w:rsidRPr="00E03285" w:rsidR="00D87E44" w:rsidRDefault="00D87E44" w14:paraId="15458FEC"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141</w:t>
            </w:r>
          </w:p>
        </w:tc>
        <w:tc>
          <w:tcPr>
            <w:tcW w:w="4062" w:type="dxa"/>
            <w:shd w:val="clear" w:color="auto" w:fill="C6EFCE"/>
            <w:vAlign w:val="center"/>
            <w:hideMark/>
          </w:tcPr>
          <w:p w:rsidRPr="00E03285" w:rsidR="00D87E44" w:rsidRDefault="00D87E44" w14:paraId="15458FE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2.6: Nature Protection and </w:t>
            </w:r>
            <w:r w:rsidRPr="00E03285">
              <w:rPr>
                <w:rFonts w:eastAsia="Times New Roman"/>
                <w:noProof/>
                <w:color w:val="006100"/>
                <w:sz w:val="20"/>
                <w:szCs w:val="20"/>
                <w:lang w:val="en-IE"/>
              </w:rPr>
              <w:t>Adaptation to Climate Change - Investment 4: Building forests resilient to climate change</w:t>
            </w:r>
          </w:p>
        </w:tc>
        <w:tc>
          <w:tcPr>
            <w:tcW w:w="1701" w:type="dxa"/>
            <w:shd w:val="clear" w:color="auto" w:fill="C6EFCE"/>
            <w:vAlign w:val="center"/>
            <w:hideMark/>
          </w:tcPr>
          <w:p w:rsidRPr="00E03285" w:rsidR="00D87E44" w:rsidRDefault="00D87E44" w14:paraId="15458FE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B34047" w:rsidR="00D87E44" w:rsidRDefault="00D87E44" w14:paraId="15458FEF" w14:textId="77777777">
            <w:pPr>
              <w:spacing w:before="0" w:after="0" w:line="240" w:lineRule="auto"/>
              <w:jc w:val="center"/>
              <w:rPr>
                <w:rFonts w:eastAsia="Times New Roman"/>
                <w:noProof/>
                <w:color w:val="004300"/>
                <w:sz w:val="20"/>
                <w:szCs w:val="20"/>
                <w:lang w:val="en-IE"/>
              </w:rPr>
            </w:pPr>
            <w:r w:rsidRPr="00290A5C">
              <w:rPr>
                <w:rFonts w:eastAsia="Times New Roman"/>
                <w:noProof/>
                <w:color w:val="006100"/>
                <w:sz w:val="20"/>
                <w:szCs w:val="20"/>
              </w:rPr>
              <w:t>T2: Reforestation of additional 24</w:t>
            </w:r>
            <w:r>
              <w:rPr>
                <w:rFonts w:eastAsia="Times New Roman"/>
                <w:noProof/>
                <w:color w:val="006100"/>
                <w:sz w:val="20"/>
                <w:szCs w:val="20"/>
              </w:rPr>
              <w:t> </w:t>
            </w:r>
            <w:r w:rsidRPr="00290A5C">
              <w:rPr>
                <w:rFonts w:eastAsia="Times New Roman"/>
                <w:noProof/>
                <w:color w:val="006100"/>
                <w:sz w:val="20"/>
                <w:szCs w:val="20"/>
              </w:rPr>
              <w:t>000 ha of areas by ameliorative and stabilising tree species</w:t>
            </w:r>
            <w:r w:rsidRPr="00B34047">
              <w:rPr>
                <w:rFonts w:eastAsia="Times New Roman"/>
                <w:noProof/>
                <w:color w:val="004300"/>
                <w:sz w:val="20"/>
                <w:szCs w:val="20"/>
                <w:lang w:val="en-IE"/>
              </w:rPr>
              <w:t xml:space="preserve"> </w:t>
            </w:r>
          </w:p>
        </w:tc>
      </w:tr>
      <w:tr w:rsidRPr="00E03285" w:rsidR="00E3458A" w:rsidTr="00BF2B2E" w14:paraId="15458FF5" w14:textId="77777777">
        <w:trPr>
          <w:trHeight w:val="300"/>
        </w:trPr>
        <w:tc>
          <w:tcPr>
            <w:tcW w:w="1207" w:type="dxa"/>
            <w:shd w:val="clear" w:color="auto" w:fill="C6EFCE"/>
            <w:vAlign w:val="center"/>
            <w:hideMark/>
          </w:tcPr>
          <w:p w:rsidRPr="00E03285" w:rsidR="00D87E44" w:rsidRDefault="00D87E44" w14:paraId="15458FF1" w14:textId="77777777">
            <w:pPr>
              <w:spacing w:before="0" w:after="0"/>
              <w:jc w:val="center"/>
              <w:rPr>
                <w:rFonts w:eastAsia="Times New Roman"/>
                <w:noProof/>
                <w:color w:val="006100"/>
                <w:sz w:val="18"/>
                <w:szCs w:val="18"/>
              </w:rPr>
            </w:pPr>
            <w:r w:rsidRPr="00E03285">
              <w:rPr>
                <w:rFonts w:eastAsia="Times New Roman"/>
                <w:noProof/>
                <w:color w:val="006100"/>
                <w:sz w:val="18"/>
                <w:szCs w:val="18"/>
              </w:rPr>
              <w:t>245</w:t>
            </w:r>
          </w:p>
        </w:tc>
        <w:tc>
          <w:tcPr>
            <w:tcW w:w="4062" w:type="dxa"/>
            <w:shd w:val="clear" w:color="auto" w:fill="C6EFCE"/>
            <w:vAlign w:val="center"/>
            <w:hideMark/>
          </w:tcPr>
          <w:p w:rsidRPr="00E03285" w:rsidR="00D87E44" w:rsidRDefault="00D87E44" w14:paraId="15458FF2" w14:textId="77777777">
            <w:pPr>
              <w:spacing w:line="240" w:lineRule="auto"/>
              <w:jc w:val="center"/>
              <w:rPr>
                <w:rFonts w:eastAsia="Times New Roman"/>
                <w:noProof/>
                <w:color w:val="006100"/>
                <w:sz w:val="20"/>
                <w:szCs w:val="20"/>
              </w:rPr>
            </w:pPr>
            <w:r w:rsidRPr="00E03285">
              <w:rPr>
                <w:rFonts w:eastAsia="Times New Roman"/>
                <w:noProof/>
                <w:color w:val="006100"/>
                <w:sz w:val="20"/>
                <w:szCs w:val="20"/>
              </w:rPr>
              <w:t xml:space="preserve">C1.1: Digital Services to Citizens and Businesses </w:t>
            </w:r>
            <w:r>
              <w:rPr>
                <w:rFonts w:eastAsia="Times New Roman"/>
                <w:noProof/>
                <w:color w:val="006100"/>
                <w:sz w:val="20"/>
                <w:szCs w:val="20"/>
              </w:rPr>
              <w:t xml:space="preserve">- </w:t>
            </w:r>
            <w:r w:rsidRPr="00E03285">
              <w:rPr>
                <w:rFonts w:eastAsia="Times New Roman"/>
                <w:noProof/>
                <w:color w:val="006100"/>
                <w:sz w:val="20"/>
                <w:szCs w:val="20"/>
              </w:rPr>
              <w:t>Investment 2: Development of open data and a public data fund</w:t>
            </w:r>
          </w:p>
        </w:tc>
        <w:tc>
          <w:tcPr>
            <w:tcW w:w="1701" w:type="dxa"/>
            <w:shd w:val="clear" w:color="auto" w:fill="C6EFCE"/>
            <w:vAlign w:val="center"/>
            <w:hideMark/>
          </w:tcPr>
          <w:p w:rsidRPr="00E03285" w:rsidR="00D87E44" w:rsidRDefault="00D87E44" w14:paraId="15458FF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B34047" w:rsidR="00D87E44" w:rsidRDefault="00D87E44" w14:paraId="15458FF4" w14:textId="77777777">
            <w:pPr>
              <w:spacing w:line="240" w:lineRule="auto"/>
              <w:jc w:val="center"/>
              <w:rPr>
                <w:rFonts w:eastAsia="Times New Roman"/>
                <w:noProof/>
                <w:color w:val="006100"/>
                <w:sz w:val="20"/>
                <w:szCs w:val="20"/>
              </w:rPr>
            </w:pPr>
            <w:r w:rsidRPr="00B34047">
              <w:rPr>
                <w:rFonts w:eastAsia="Times New Roman"/>
                <w:noProof/>
                <w:color w:val="006100"/>
                <w:sz w:val="20"/>
                <w:szCs w:val="20"/>
              </w:rPr>
              <w:t>Increase in the number of new or improved open data sets published in the National Open Data Catalogue</w:t>
            </w:r>
          </w:p>
        </w:tc>
      </w:tr>
      <w:tr w:rsidRPr="00E03285" w:rsidR="00E3458A" w:rsidTr="00BF2B2E" w14:paraId="15458FFA" w14:textId="77777777">
        <w:trPr>
          <w:trHeight w:val="300"/>
        </w:trPr>
        <w:tc>
          <w:tcPr>
            <w:tcW w:w="1207" w:type="dxa"/>
            <w:shd w:val="clear" w:color="auto" w:fill="C6EFCE"/>
            <w:vAlign w:val="center"/>
            <w:hideMark/>
          </w:tcPr>
          <w:p w:rsidRPr="00E03285" w:rsidR="00D87E44" w:rsidRDefault="00D87E44" w14:paraId="15458FF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9</w:t>
            </w:r>
          </w:p>
        </w:tc>
        <w:tc>
          <w:tcPr>
            <w:tcW w:w="4062" w:type="dxa"/>
            <w:shd w:val="clear" w:color="auto" w:fill="C6EFCE"/>
            <w:vAlign w:val="center"/>
            <w:hideMark/>
          </w:tcPr>
          <w:p w:rsidRPr="00E03285" w:rsidR="00D87E44" w:rsidRDefault="00D87E44" w14:paraId="15458FF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1.1: Digital services to citizens and businesses - Investment 1: Digital services for end users</w:t>
            </w:r>
          </w:p>
        </w:tc>
        <w:tc>
          <w:tcPr>
            <w:tcW w:w="1701" w:type="dxa"/>
            <w:shd w:val="clear" w:color="auto" w:fill="C6EFCE"/>
            <w:vAlign w:val="center"/>
            <w:hideMark/>
          </w:tcPr>
          <w:p w:rsidRPr="00E03285" w:rsidR="00D87E44" w:rsidRDefault="00D87E44" w14:paraId="15458FF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B34047" w:rsidR="00D87E44" w:rsidRDefault="00D87E44" w14:paraId="15458FF9" w14:textId="77777777">
            <w:pPr>
              <w:spacing w:before="0" w:after="0" w:line="240" w:lineRule="auto"/>
              <w:jc w:val="center"/>
              <w:rPr>
                <w:rFonts w:eastAsia="Times New Roman"/>
                <w:noProof/>
                <w:color w:val="006100"/>
                <w:sz w:val="20"/>
                <w:szCs w:val="20"/>
                <w:lang w:val="en-IE"/>
              </w:rPr>
            </w:pPr>
            <w:r w:rsidRPr="00B34047">
              <w:rPr>
                <w:rFonts w:eastAsia="Times New Roman"/>
                <w:noProof/>
                <w:color w:val="006100"/>
                <w:sz w:val="20"/>
                <w:szCs w:val="20"/>
                <w:lang w:val="en-IE"/>
              </w:rPr>
              <w:t>Entry into operation of 4 information systems</w:t>
            </w:r>
          </w:p>
        </w:tc>
      </w:tr>
      <w:tr w:rsidRPr="00E03285" w:rsidR="00E3458A" w:rsidTr="00BF2B2E" w14:paraId="15459000" w14:textId="77777777">
        <w:trPr>
          <w:trHeight w:val="300"/>
        </w:trPr>
        <w:tc>
          <w:tcPr>
            <w:tcW w:w="1207" w:type="dxa"/>
            <w:shd w:val="clear" w:color="auto" w:fill="C6EFCE"/>
            <w:vAlign w:val="center"/>
            <w:hideMark/>
          </w:tcPr>
          <w:p w:rsidRPr="00E03285" w:rsidR="00D87E44" w:rsidRDefault="00D87E44" w14:paraId="15458FF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276</w:t>
            </w:r>
          </w:p>
        </w:tc>
        <w:tc>
          <w:tcPr>
            <w:tcW w:w="4062" w:type="dxa"/>
            <w:shd w:val="clear" w:color="auto" w:fill="C6EFCE"/>
            <w:vAlign w:val="center"/>
            <w:hideMark/>
          </w:tcPr>
          <w:p w:rsidRPr="00E03285" w:rsidR="00D87E44" w:rsidRDefault="00D87E44" w14:paraId="15458FFC"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w:t>
            </w:r>
            <w:r>
              <w:rPr>
                <w:rFonts w:eastAsia="Times New Roman"/>
                <w:noProof/>
                <w:color w:val="006100"/>
                <w:sz w:val="20"/>
                <w:szCs w:val="20"/>
              </w:rPr>
              <w:t xml:space="preserve"> </w:t>
            </w:r>
            <w:r w:rsidRPr="00E03285">
              <w:rPr>
                <w:rFonts w:eastAsia="Times New Roman"/>
                <w:noProof/>
                <w:color w:val="006100"/>
                <w:sz w:val="20"/>
                <w:szCs w:val="20"/>
              </w:rPr>
              <w:t>3.3: Modernisation of Employment Services and Labour Market Development -</w:t>
            </w:r>
          </w:p>
          <w:p w:rsidRPr="00E03285" w:rsidR="00D87E44" w:rsidRDefault="00D87E44" w14:paraId="15458FFD"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Reform 4: Reform in the care of the children at risk </w:t>
            </w:r>
          </w:p>
        </w:tc>
        <w:tc>
          <w:tcPr>
            <w:tcW w:w="1701" w:type="dxa"/>
            <w:shd w:val="clear" w:color="auto" w:fill="C6EFCE"/>
            <w:vAlign w:val="center"/>
            <w:hideMark/>
          </w:tcPr>
          <w:p w:rsidRPr="00E03285" w:rsidR="00D87E44" w:rsidP="003A550A" w:rsidRDefault="00D87E44" w14:paraId="15458FFE"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Milestone </w:t>
            </w:r>
          </w:p>
        </w:tc>
        <w:tc>
          <w:tcPr>
            <w:tcW w:w="3686" w:type="dxa"/>
            <w:shd w:val="clear" w:color="auto" w:fill="C6EFCE"/>
            <w:vAlign w:val="center"/>
            <w:hideMark/>
          </w:tcPr>
          <w:p w:rsidRPr="00B34047" w:rsidR="00D87E44" w:rsidRDefault="00D87E44" w14:paraId="15458FFF" w14:textId="77777777">
            <w:pPr>
              <w:spacing w:before="0" w:after="0" w:line="240" w:lineRule="auto"/>
              <w:jc w:val="center"/>
              <w:rPr>
                <w:rFonts w:eastAsia="Times New Roman"/>
                <w:noProof/>
                <w:color w:val="006100"/>
                <w:sz w:val="20"/>
                <w:szCs w:val="20"/>
              </w:rPr>
            </w:pPr>
            <w:r w:rsidRPr="00B34047">
              <w:rPr>
                <w:rFonts w:eastAsia="Times New Roman"/>
                <w:noProof/>
                <w:color w:val="006100"/>
                <w:sz w:val="20"/>
                <w:szCs w:val="20"/>
              </w:rPr>
              <w:t>Entry into force of an Amendment to the Act on Social and Legal Protection of Children</w:t>
            </w:r>
            <w:r>
              <w:rPr>
                <w:rFonts w:eastAsia="Times New Roman"/>
                <w:noProof/>
                <w:color w:val="006100"/>
                <w:sz w:val="20"/>
                <w:szCs w:val="20"/>
              </w:rPr>
              <w:t xml:space="preserve"> and other legislation</w:t>
            </w:r>
          </w:p>
        </w:tc>
      </w:tr>
      <w:tr w:rsidRPr="00E03285" w:rsidR="00E3458A" w:rsidTr="00BF2B2E" w14:paraId="15459005" w14:textId="77777777">
        <w:trPr>
          <w:trHeight w:val="300"/>
        </w:trPr>
        <w:tc>
          <w:tcPr>
            <w:tcW w:w="1207" w:type="dxa"/>
            <w:shd w:val="clear" w:color="auto" w:fill="C6EFCE"/>
            <w:vAlign w:val="center"/>
            <w:hideMark/>
          </w:tcPr>
          <w:p w:rsidRPr="00E03285" w:rsidR="00D87E44" w:rsidRDefault="00D87E44" w14:paraId="1545900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302</w:t>
            </w:r>
          </w:p>
        </w:tc>
        <w:tc>
          <w:tcPr>
            <w:tcW w:w="4062" w:type="dxa"/>
            <w:shd w:val="clear" w:color="auto" w:fill="C6EFCE"/>
            <w:vAlign w:val="center"/>
            <w:hideMark/>
          </w:tcPr>
          <w:p w:rsidRPr="00E03285" w:rsidR="00D87E44" w:rsidRDefault="00D87E44" w14:paraId="1545900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 7.1:  Renewable energy and electricity infrastructure</w:t>
            </w:r>
            <w:r>
              <w:rPr>
                <w:rFonts w:eastAsia="Times New Roman"/>
                <w:noProof/>
                <w:color w:val="006100"/>
                <w:sz w:val="20"/>
                <w:szCs w:val="20"/>
              </w:rPr>
              <w:t xml:space="preserve"> </w:t>
            </w:r>
            <w:r w:rsidRPr="00E03285">
              <w:rPr>
                <w:rFonts w:eastAsia="Times New Roman"/>
                <w:noProof/>
                <w:color w:val="006100"/>
                <w:sz w:val="20"/>
                <w:szCs w:val="20"/>
              </w:rPr>
              <w:t xml:space="preserve">- Reform 2: Accelerating </w:t>
            </w:r>
            <w:r w:rsidRPr="00E03285" w:rsidDel="00BB4863">
              <w:rPr>
                <w:rFonts w:eastAsia="Times New Roman"/>
                <w:noProof/>
                <w:color w:val="006100"/>
                <w:sz w:val="20"/>
                <w:szCs w:val="20"/>
              </w:rPr>
              <w:t xml:space="preserve">and digitalizing permitting process </w:t>
            </w:r>
            <w:r w:rsidRPr="00E03285">
              <w:rPr>
                <w:rFonts w:eastAsia="Times New Roman"/>
                <w:noProof/>
                <w:color w:val="006100"/>
                <w:sz w:val="20"/>
                <w:szCs w:val="20"/>
              </w:rPr>
              <w:t xml:space="preserve">for renewables </w:t>
            </w:r>
          </w:p>
        </w:tc>
        <w:tc>
          <w:tcPr>
            <w:tcW w:w="1701" w:type="dxa"/>
            <w:shd w:val="clear" w:color="auto" w:fill="C6EFCE"/>
            <w:vAlign w:val="center"/>
            <w:hideMark/>
          </w:tcPr>
          <w:p w:rsidRPr="00E03285" w:rsidR="00D87E44" w:rsidRDefault="00D87E44" w14:paraId="15459003"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Milestone </w:t>
            </w:r>
          </w:p>
        </w:tc>
        <w:tc>
          <w:tcPr>
            <w:tcW w:w="3686" w:type="dxa"/>
            <w:shd w:val="clear" w:color="auto" w:fill="C6EFCE"/>
            <w:vAlign w:val="center"/>
            <w:hideMark/>
          </w:tcPr>
          <w:p w:rsidRPr="00B34047" w:rsidR="00D87E44" w:rsidRDefault="00D87E44" w14:paraId="15459004" w14:textId="77777777">
            <w:pPr>
              <w:spacing w:before="0" w:after="0" w:line="240" w:lineRule="auto"/>
              <w:jc w:val="center"/>
              <w:rPr>
                <w:rFonts w:eastAsia="Times New Roman"/>
                <w:noProof/>
                <w:color w:val="006100"/>
                <w:sz w:val="20"/>
                <w:szCs w:val="20"/>
              </w:rPr>
            </w:pPr>
            <w:r w:rsidRPr="00B34047">
              <w:rPr>
                <w:rFonts w:eastAsia="Times New Roman"/>
                <w:noProof/>
                <w:color w:val="006100"/>
                <w:sz w:val="20"/>
                <w:szCs w:val="20"/>
              </w:rPr>
              <w:t xml:space="preserve">Entry into force of the amended legislation </w:t>
            </w:r>
          </w:p>
        </w:tc>
      </w:tr>
      <w:tr w:rsidRPr="00E03285" w:rsidR="00E3458A" w:rsidTr="00BF2B2E" w14:paraId="1545900A" w14:textId="77777777">
        <w:trPr>
          <w:trHeight w:val="300"/>
        </w:trPr>
        <w:tc>
          <w:tcPr>
            <w:tcW w:w="1207" w:type="dxa"/>
            <w:shd w:val="clear" w:color="auto" w:fill="C6EFCE"/>
            <w:vAlign w:val="center"/>
            <w:hideMark/>
          </w:tcPr>
          <w:p w:rsidRPr="00E03285" w:rsidR="00D87E44" w:rsidRDefault="00D87E44" w14:paraId="15459006"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31</w:t>
            </w:r>
          </w:p>
        </w:tc>
        <w:tc>
          <w:tcPr>
            <w:tcW w:w="4062" w:type="dxa"/>
            <w:shd w:val="clear" w:color="auto" w:fill="C6EFCE"/>
            <w:vAlign w:val="center"/>
            <w:hideMark/>
          </w:tcPr>
          <w:p w:rsidRPr="00E03285" w:rsidR="00D87E44" w:rsidRDefault="00D87E44" w14:paraId="1545900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1.2: Digital Public Administration Systems - Investment 4:</w:t>
            </w:r>
            <w:r w:rsidRPr="00E03285">
              <w:rPr>
                <w:noProof/>
              </w:rPr>
              <w:br/>
            </w:r>
            <w:r w:rsidRPr="00E03285">
              <w:rPr>
                <w:rFonts w:eastAsia="Times New Roman"/>
                <w:noProof/>
                <w:color w:val="006100"/>
                <w:sz w:val="20"/>
                <w:szCs w:val="20"/>
                <w:lang w:val="en-IE"/>
              </w:rPr>
              <w:t>Creating the conditions for digital justice</w:t>
            </w:r>
          </w:p>
        </w:tc>
        <w:tc>
          <w:tcPr>
            <w:tcW w:w="1701" w:type="dxa"/>
            <w:shd w:val="clear" w:color="auto" w:fill="C6EFCE"/>
            <w:vAlign w:val="center"/>
            <w:hideMark/>
          </w:tcPr>
          <w:p w:rsidRPr="00E03285" w:rsidR="00D87E44" w:rsidRDefault="00D87E44" w14:paraId="1545900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0C15D6" w:rsidR="00D87E44" w:rsidRDefault="00D87E44" w14:paraId="15459009"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Increase of the data storage capacity</w:t>
            </w:r>
          </w:p>
        </w:tc>
      </w:tr>
      <w:tr w:rsidRPr="00E03285" w:rsidR="00E3458A" w:rsidTr="00BF2B2E" w14:paraId="1545900F" w14:textId="77777777">
        <w:trPr>
          <w:trHeight w:val="300"/>
        </w:trPr>
        <w:tc>
          <w:tcPr>
            <w:tcW w:w="1207" w:type="dxa"/>
            <w:shd w:val="clear" w:color="auto" w:fill="C6EFCE"/>
            <w:vAlign w:val="center"/>
            <w:hideMark/>
          </w:tcPr>
          <w:p w:rsidRPr="00E03285" w:rsidR="00D87E44" w:rsidRDefault="00D87E44" w14:paraId="1545900B"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36</w:t>
            </w:r>
          </w:p>
        </w:tc>
        <w:tc>
          <w:tcPr>
            <w:tcW w:w="4062" w:type="dxa"/>
            <w:shd w:val="clear" w:color="auto" w:fill="C6EFCE"/>
            <w:vAlign w:val="center"/>
            <w:hideMark/>
          </w:tcPr>
          <w:p w:rsidRPr="00E03285" w:rsidR="00D87E44" w:rsidRDefault="00D87E44" w14:paraId="1545900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Reform 2: Supporting the development of the 5G ecosystem</w:t>
            </w:r>
          </w:p>
        </w:tc>
        <w:tc>
          <w:tcPr>
            <w:tcW w:w="1701" w:type="dxa"/>
            <w:shd w:val="clear" w:color="auto" w:fill="C6EFCE"/>
            <w:vAlign w:val="center"/>
            <w:hideMark/>
          </w:tcPr>
          <w:p w:rsidRPr="00E03285" w:rsidR="00D87E44" w:rsidRDefault="00D87E44" w14:paraId="1545900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0C15D6" w:rsidR="00D87E44" w:rsidRDefault="00D87E44" w14:paraId="1545900E"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Publication of studies aimed at improving the deployment of 5G networks by the Ministry of Industry and Trade </w:t>
            </w:r>
          </w:p>
        </w:tc>
      </w:tr>
      <w:tr w:rsidRPr="00E03285" w:rsidR="00E3458A" w:rsidTr="00BF2B2E" w14:paraId="15459014" w14:textId="77777777">
        <w:trPr>
          <w:trHeight w:val="300"/>
        </w:trPr>
        <w:tc>
          <w:tcPr>
            <w:tcW w:w="1207" w:type="dxa"/>
            <w:shd w:val="clear" w:color="auto" w:fill="C6EFCE"/>
            <w:vAlign w:val="center"/>
            <w:hideMark/>
          </w:tcPr>
          <w:p w:rsidRPr="00E03285" w:rsidR="00D87E44" w:rsidRDefault="00D87E44" w14:paraId="15459010"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38</w:t>
            </w:r>
          </w:p>
        </w:tc>
        <w:tc>
          <w:tcPr>
            <w:tcW w:w="4062" w:type="dxa"/>
            <w:shd w:val="clear" w:color="auto" w:fill="C6EFCE"/>
            <w:vAlign w:val="center"/>
            <w:hideMark/>
          </w:tcPr>
          <w:p w:rsidRPr="00E03285" w:rsidR="00D87E44" w:rsidRDefault="00D87E44" w14:paraId="1545901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1: Building high-capacity connection </w:t>
            </w:r>
          </w:p>
        </w:tc>
        <w:tc>
          <w:tcPr>
            <w:tcW w:w="1701" w:type="dxa"/>
            <w:shd w:val="clear" w:color="auto" w:fill="C6EFCE"/>
            <w:vAlign w:val="center"/>
            <w:hideMark/>
          </w:tcPr>
          <w:p w:rsidRPr="00E03285" w:rsidR="00D87E44" w:rsidRDefault="00D87E44" w14:paraId="1545901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0C15D6" w:rsidR="00D87E44" w:rsidRDefault="00D87E44" w14:paraId="15459013"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Award of  grant decisions for connecting address points with the very high-capacity network (VHCN) by the Ministry of Industry and Trade </w:t>
            </w:r>
          </w:p>
        </w:tc>
      </w:tr>
      <w:tr w:rsidRPr="00E03285" w:rsidR="00E3458A" w:rsidTr="00BF2B2E" w14:paraId="15459019" w14:textId="77777777">
        <w:trPr>
          <w:trHeight w:val="300"/>
        </w:trPr>
        <w:tc>
          <w:tcPr>
            <w:tcW w:w="1207" w:type="dxa"/>
            <w:shd w:val="clear" w:color="auto" w:fill="C6EFCE"/>
            <w:vAlign w:val="center"/>
            <w:hideMark/>
          </w:tcPr>
          <w:p w:rsidRPr="00E03285" w:rsidR="00D87E44" w:rsidRDefault="00D87E44" w14:paraId="15459015"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43</w:t>
            </w:r>
          </w:p>
        </w:tc>
        <w:tc>
          <w:tcPr>
            <w:tcW w:w="4062" w:type="dxa"/>
            <w:shd w:val="clear" w:color="auto" w:fill="C6EFCE"/>
            <w:vAlign w:val="center"/>
            <w:hideMark/>
          </w:tcPr>
          <w:p w:rsidRPr="00E03285" w:rsidR="00D87E44" w:rsidRDefault="00D87E44" w14:paraId="1545901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w:t>
            </w:r>
            <w:r w:rsidRPr="00E03285">
              <w:rPr>
                <w:rFonts w:eastAsia="Times New Roman"/>
                <w:noProof/>
                <w:color w:val="006100"/>
                <w:sz w:val="20"/>
                <w:szCs w:val="20"/>
                <w:lang w:val="en-IE"/>
              </w:rPr>
              <w:t>1.3: High-Capacity Digital Networks  - Investment 3: Supporting the development of 5G mobile infrastructure in rural investment-intensive white areas </w:t>
            </w:r>
          </w:p>
        </w:tc>
        <w:tc>
          <w:tcPr>
            <w:tcW w:w="1701" w:type="dxa"/>
            <w:shd w:val="clear" w:color="auto" w:fill="C6EFCE"/>
            <w:vAlign w:val="center"/>
            <w:hideMark/>
          </w:tcPr>
          <w:p w:rsidRPr="00E03285" w:rsidR="00D87E44" w:rsidRDefault="00D87E44" w14:paraId="1545901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0C15D6" w:rsidR="00D87E44" w:rsidRDefault="00D87E44" w14:paraId="15459018"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Award of  grant decisions for connecting municipalities with high-capacity connection </w:t>
            </w:r>
          </w:p>
        </w:tc>
      </w:tr>
      <w:tr w:rsidRPr="00E03285" w:rsidR="00E3458A" w:rsidTr="00BF2B2E" w14:paraId="1545901E" w14:textId="77777777">
        <w:trPr>
          <w:trHeight w:val="300"/>
        </w:trPr>
        <w:tc>
          <w:tcPr>
            <w:tcW w:w="1207" w:type="dxa"/>
            <w:shd w:val="clear" w:color="auto" w:fill="C6EFCE"/>
            <w:vAlign w:val="center"/>
            <w:hideMark/>
          </w:tcPr>
          <w:p w:rsidRPr="00E03285" w:rsidR="00D87E44" w:rsidRDefault="00D87E44" w14:paraId="1545901A"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45</w:t>
            </w:r>
          </w:p>
        </w:tc>
        <w:tc>
          <w:tcPr>
            <w:tcW w:w="4062" w:type="dxa"/>
            <w:shd w:val="clear" w:color="auto" w:fill="C6EFCE"/>
            <w:vAlign w:val="center"/>
            <w:hideMark/>
          </w:tcPr>
          <w:p w:rsidRPr="00E03285" w:rsidR="00D87E44" w:rsidRDefault="00D87E44" w14:paraId="1545901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4: Scientific research activities related to the development of 5G networks and services </w:t>
            </w:r>
          </w:p>
        </w:tc>
        <w:tc>
          <w:tcPr>
            <w:tcW w:w="1701" w:type="dxa"/>
            <w:shd w:val="clear" w:color="auto" w:fill="C6EFCE"/>
            <w:vAlign w:val="center"/>
            <w:hideMark/>
          </w:tcPr>
          <w:p w:rsidRPr="00E03285" w:rsidR="00D87E44" w:rsidRDefault="00D87E44" w14:paraId="1545901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0C15D6" w:rsidR="00D87E44" w:rsidRDefault="00D87E44" w14:paraId="1545901D"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Award of grant decisions for scientific research projects related to 5G networks </w:t>
            </w:r>
          </w:p>
        </w:tc>
      </w:tr>
      <w:tr w:rsidRPr="00E03285" w:rsidR="00E3458A" w:rsidTr="00BF2B2E" w14:paraId="15459023" w14:textId="77777777">
        <w:trPr>
          <w:trHeight w:val="300"/>
        </w:trPr>
        <w:tc>
          <w:tcPr>
            <w:tcW w:w="1207" w:type="dxa"/>
            <w:shd w:val="clear" w:color="auto" w:fill="C6EFCE"/>
            <w:vAlign w:val="center"/>
            <w:hideMark/>
          </w:tcPr>
          <w:p w:rsidRPr="00E03285" w:rsidR="00D87E44" w:rsidRDefault="00D87E44" w14:paraId="1545901F"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60</w:t>
            </w:r>
          </w:p>
        </w:tc>
        <w:tc>
          <w:tcPr>
            <w:tcW w:w="4062" w:type="dxa"/>
            <w:shd w:val="clear" w:color="auto" w:fill="C6EFCE"/>
            <w:vAlign w:val="center"/>
            <w:hideMark/>
          </w:tcPr>
          <w:p w:rsidRPr="00E03285" w:rsidR="00D87E44" w:rsidRDefault="00D87E44" w14:paraId="1545902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1.4: Digital Economy and Society, Innovative Start-Ups and New Technology - Investment 8: Fostering entrepreneurship and innovative firms</w:t>
            </w:r>
          </w:p>
        </w:tc>
        <w:tc>
          <w:tcPr>
            <w:tcW w:w="1701" w:type="dxa"/>
            <w:shd w:val="clear" w:color="auto" w:fill="C6EFCE"/>
            <w:vAlign w:val="center"/>
            <w:hideMark/>
          </w:tcPr>
          <w:p w:rsidRPr="00E03285" w:rsidR="00D87E44" w:rsidRDefault="00D87E44" w14:paraId="1545902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0C15D6" w:rsidR="00D87E44" w:rsidRDefault="00D87E44" w14:paraId="15459022" w14:textId="77777777">
            <w:pPr>
              <w:spacing w:before="0" w:after="0" w:line="240" w:lineRule="auto"/>
              <w:jc w:val="center"/>
              <w:rPr>
                <w:rFonts w:eastAsia="Times New Roman"/>
                <w:noProof/>
                <w:color w:val="006100"/>
                <w:sz w:val="20"/>
                <w:szCs w:val="20"/>
              </w:rPr>
            </w:pPr>
            <w:r w:rsidRPr="000C15D6">
              <w:rPr>
                <w:rFonts w:eastAsia="Times New Roman"/>
                <w:noProof/>
                <w:color w:val="006100"/>
                <w:sz w:val="20"/>
                <w:szCs w:val="20"/>
              </w:rPr>
              <w:t xml:space="preserve">Number of companies, entrepreneurs and individuals  supported </w:t>
            </w:r>
          </w:p>
        </w:tc>
      </w:tr>
      <w:tr w:rsidRPr="00E03285" w:rsidR="00E3458A" w:rsidTr="00BF2B2E" w14:paraId="15459028" w14:textId="77777777">
        <w:trPr>
          <w:trHeight w:val="300"/>
        </w:trPr>
        <w:tc>
          <w:tcPr>
            <w:tcW w:w="1207" w:type="dxa"/>
            <w:shd w:val="clear" w:color="auto" w:fill="C6EFCE"/>
            <w:vAlign w:val="center"/>
            <w:hideMark/>
          </w:tcPr>
          <w:p w:rsidRPr="00E03285" w:rsidR="00D87E44" w:rsidRDefault="00D87E44" w14:paraId="1545902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85</w:t>
            </w:r>
          </w:p>
        </w:tc>
        <w:tc>
          <w:tcPr>
            <w:tcW w:w="4062" w:type="dxa"/>
            <w:shd w:val="clear" w:color="auto" w:fill="C6EFCE"/>
            <w:vAlign w:val="center"/>
            <w:hideMark/>
          </w:tcPr>
          <w:p w:rsidRPr="00E03285" w:rsidR="00D87E44" w:rsidRDefault="00D87E44" w14:paraId="1545902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2.1: Sustainable Transport - Investment 1: </w:t>
            </w:r>
            <w:r>
              <w:rPr>
                <w:rFonts w:eastAsia="Times New Roman"/>
                <w:noProof/>
                <w:color w:val="006100"/>
                <w:sz w:val="20"/>
                <w:szCs w:val="20"/>
                <w:lang w:val="en-IE"/>
              </w:rPr>
              <w:t>Application of modern</w:t>
            </w:r>
            <w:r w:rsidRPr="00E03285">
              <w:rPr>
                <w:rFonts w:eastAsia="Times New Roman"/>
                <w:noProof/>
                <w:color w:val="006100"/>
                <w:sz w:val="20"/>
                <w:szCs w:val="20"/>
                <w:lang w:val="en-IE"/>
              </w:rPr>
              <w:t xml:space="preserve"> technologies </w:t>
            </w:r>
            <w:r>
              <w:rPr>
                <w:rFonts w:eastAsia="Times New Roman"/>
                <w:noProof/>
                <w:color w:val="006100"/>
                <w:sz w:val="20"/>
                <w:szCs w:val="20"/>
                <w:lang w:val="en-IE"/>
              </w:rPr>
              <w:t>to</w:t>
            </w:r>
            <w:r w:rsidRPr="00E03285">
              <w:rPr>
                <w:rFonts w:eastAsia="Times New Roman"/>
                <w:noProof/>
                <w:color w:val="006100"/>
                <w:sz w:val="20"/>
                <w:szCs w:val="20"/>
                <w:lang w:val="en-IE"/>
              </w:rPr>
              <w:t xml:space="preserve"> railway infrastructure</w:t>
            </w:r>
          </w:p>
        </w:tc>
        <w:tc>
          <w:tcPr>
            <w:tcW w:w="1701" w:type="dxa"/>
            <w:shd w:val="clear" w:color="auto" w:fill="C6EFCE"/>
            <w:vAlign w:val="center"/>
            <w:hideMark/>
          </w:tcPr>
          <w:p w:rsidRPr="00E03285" w:rsidR="00D87E44" w:rsidRDefault="00D87E44" w14:paraId="1545902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2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Completion of six additional projects from a predefined set of projects.</w:t>
            </w:r>
          </w:p>
        </w:tc>
      </w:tr>
      <w:tr w:rsidRPr="00E03285" w:rsidR="00E3458A" w:rsidTr="00BF2B2E" w14:paraId="1545902D" w14:textId="77777777">
        <w:trPr>
          <w:trHeight w:val="300"/>
        </w:trPr>
        <w:tc>
          <w:tcPr>
            <w:tcW w:w="1207" w:type="dxa"/>
            <w:shd w:val="clear" w:color="auto" w:fill="C6EFCE"/>
            <w:vAlign w:val="center"/>
            <w:hideMark/>
          </w:tcPr>
          <w:p w:rsidRPr="00E03285" w:rsidR="00D87E44" w:rsidRDefault="00D87E44" w14:paraId="15459029" w14:textId="77777777">
            <w:pPr>
              <w:spacing w:before="0" w:after="0"/>
              <w:jc w:val="center"/>
              <w:rPr>
                <w:rFonts w:eastAsia="Times New Roman"/>
                <w:noProof/>
                <w:color w:val="004300"/>
                <w:sz w:val="18"/>
                <w:szCs w:val="18"/>
              </w:rPr>
            </w:pPr>
            <w:r w:rsidRPr="00E03285">
              <w:rPr>
                <w:rFonts w:eastAsia="Times New Roman"/>
                <w:noProof/>
                <w:color w:val="004300"/>
                <w:sz w:val="18"/>
                <w:szCs w:val="18"/>
              </w:rPr>
              <w:t xml:space="preserve">103 </w:t>
            </w:r>
          </w:p>
        </w:tc>
        <w:tc>
          <w:tcPr>
            <w:tcW w:w="4062" w:type="dxa"/>
            <w:shd w:val="clear" w:color="auto" w:fill="C6EFCE"/>
            <w:vAlign w:val="center"/>
            <w:hideMark/>
          </w:tcPr>
          <w:p w:rsidRPr="00E03285" w:rsidR="00D87E44" w:rsidRDefault="00D87E44" w14:paraId="1545902A" w14:textId="77777777">
            <w:pPr>
              <w:spacing w:before="0" w:after="0" w:line="240" w:lineRule="auto"/>
              <w:jc w:val="center"/>
              <w:rPr>
                <w:rFonts w:eastAsia="Times New Roman"/>
                <w:noProof/>
                <w:sz w:val="18"/>
                <w:szCs w:val="18"/>
              </w:rPr>
            </w:pPr>
            <w:r w:rsidRPr="000C15D6">
              <w:rPr>
                <w:rFonts w:eastAsia="Times New Roman"/>
                <w:noProof/>
                <w:color w:val="006100"/>
                <w:sz w:val="20"/>
                <w:szCs w:val="20"/>
                <w:lang w:val="en-IE"/>
              </w:rPr>
              <w:t>C 2.2: Reducing Energy Consumption in the Public Sector- Investment 1: Improving the energy performance of state buildings</w:t>
            </w:r>
          </w:p>
        </w:tc>
        <w:tc>
          <w:tcPr>
            <w:tcW w:w="1701" w:type="dxa"/>
            <w:shd w:val="clear" w:color="auto" w:fill="C6EFCE"/>
            <w:vAlign w:val="center"/>
            <w:hideMark/>
          </w:tcPr>
          <w:p w:rsidRPr="00E03285" w:rsidR="00D87E44" w:rsidRDefault="00D87E44" w14:paraId="1545902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2C"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Grant decisions signed for 75% of supported building renovation projects achieving at least 30% primary energy savings  </w:t>
            </w:r>
          </w:p>
        </w:tc>
      </w:tr>
      <w:tr w:rsidRPr="00E03285" w:rsidR="00E3458A" w:rsidTr="00BF2B2E" w14:paraId="15459032" w14:textId="77777777">
        <w:trPr>
          <w:trHeight w:val="300"/>
        </w:trPr>
        <w:tc>
          <w:tcPr>
            <w:tcW w:w="1207" w:type="dxa"/>
            <w:shd w:val="clear" w:color="auto" w:fill="C6EFCE"/>
            <w:vAlign w:val="center"/>
            <w:hideMark/>
          </w:tcPr>
          <w:p w:rsidRPr="00E03285" w:rsidR="00D87E44" w:rsidRDefault="00D87E44" w14:paraId="1545902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lastRenderedPageBreak/>
              <w:t>98</w:t>
            </w:r>
          </w:p>
        </w:tc>
        <w:tc>
          <w:tcPr>
            <w:tcW w:w="4062" w:type="dxa"/>
            <w:shd w:val="clear" w:color="auto" w:fill="C6EFCE"/>
            <w:vAlign w:val="center"/>
            <w:hideMark/>
          </w:tcPr>
          <w:p w:rsidRPr="00E03285" w:rsidR="00D87E44" w:rsidRDefault="00D87E44" w14:paraId="1545902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2.1: Sustainable Transport - Investment 4: Road and rail safety (railway crossings, bridges and tunnels, cycle paths and </w:t>
            </w:r>
            <w:r w:rsidRPr="00E03285">
              <w:rPr>
                <w:rFonts w:eastAsia="Times New Roman"/>
                <w:noProof/>
                <w:color w:val="006100"/>
                <w:sz w:val="20"/>
                <w:szCs w:val="20"/>
                <w:lang w:val="en-IE"/>
              </w:rPr>
              <w:t>barrier-free routes)</w:t>
            </w:r>
          </w:p>
        </w:tc>
        <w:tc>
          <w:tcPr>
            <w:tcW w:w="1701" w:type="dxa"/>
            <w:shd w:val="clear" w:color="auto" w:fill="C6EFCE"/>
            <w:vAlign w:val="center"/>
            <w:hideMark/>
          </w:tcPr>
          <w:p w:rsidRPr="00E03285" w:rsidR="00D87E44" w:rsidRDefault="00D87E44" w14:paraId="1545903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3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Completion of level crossings with an increased safety</w:t>
            </w:r>
          </w:p>
        </w:tc>
      </w:tr>
      <w:tr w:rsidRPr="00E03285" w:rsidR="00E3458A" w:rsidTr="00BF2B2E" w14:paraId="15459037" w14:textId="77777777">
        <w:trPr>
          <w:trHeight w:val="300"/>
        </w:trPr>
        <w:tc>
          <w:tcPr>
            <w:tcW w:w="1207" w:type="dxa"/>
            <w:shd w:val="clear" w:color="auto" w:fill="C6EFCE"/>
            <w:vAlign w:val="center"/>
            <w:hideMark/>
          </w:tcPr>
          <w:p w:rsidRPr="00E03285" w:rsidR="00D87E44" w:rsidRDefault="00D87E44" w14:paraId="15459033"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 xml:space="preserve">133   </w:t>
            </w:r>
          </w:p>
        </w:tc>
        <w:tc>
          <w:tcPr>
            <w:tcW w:w="4062" w:type="dxa"/>
            <w:shd w:val="clear" w:color="auto" w:fill="C6EFCE"/>
            <w:vAlign w:val="center"/>
            <w:hideMark/>
          </w:tcPr>
          <w:p w:rsidRPr="00063E2F" w:rsidR="00D87E44" w:rsidRDefault="00D87E44" w14:paraId="15459034" w14:textId="77777777">
            <w:pPr>
              <w:spacing w:before="0" w:after="0" w:line="240" w:lineRule="auto"/>
              <w:jc w:val="center"/>
              <w:rPr>
                <w:rFonts w:eastAsia="Times New Roman"/>
                <w:noProof/>
                <w:color w:val="006100"/>
                <w:sz w:val="20"/>
                <w:szCs w:val="20"/>
                <w:lang w:val="en-IE"/>
              </w:rPr>
            </w:pPr>
            <w:r w:rsidRPr="00063E2F">
              <w:rPr>
                <w:rFonts w:eastAsia="Times New Roman"/>
                <w:noProof/>
                <w:color w:val="006100"/>
                <w:sz w:val="20"/>
                <w:szCs w:val="20"/>
                <w:lang w:val="en-IE"/>
              </w:rPr>
              <w:t xml:space="preserve">C 2.6: Nature Protection and Adaptation to Climate Change - Investment 1: Flood Protection   </w:t>
            </w:r>
          </w:p>
        </w:tc>
        <w:tc>
          <w:tcPr>
            <w:tcW w:w="1701" w:type="dxa"/>
            <w:shd w:val="clear" w:color="auto" w:fill="C6EFCE"/>
            <w:vAlign w:val="center"/>
            <w:hideMark/>
          </w:tcPr>
          <w:p w:rsidRPr="00E03285" w:rsidR="00D87E44" w:rsidRDefault="00D87E44" w14:paraId="15459035"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Target  </w:t>
            </w:r>
          </w:p>
        </w:tc>
        <w:tc>
          <w:tcPr>
            <w:tcW w:w="3686" w:type="dxa"/>
            <w:shd w:val="clear" w:color="auto" w:fill="C6EFCE"/>
            <w:vAlign w:val="center"/>
            <w:hideMark/>
          </w:tcPr>
          <w:p w:rsidRPr="00063E2F" w:rsidR="00D87E44" w:rsidRDefault="00D87E44" w14:paraId="15459036" w14:textId="77777777">
            <w:pPr>
              <w:spacing w:before="0" w:after="0" w:line="240" w:lineRule="auto"/>
              <w:jc w:val="center"/>
              <w:rPr>
                <w:rFonts w:eastAsia="Times New Roman"/>
                <w:noProof/>
                <w:color w:val="006100"/>
                <w:sz w:val="20"/>
                <w:szCs w:val="20"/>
                <w:lang w:val="en-IE"/>
              </w:rPr>
            </w:pPr>
            <w:r w:rsidRPr="00063E2F">
              <w:rPr>
                <w:rFonts w:eastAsia="Times New Roman"/>
                <w:noProof/>
                <w:color w:val="006100"/>
                <w:sz w:val="20"/>
                <w:szCs w:val="20"/>
                <w:lang w:val="en-IE"/>
              </w:rPr>
              <w:t xml:space="preserve">T2: Completion of additional 23 projects aiming at establishing resilient flood protection.  </w:t>
            </w:r>
          </w:p>
        </w:tc>
      </w:tr>
      <w:tr w:rsidRPr="00E03285" w:rsidR="00E3458A" w:rsidTr="00BF2B2E" w14:paraId="1545903C" w14:textId="77777777">
        <w:trPr>
          <w:trHeight w:val="300"/>
        </w:trPr>
        <w:tc>
          <w:tcPr>
            <w:tcW w:w="1207" w:type="dxa"/>
            <w:shd w:val="clear" w:color="auto" w:fill="C6EFCE"/>
            <w:vAlign w:val="center"/>
            <w:hideMark/>
          </w:tcPr>
          <w:p w:rsidRPr="00E03285" w:rsidR="00D87E44" w:rsidRDefault="00D87E44" w14:paraId="15459038" w14:textId="77777777">
            <w:pPr>
              <w:spacing w:before="0" w:after="0" w:line="240" w:lineRule="auto"/>
              <w:jc w:val="center"/>
              <w:rPr>
                <w:rFonts w:eastAsia="Times New Roman"/>
                <w:noProof/>
                <w:color w:val="004300"/>
                <w:sz w:val="20"/>
                <w:szCs w:val="20"/>
                <w:lang w:val="en-IE"/>
              </w:rPr>
            </w:pPr>
            <w:r w:rsidRPr="00FF1320">
              <w:rPr>
                <w:color w:val="006100"/>
                <w:sz w:val="20"/>
                <w:lang w:val="en-IE"/>
              </w:rPr>
              <w:t>106</w:t>
            </w:r>
          </w:p>
        </w:tc>
        <w:tc>
          <w:tcPr>
            <w:tcW w:w="4062" w:type="dxa"/>
            <w:shd w:val="clear" w:color="auto" w:fill="C6EFCE"/>
            <w:vAlign w:val="center"/>
            <w:hideMark/>
          </w:tcPr>
          <w:p w:rsidRPr="00E03285" w:rsidR="00D87E44" w:rsidRDefault="00D87E44" w14:paraId="1545903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2.2: Reducing Energy Consumption in the Public Sector - Investment 2: Improving the energy performance of public lighting systems</w:t>
            </w:r>
          </w:p>
        </w:tc>
        <w:tc>
          <w:tcPr>
            <w:tcW w:w="1701" w:type="dxa"/>
            <w:shd w:val="clear" w:color="auto" w:fill="C6EFCE"/>
            <w:vAlign w:val="center"/>
            <w:hideMark/>
          </w:tcPr>
          <w:p w:rsidRPr="00E03285" w:rsidR="00D87E44" w:rsidRDefault="00D87E44" w14:paraId="1545903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063E2F" w:rsidR="00D87E44" w:rsidRDefault="00D87E44" w14:paraId="1545903B" w14:textId="77777777">
            <w:pPr>
              <w:spacing w:before="0" w:after="0" w:line="240" w:lineRule="auto"/>
              <w:jc w:val="center"/>
              <w:rPr>
                <w:rFonts w:eastAsia="Times New Roman"/>
                <w:noProof/>
                <w:color w:val="006100"/>
                <w:sz w:val="20"/>
                <w:szCs w:val="20"/>
                <w:lang w:val="en-IE"/>
              </w:rPr>
            </w:pPr>
            <w:r w:rsidRPr="00063E2F">
              <w:rPr>
                <w:rFonts w:eastAsia="Times New Roman"/>
                <w:noProof/>
                <w:color w:val="006100"/>
                <w:sz w:val="20"/>
                <w:szCs w:val="20"/>
                <w:lang w:val="en-IE"/>
              </w:rPr>
              <w:t xml:space="preserve">Grant decisions signed for 80% of projects for renovation of public </w:t>
            </w:r>
            <w:r w:rsidRPr="00063E2F">
              <w:rPr>
                <w:rFonts w:eastAsia="Times New Roman"/>
                <w:noProof/>
                <w:color w:val="006100"/>
                <w:sz w:val="20"/>
                <w:szCs w:val="20"/>
                <w:lang w:val="en-IE"/>
              </w:rPr>
              <w:t>lightning systems achieving at least 30 % primary energy savings</w:t>
            </w:r>
          </w:p>
        </w:tc>
      </w:tr>
      <w:tr w:rsidRPr="00E03285" w:rsidR="00E3458A" w:rsidTr="00BF2B2E" w14:paraId="15459041" w14:textId="77777777">
        <w:trPr>
          <w:trHeight w:val="300"/>
        </w:trPr>
        <w:tc>
          <w:tcPr>
            <w:tcW w:w="1207" w:type="dxa"/>
            <w:shd w:val="clear" w:color="auto" w:fill="C6EFCE"/>
            <w:vAlign w:val="center"/>
            <w:hideMark/>
          </w:tcPr>
          <w:p w:rsidRPr="00FF1320" w:rsidR="00D87E44" w:rsidRDefault="00D87E44" w14:paraId="1545903D" w14:textId="77777777">
            <w:pPr>
              <w:spacing w:before="0" w:after="0" w:line="240" w:lineRule="auto"/>
              <w:jc w:val="center"/>
              <w:rPr>
                <w:color w:val="006100"/>
                <w:sz w:val="20"/>
                <w:lang w:val="en-IE"/>
              </w:rPr>
            </w:pPr>
            <w:r w:rsidRPr="00FF1320">
              <w:rPr>
                <w:color w:val="006100"/>
                <w:sz w:val="20"/>
                <w:lang w:val="en-IE"/>
              </w:rPr>
              <w:t>137</w:t>
            </w:r>
          </w:p>
        </w:tc>
        <w:tc>
          <w:tcPr>
            <w:tcW w:w="4062" w:type="dxa"/>
            <w:shd w:val="clear" w:color="auto" w:fill="C6EFCE"/>
            <w:vAlign w:val="center"/>
            <w:hideMark/>
          </w:tcPr>
          <w:p w:rsidRPr="00E03285" w:rsidR="00D87E44" w:rsidRDefault="00D87E44" w14:paraId="1545903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2.6: Nature Protection and Adaptation to Climate Change - Investment 3: Land consolidation </w:t>
            </w:r>
          </w:p>
        </w:tc>
        <w:tc>
          <w:tcPr>
            <w:tcW w:w="1701" w:type="dxa"/>
            <w:shd w:val="clear" w:color="auto" w:fill="C6EFCE"/>
            <w:vAlign w:val="center"/>
            <w:hideMark/>
          </w:tcPr>
          <w:p w:rsidRPr="00E03285" w:rsidR="00D87E44" w:rsidRDefault="00D87E44" w14:paraId="1545903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063E2F" w:rsidR="00D87E44" w:rsidRDefault="00D87E44" w14:paraId="15459040" w14:textId="77777777">
            <w:pPr>
              <w:spacing w:before="0" w:after="0" w:line="240" w:lineRule="auto"/>
              <w:jc w:val="center"/>
              <w:rPr>
                <w:rFonts w:eastAsia="Times New Roman"/>
                <w:noProof/>
                <w:color w:val="006100"/>
                <w:sz w:val="20"/>
                <w:szCs w:val="20"/>
                <w:lang w:val="en-IE"/>
              </w:rPr>
            </w:pPr>
            <w:r w:rsidRPr="00063E2F">
              <w:rPr>
                <w:rFonts w:eastAsia="Times New Roman"/>
                <w:noProof/>
                <w:color w:val="006100"/>
                <w:sz w:val="20"/>
                <w:szCs w:val="20"/>
                <w:lang w:val="en-IE"/>
              </w:rPr>
              <w:t>Completion of green infrastructure projects promoting biodiversity including bio centres, bio corridors and planting of locally typical greenery in the agriculture landscape (in ha of land served by the investment).</w:t>
            </w:r>
          </w:p>
        </w:tc>
      </w:tr>
      <w:tr w:rsidRPr="00E03285" w:rsidR="00E3458A" w:rsidTr="00BF2B2E" w14:paraId="15459046" w14:textId="77777777">
        <w:trPr>
          <w:trHeight w:val="300"/>
        </w:trPr>
        <w:tc>
          <w:tcPr>
            <w:tcW w:w="1207" w:type="dxa"/>
            <w:shd w:val="clear" w:color="auto" w:fill="C6EFCE"/>
            <w:vAlign w:val="center"/>
            <w:hideMark/>
          </w:tcPr>
          <w:p w:rsidRPr="00FF1320" w:rsidR="00D87E44" w:rsidRDefault="00D87E44" w14:paraId="15459042" w14:textId="77777777">
            <w:pPr>
              <w:spacing w:before="0" w:after="0" w:line="240" w:lineRule="auto"/>
              <w:jc w:val="center"/>
              <w:rPr>
                <w:color w:val="006100"/>
                <w:sz w:val="20"/>
                <w:lang w:val="en-IE"/>
              </w:rPr>
            </w:pPr>
            <w:r w:rsidRPr="00FF1320">
              <w:rPr>
                <w:color w:val="006100"/>
                <w:sz w:val="20"/>
                <w:lang w:val="en-IE"/>
              </w:rPr>
              <w:t>138</w:t>
            </w:r>
          </w:p>
        </w:tc>
        <w:tc>
          <w:tcPr>
            <w:tcW w:w="4062" w:type="dxa"/>
            <w:shd w:val="clear" w:color="auto" w:fill="C6EFCE"/>
            <w:vAlign w:val="center"/>
            <w:hideMark/>
          </w:tcPr>
          <w:p w:rsidRPr="00E03285" w:rsidR="00D87E44" w:rsidRDefault="00D87E44" w14:paraId="1545904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2.6: Nature Protection and Adaptation to Climate Change - Investment 3: Land consolidation </w:t>
            </w:r>
          </w:p>
        </w:tc>
        <w:tc>
          <w:tcPr>
            <w:tcW w:w="1701" w:type="dxa"/>
            <w:shd w:val="clear" w:color="auto" w:fill="C6EFCE"/>
            <w:vAlign w:val="center"/>
            <w:hideMark/>
          </w:tcPr>
          <w:p w:rsidRPr="00E03285" w:rsidR="00D87E44" w:rsidRDefault="00D87E44" w14:paraId="1545904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tcPr>
          <w:p w:rsidRPr="00063E2F" w:rsidR="00D87E44" w:rsidRDefault="00D87E44" w14:paraId="15459045" w14:textId="77777777">
            <w:pPr>
              <w:spacing w:before="0" w:after="0" w:line="240" w:lineRule="auto"/>
              <w:jc w:val="center"/>
              <w:rPr>
                <w:rFonts w:eastAsia="Times New Roman"/>
                <w:noProof/>
                <w:color w:val="006100"/>
                <w:sz w:val="20"/>
                <w:szCs w:val="20"/>
                <w:lang w:val="en-IE"/>
              </w:rPr>
            </w:pPr>
            <w:r w:rsidRPr="00063E2F">
              <w:rPr>
                <w:rFonts w:eastAsia="Times New Roman"/>
                <w:noProof/>
                <w:color w:val="006100"/>
                <w:sz w:val="20"/>
                <w:szCs w:val="20"/>
                <w:lang w:val="en-IE"/>
              </w:rPr>
              <w:t xml:space="preserve">Completion of environmental protection activities and adaptation to climate change (in ha of land served by the investment). </w:t>
            </w:r>
          </w:p>
        </w:tc>
      </w:tr>
      <w:tr w:rsidRPr="00E03285" w:rsidR="00E3458A" w:rsidTr="00BF2B2E" w14:paraId="1545904B" w14:textId="77777777">
        <w:trPr>
          <w:trHeight w:val="300"/>
        </w:trPr>
        <w:tc>
          <w:tcPr>
            <w:tcW w:w="1207" w:type="dxa"/>
            <w:shd w:val="clear" w:color="auto" w:fill="C6EFCE"/>
            <w:vAlign w:val="center"/>
            <w:hideMark/>
          </w:tcPr>
          <w:p w:rsidRPr="00E03285" w:rsidR="00D87E44" w:rsidRDefault="00D87E44" w14:paraId="15459047"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160</w:t>
            </w:r>
          </w:p>
        </w:tc>
        <w:tc>
          <w:tcPr>
            <w:tcW w:w="4062" w:type="dxa"/>
            <w:shd w:val="clear" w:color="auto" w:fill="C6EFCE"/>
            <w:vAlign w:val="center"/>
            <w:hideMark/>
          </w:tcPr>
          <w:p w:rsidRPr="00E03285" w:rsidR="00D87E44" w:rsidRDefault="00D87E44" w14:paraId="1545904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2.9: Promotion of Biodiversity and Fight against Drought - Reform 1: Amendment to the Water Management Act</w:t>
            </w:r>
          </w:p>
        </w:tc>
        <w:tc>
          <w:tcPr>
            <w:tcW w:w="1701" w:type="dxa"/>
            <w:shd w:val="clear" w:color="auto" w:fill="C6EFCE"/>
            <w:vAlign w:val="center"/>
            <w:hideMark/>
          </w:tcPr>
          <w:p w:rsidRPr="00E03285" w:rsidR="00D87E44" w:rsidRDefault="00D87E44" w14:paraId="1545904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396E51" w:rsidR="00D87E44" w:rsidRDefault="00D87E44" w14:paraId="1545904A" w14:textId="77777777">
            <w:pPr>
              <w:spacing w:before="0" w:after="0" w:line="240" w:lineRule="auto"/>
              <w:jc w:val="center"/>
              <w:rPr>
                <w:rFonts w:eastAsia="Times New Roman"/>
                <w:noProof/>
                <w:color w:val="006100"/>
                <w:sz w:val="20"/>
                <w:szCs w:val="20"/>
                <w:lang w:val="en-IE"/>
              </w:rPr>
            </w:pPr>
            <w:r w:rsidRPr="00396E51">
              <w:rPr>
                <w:rFonts w:eastAsia="Times New Roman"/>
                <w:noProof/>
                <w:color w:val="006100"/>
                <w:sz w:val="20"/>
                <w:szCs w:val="20"/>
                <w:lang w:val="en-IE"/>
              </w:rPr>
              <w:t xml:space="preserve">Amendment to the Water Management Act (Act No. 254/2001 Coll.) aiming at a systemic approach to management of drought and water scarcity. </w:t>
            </w:r>
          </w:p>
        </w:tc>
      </w:tr>
      <w:tr w:rsidRPr="00E03285" w:rsidR="00E3458A" w:rsidTr="00BF2B2E" w14:paraId="15459050" w14:textId="77777777">
        <w:trPr>
          <w:trHeight w:val="300"/>
        </w:trPr>
        <w:tc>
          <w:tcPr>
            <w:tcW w:w="1207" w:type="dxa"/>
            <w:shd w:val="clear" w:color="auto" w:fill="C6EFCE"/>
            <w:vAlign w:val="center"/>
            <w:hideMark/>
          </w:tcPr>
          <w:p w:rsidRPr="00E03285" w:rsidR="00D87E44" w:rsidRDefault="00D87E44" w14:paraId="1545904C"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170</w:t>
            </w:r>
          </w:p>
        </w:tc>
        <w:tc>
          <w:tcPr>
            <w:tcW w:w="4062" w:type="dxa"/>
            <w:shd w:val="clear" w:color="auto" w:fill="C6EFCE"/>
            <w:vAlign w:val="center"/>
            <w:hideMark/>
          </w:tcPr>
          <w:p w:rsidRPr="00E03285" w:rsidR="00D87E44" w:rsidRDefault="00D87E44" w14:paraId="1545904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3.1: Innovation in Education in the Context of Digitalisation - Investment 1: Implementation of the revised curriculum and digital skills of teachers </w:t>
            </w:r>
          </w:p>
        </w:tc>
        <w:tc>
          <w:tcPr>
            <w:tcW w:w="1701" w:type="dxa"/>
            <w:shd w:val="clear" w:color="auto" w:fill="C6EFCE"/>
            <w:vAlign w:val="center"/>
            <w:hideMark/>
          </w:tcPr>
          <w:p w:rsidRPr="00E03285" w:rsidR="00D87E44" w:rsidRDefault="00D87E44" w14:paraId="1545904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396E51" w:rsidR="00D87E44" w:rsidRDefault="00D87E44" w14:paraId="1545904F" w14:textId="77777777">
            <w:pPr>
              <w:spacing w:before="0" w:after="0" w:line="240" w:lineRule="auto"/>
              <w:jc w:val="center"/>
              <w:rPr>
                <w:rFonts w:eastAsia="Times New Roman"/>
                <w:noProof/>
                <w:color w:val="006100"/>
                <w:sz w:val="20"/>
                <w:szCs w:val="20"/>
                <w:lang w:val="en-IE"/>
              </w:rPr>
            </w:pPr>
            <w:r w:rsidRPr="00396E51">
              <w:rPr>
                <w:rFonts w:eastAsia="Times New Roman"/>
                <w:noProof/>
                <w:color w:val="006100"/>
                <w:sz w:val="20"/>
                <w:szCs w:val="20"/>
                <w:lang w:val="en-IE"/>
              </w:rPr>
              <w:t xml:space="preserve">Creation of a digital platform for effective sharing of educational resources </w:t>
            </w:r>
          </w:p>
        </w:tc>
      </w:tr>
      <w:tr w:rsidRPr="00E03285" w:rsidR="00E3458A" w:rsidTr="00BF2B2E" w14:paraId="15459055" w14:textId="77777777">
        <w:trPr>
          <w:trHeight w:val="300"/>
        </w:trPr>
        <w:tc>
          <w:tcPr>
            <w:tcW w:w="1207" w:type="dxa"/>
            <w:shd w:val="clear" w:color="auto" w:fill="C6EFCE"/>
            <w:vAlign w:val="center"/>
            <w:hideMark/>
          </w:tcPr>
          <w:p w:rsidRPr="00E03285" w:rsidR="00D87E44" w:rsidRDefault="00D87E44" w14:paraId="15459051"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204</w:t>
            </w:r>
          </w:p>
        </w:tc>
        <w:tc>
          <w:tcPr>
            <w:tcW w:w="4062" w:type="dxa"/>
            <w:shd w:val="clear" w:color="auto" w:fill="C6EFCE"/>
            <w:vAlign w:val="center"/>
            <w:hideMark/>
          </w:tcPr>
          <w:p w:rsidRPr="00E03285" w:rsidR="00D87E44" w:rsidRDefault="00D87E44" w14:paraId="1545905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4.3: Anti-Corruption Reforms - Reform 2: Judiciary reform aimed at strengthening the legislative framework and transparency in the areas of courts, judges, prosecutors and bailiffs</w:t>
            </w:r>
          </w:p>
        </w:tc>
        <w:tc>
          <w:tcPr>
            <w:tcW w:w="1701" w:type="dxa"/>
            <w:shd w:val="clear" w:color="auto" w:fill="C6EFCE"/>
            <w:vAlign w:val="center"/>
            <w:hideMark/>
          </w:tcPr>
          <w:p w:rsidRPr="00E03285" w:rsidR="00D87E44" w:rsidRDefault="00D87E44" w14:paraId="1545905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396E51" w:rsidR="00D87E44" w:rsidRDefault="00D87E44" w14:paraId="15459054" w14:textId="77777777">
            <w:pPr>
              <w:spacing w:before="0" w:after="0" w:line="240" w:lineRule="auto"/>
              <w:jc w:val="center"/>
              <w:rPr>
                <w:rFonts w:eastAsia="Times New Roman"/>
                <w:noProof/>
                <w:color w:val="006100"/>
                <w:sz w:val="20"/>
                <w:szCs w:val="20"/>
                <w:lang w:val="en-IE"/>
              </w:rPr>
            </w:pPr>
            <w:r w:rsidRPr="00396E51">
              <w:rPr>
                <w:rFonts w:eastAsia="Times New Roman"/>
                <w:noProof/>
                <w:color w:val="006100"/>
                <w:sz w:val="20"/>
                <w:szCs w:val="20"/>
                <w:lang w:val="en-IE"/>
              </w:rPr>
              <w:t>Entry into force of the law on proceedings in cases of judges, prosecutors and bailiffs</w:t>
            </w:r>
          </w:p>
        </w:tc>
      </w:tr>
      <w:tr w:rsidRPr="00E03285" w:rsidR="00E3458A" w:rsidTr="00BF2B2E" w14:paraId="1545905A" w14:textId="77777777">
        <w:trPr>
          <w:trHeight w:val="300"/>
        </w:trPr>
        <w:tc>
          <w:tcPr>
            <w:tcW w:w="1207" w:type="dxa"/>
            <w:shd w:val="clear" w:color="auto" w:fill="C6EFCE"/>
            <w:vAlign w:val="center"/>
            <w:hideMark/>
          </w:tcPr>
          <w:p w:rsidRPr="00E03285" w:rsidR="00D87E44" w:rsidRDefault="00D87E44" w14:paraId="15459056"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11</w:t>
            </w:r>
          </w:p>
        </w:tc>
        <w:tc>
          <w:tcPr>
            <w:tcW w:w="4062" w:type="dxa"/>
            <w:shd w:val="clear" w:color="auto" w:fill="C6EFCE"/>
            <w:vAlign w:val="center"/>
            <w:hideMark/>
          </w:tcPr>
          <w:p w:rsidRPr="00E03285" w:rsidR="00D87E44" w:rsidRDefault="00D87E44" w14:paraId="15459057"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1.1: Digital Services to Citizens and Businesses - Investment 2: Development of open data and a public data fund </w:t>
            </w:r>
          </w:p>
        </w:tc>
        <w:tc>
          <w:tcPr>
            <w:tcW w:w="1701" w:type="dxa"/>
            <w:shd w:val="clear" w:color="auto" w:fill="C6EFCE"/>
            <w:vAlign w:val="center"/>
            <w:hideMark/>
          </w:tcPr>
          <w:p w:rsidRPr="00E03285" w:rsidR="00D87E44" w:rsidRDefault="00D87E44" w14:paraId="1545905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 Milestone </w:t>
            </w:r>
          </w:p>
        </w:tc>
        <w:tc>
          <w:tcPr>
            <w:tcW w:w="3686" w:type="dxa"/>
            <w:shd w:val="clear" w:color="auto" w:fill="C6EFCE"/>
            <w:vAlign w:val="center"/>
            <w:hideMark/>
          </w:tcPr>
          <w:p w:rsidRPr="00E03285" w:rsidR="00D87E44" w:rsidRDefault="00D87E44" w14:paraId="1545905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Extension of National Open Data Catalogue with advanced functionalities  </w:t>
            </w:r>
          </w:p>
        </w:tc>
      </w:tr>
      <w:tr w:rsidRPr="00E03285" w:rsidR="00E3458A" w:rsidTr="00BF2B2E" w14:paraId="1545905F" w14:textId="77777777">
        <w:trPr>
          <w:trHeight w:val="300"/>
        </w:trPr>
        <w:tc>
          <w:tcPr>
            <w:tcW w:w="1207" w:type="dxa"/>
            <w:shd w:val="clear" w:color="auto" w:fill="C6EFCE"/>
            <w:vAlign w:val="center"/>
            <w:hideMark/>
          </w:tcPr>
          <w:p w:rsidRPr="00E03285" w:rsidR="00D87E44" w:rsidRDefault="00D87E44" w14:paraId="1545905B"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218</w:t>
            </w:r>
          </w:p>
        </w:tc>
        <w:tc>
          <w:tcPr>
            <w:tcW w:w="4062" w:type="dxa"/>
            <w:shd w:val="clear" w:color="auto" w:fill="C6EFCE"/>
            <w:vAlign w:val="center"/>
            <w:hideMark/>
          </w:tcPr>
          <w:p w:rsidRPr="00E03285" w:rsidR="00D87E44" w:rsidRDefault="00D87E44" w14:paraId="1545905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4.5: Development of the Cultural and Creative Sector - Reform 1 Legislative reform introducing multi-source financing of cultural institutions and registration of artists</w:t>
            </w:r>
          </w:p>
        </w:tc>
        <w:tc>
          <w:tcPr>
            <w:tcW w:w="1701" w:type="dxa"/>
            <w:shd w:val="clear" w:color="auto" w:fill="C6EFCE"/>
            <w:vAlign w:val="center"/>
            <w:hideMark/>
          </w:tcPr>
          <w:p w:rsidRPr="00E03285" w:rsidR="00D87E44" w:rsidRDefault="00D87E44" w14:paraId="1545905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396E51" w:rsidR="00D87E44" w:rsidRDefault="00D87E44" w14:paraId="1545905E" w14:textId="77777777">
            <w:pPr>
              <w:spacing w:before="0" w:after="0" w:line="240" w:lineRule="auto"/>
              <w:jc w:val="center"/>
              <w:rPr>
                <w:rFonts w:eastAsia="Times New Roman"/>
                <w:noProof/>
                <w:color w:val="006100"/>
                <w:sz w:val="20"/>
                <w:szCs w:val="20"/>
              </w:rPr>
            </w:pPr>
            <w:r w:rsidRPr="00396E51">
              <w:rPr>
                <w:rFonts w:eastAsia="Times New Roman"/>
                <w:noProof/>
                <w:color w:val="006100"/>
                <w:sz w:val="20"/>
                <w:szCs w:val="20"/>
              </w:rPr>
              <w:t>Number of cultural and creative projects supported</w:t>
            </w:r>
          </w:p>
        </w:tc>
      </w:tr>
      <w:tr w:rsidRPr="00E03285" w:rsidR="00E3458A" w:rsidTr="00BF2B2E" w14:paraId="15459064" w14:textId="77777777">
        <w:trPr>
          <w:trHeight w:val="300"/>
        </w:trPr>
        <w:tc>
          <w:tcPr>
            <w:tcW w:w="1207" w:type="dxa"/>
            <w:shd w:val="clear" w:color="auto" w:fill="C6EFCE"/>
            <w:vAlign w:val="center"/>
            <w:hideMark/>
          </w:tcPr>
          <w:p w:rsidRPr="00E03285" w:rsidR="00D87E44" w:rsidRDefault="00D87E44" w14:paraId="15459060"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47</w:t>
            </w:r>
          </w:p>
        </w:tc>
        <w:tc>
          <w:tcPr>
            <w:tcW w:w="4062" w:type="dxa"/>
            <w:shd w:val="clear" w:color="auto" w:fill="C6EFCE"/>
            <w:vAlign w:val="center"/>
            <w:hideMark/>
          </w:tcPr>
          <w:p w:rsidRPr="00E03285" w:rsidR="00D87E44" w:rsidRDefault="00D87E44" w14:paraId="1545906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1.4: Digital Economy and Society, Innovative Start-Ups and New Technology - Reform 1: Institutional reform of the coordination and support system for digital transformation of economy (incl. RIS 3)</w:t>
            </w:r>
          </w:p>
        </w:tc>
        <w:tc>
          <w:tcPr>
            <w:tcW w:w="1701" w:type="dxa"/>
            <w:shd w:val="clear" w:color="auto" w:fill="C6EFCE"/>
            <w:vAlign w:val="center"/>
            <w:hideMark/>
          </w:tcPr>
          <w:p w:rsidRPr="00E03285" w:rsidR="00D87E44" w:rsidRDefault="00D87E44" w14:paraId="1545906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396E51" w:rsidR="00D87E44" w:rsidRDefault="00D87E44" w14:paraId="15459063" w14:textId="77777777">
            <w:pPr>
              <w:spacing w:before="0" w:after="0" w:line="240" w:lineRule="auto"/>
              <w:jc w:val="center"/>
              <w:rPr>
                <w:rFonts w:eastAsia="Times New Roman"/>
                <w:noProof/>
                <w:color w:val="006100"/>
                <w:sz w:val="20"/>
                <w:szCs w:val="20"/>
              </w:rPr>
            </w:pPr>
            <w:r w:rsidRPr="00396E51">
              <w:rPr>
                <w:rFonts w:eastAsia="Times New Roman"/>
                <w:noProof/>
                <w:color w:val="006100"/>
                <w:sz w:val="20"/>
                <w:szCs w:val="20"/>
              </w:rPr>
              <w:t>Implementation of organisational changes to reform the structure of public bodies overseeing digital transformation of the economy</w:t>
            </w:r>
          </w:p>
        </w:tc>
      </w:tr>
      <w:tr w:rsidRPr="00E03285" w:rsidR="00E3458A" w:rsidTr="00BF2B2E" w14:paraId="1545906A" w14:textId="77777777">
        <w:trPr>
          <w:trHeight w:val="300"/>
        </w:trPr>
        <w:tc>
          <w:tcPr>
            <w:tcW w:w="1207" w:type="dxa"/>
            <w:shd w:val="clear" w:color="auto" w:fill="C6EFCE"/>
            <w:vAlign w:val="center"/>
            <w:hideMark/>
          </w:tcPr>
          <w:p w:rsidRPr="00E03285" w:rsidR="00D87E44" w:rsidRDefault="00D87E44" w14:paraId="15459065" w14:textId="77777777">
            <w:pPr>
              <w:spacing w:before="0" w:after="0" w:line="240" w:lineRule="auto"/>
              <w:jc w:val="center"/>
              <w:rPr>
                <w:rFonts w:eastAsia="Times New Roman"/>
                <w:noProof/>
                <w:color w:val="004300"/>
                <w:sz w:val="18"/>
                <w:szCs w:val="18"/>
              </w:rPr>
            </w:pPr>
            <w:r w:rsidRPr="00FF1320">
              <w:rPr>
                <w:color w:val="004300"/>
                <w:sz w:val="20"/>
                <w:lang w:val="en-IE"/>
              </w:rPr>
              <w:t>49</w:t>
            </w:r>
            <w:r w:rsidRPr="00E03285">
              <w:rPr>
                <w:rFonts w:eastAsia="Times New Roman"/>
                <w:noProof/>
                <w:color w:val="004300"/>
                <w:sz w:val="18"/>
                <w:szCs w:val="18"/>
              </w:rPr>
              <w:t xml:space="preserve"> </w:t>
            </w:r>
          </w:p>
        </w:tc>
        <w:tc>
          <w:tcPr>
            <w:tcW w:w="4062" w:type="dxa"/>
            <w:shd w:val="clear" w:color="auto" w:fill="C6EFCE"/>
            <w:vAlign w:val="center"/>
            <w:hideMark/>
          </w:tcPr>
          <w:p w:rsidRPr="00396E51" w:rsidR="00D87E44" w:rsidRDefault="00D87E44" w14:paraId="15459066" w14:textId="77777777">
            <w:pPr>
              <w:spacing w:before="0" w:after="0" w:line="240" w:lineRule="auto"/>
              <w:jc w:val="center"/>
              <w:rPr>
                <w:rFonts w:eastAsia="Times New Roman"/>
                <w:noProof/>
                <w:color w:val="006100"/>
                <w:sz w:val="20"/>
                <w:szCs w:val="20"/>
                <w:lang w:val="en-IE"/>
              </w:rPr>
            </w:pPr>
            <w:r w:rsidRPr="00396E51">
              <w:rPr>
                <w:rFonts w:eastAsia="Times New Roman"/>
                <w:noProof/>
                <w:color w:val="006100"/>
                <w:sz w:val="20"/>
                <w:szCs w:val="20"/>
                <w:lang w:val="en-IE"/>
              </w:rPr>
              <w:t>C 1.4: Digital Economy and Society, Innovative Start-Ups and New Technology -</w:t>
            </w:r>
          </w:p>
          <w:p w:rsidRPr="007941B4" w:rsidR="00D87E44" w:rsidRDefault="00D87E44" w14:paraId="15459067" w14:textId="77777777">
            <w:pPr>
              <w:spacing w:before="0" w:after="0" w:line="240" w:lineRule="auto"/>
              <w:jc w:val="center"/>
              <w:rPr>
                <w:rFonts w:eastAsia="Times New Roman"/>
                <w:noProof/>
                <w:color w:val="004300"/>
                <w:sz w:val="20"/>
                <w:szCs w:val="20"/>
              </w:rPr>
            </w:pPr>
            <w:r w:rsidRPr="00396E51">
              <w:rPr>
                <w:rFonts w:eastAsia="Times New Roman"/>
                <w:noProof/>
                <w:color w:val="006100"/>
                <w:sz w:val="20"/>
                <w:szCs w:val="20"/>
                <w:lang w:val="en-IE"/>
              </w:rPr>
              <w:t>Reform 2: Joint Strategic Technologies Support and Certification Group with the Strategic Technologies Board</w:t>
            </w:r>
            <w:r w:rsidRPr="007941B4">
              <w:rPr>
                <w:rFonts w:eastAsia="Times New Roman"/>
                <w:noProof/>
                <w:color w:val="004300"/>
                <w:sz w:val="20"/>
                <w:szCs w:val="20"/>
              </w:rPr>
              <w:t xml:space="preserve"> </w:t>
            </w:r>
          </w:p>
        </w:tc>
        <w:tc>
          <w:tcPr>
            <w:tcW w:w="1701" w:type="dxa"/>
            <w:shd w:val="clear" w:color="auto" w:fill="C6EFCE"/>
            <w:vAlign w:val="center"/>
            <w:hideMark/>
          </w:tcPr>
          <w:p w:rsidRPr="007941B4" w:rsidR="00D87E44" w:rsidRDefault="00D87E44" w14:paraId="15459068" w14:textId="77777777">
            <w:pPr>
              <w:spacing w:before="0" w:after="0" w:line="240" w:lineRule="auto"/>
              <w:jc w:val="center"/>
              <w:rPr>
                <w:rFonts w:eastAsia="Times New Roman"/>
                <w:noProof/>
                <w:color w:val="004300"/>
                <w:sz w:val="20"/>
                <w:szCs w:val="20"/>
              </w:rPr>
            </w:pPr>
            <w:r w:rsidRPr="007941B4">
              <w:rPr>
                <w:rFonts w:eastAsia="Times New Roman"/>
                <w:noProof/>
                <w:color w:val="004300"/>
                <w:sz w:val="18"/>
                <w:szCs w:val="18"/>
              </w:rPr>
              <w:t> </w:t>
            </w:r>
            <w:r w:rsidRPr="007941B4">
              <w:rPr>
                <w:rFonts w:eastAsia="Times New Roman"/>
                <w:noProof/>
                <w:color w:val="004300"/>
                <w:sz w:val="20"/>
                <w:szCs w:val="20"/>
              </w:rPr>
              <w:t xml:space="preserve">Target </w:t>
            </w:r>
          </w:p>
        </w:tc>
        <w:tc>
          <w:tcPr>
            <w:tcW w:w="3686" w:type="dxa"/>
            <w:shd w:val="clear" w:color="auto" w:fill="C6EFCE"/>
            <w:vAlign w:val="center"/>
            <w:hideMark/>
          </w:tcPr>
          <w:p w:rsidRPr="00396E51" w:rsidR="00D87E44" w:rsidRDefault="00D87E44" w14:paraId="15459069" w14:textId="77777777">
            <w:pPr>
              <w:spacing w:before="0" w:after="0" w:line="240" w:lineRule="auto"/>
              <w:jc w:val="center"/>
              <w:rPr>
                <w:rFonts w:eastAsia="Times New Roman"/>
                <w:noProof/>
                <w:color w:val="006100"/>
                <w:sz w:val="20"/>
                <w:szCs w:val="20"/>
              </w:rPr>
            </w:pPr>
            <w:r w:rsidRPr="00396E51">
              <w:rPr>
                <w:rFonts w:eastAsia="Times New Roman"/>
                <w:noProof/>
                <w:color w:val="006100"/>
                <w:sz w:val="20"/>
                <w:szCs w:val="20"/>
              </w:rPr>
              <w:t xml:space="preserve">Number of companies provided with certification  </w:t>
            </w:r>
          </w:p>
        </w:tc>
      </w:tr>
      <w:tr w:rsidRPr="00E03285" w:rsidR="00E3458A" w:rsidTr="00BF2B2E" w14:paraId="15459070" w14:textId="77777777">
        <w:trPr>
          <w:trHeight w:val="300"/>
        </w:trPr>
        <w:tc>
          <w:tcPr>
            <w:tcW w:w="1207" w:type="dxa"/>
            <w:shd w:val="clear" w:color="auto" w:fill="C6EFCE"/>
            <w:vAlign w:val="center"/>
            <w:hideMark/>
          </w:tcPr>
          <w:p w:rsidRPr="00E03285" w:rsidR="00D87E44" w:rsidRDefault="00D87E44" w14:paraId="1545906B" w14:textId="77777777">
            <w:pPr>
              <w:spacing w:before="0" w:after="0" w:line="240" w:lineRule="auto"/>
              <w:jc w:val="center"/>
              <w:rPr>
                <w:rFonts w:eastAsia="Times New Roman"/>
                <w:noProof/>
                <w:color w:val="006100"/>
                <w:sz w:val="18"/>
                <w:szCs w:val="18"/>
              </w:rPr>
            </w:pPr>
            <w:r w:rsidRPr="00E03285">
              <w:rPr>
                <w:rFonts w:eastAsia="Times New Roman"/>
                <w:noProof/>
                <w:color w:val="006100"/>
                <w:sz w:val="18"/>
                <w:szCs w:val="18"/>
              </w:rPr>
              <w:t xml:space="preserve">70 </w:t>
            </w:r>
          </w:p>
        </w:tc>
        <w:tc>
          <w:tcPr>
            <w:tcW w:w="4062" w:type="dxa"/>
            <w:shd w:val="clear" w:color="auto" w:fill="C6EFCE"/>
            <w:vAlign w:val="center"/>
            <w:hideMark/>
          </w:tcPr>
          <w:p w:rsidRPr="007941B4" w:rsidR="00D87E44" w:rsidRDefault="00D87E44" w14:paraId="1545906C" w14:textId="77777777">
            <w:pPr>
              <w:spacing w:before="0" w:after="0" w:line="240" w:lineRule="auto"/>
              <w:jc w:val="center"/>
              <w:rPr>
                <w:rFonts w:eastAsia="Times New Roman"/>
                <w:noProof/>
                <w:color w:val="006100"/>
                <w:sz w:val="20"/>
                <w:szCs w:val="20"/>
              </w:rPr>
            </w:pPr>
            <w:r w:rsidRPr="007941B4">
              <w:rPr>
                <w:rFonts w:eastAsia="Times New Roman"/>
                <w:noProof/>
                <w:color w:val="006100"/>
                <w:sz w:val="20"/>
                <w:szCs w:val="20"/>
              </w:rPr>
              <w:t>C 1.5: Digital Transformation of Enterprises  -</w:t>
            </w:r>
          </w:p>
          <w:p w:rsidRPr="007941B4" w:rsidR="00D87E44" w:rsidRDefault="00D87E44" w14:paraId="1545906D" w14:textId="77777777">
            <w:pPr>
              <w:spacing w:before="0" w:after="0" w:line="240" w:lineRule="auto"/>
              <w:jc w:val="center"/>
              <w:rPr>
                <w:rFonts w:eastAsia="Times New Roman"/>
                <w:noProof/>
                <w:color w:val="006100"/>
                <w:sz w:val="18"/>
                <w:szCs w:val="18"/>
              </w:rPr>
            </w:pPr>
            <w:r w:rsidRPr="007941B4">
              <w:rPr>
                <w:rFonts w:eastAsia="Times New Roman"/>
                <w:noProof/>
                <w:color w:val="006100"/>
                <w:sz w:val="20"/>
                <w:szCs w:val="20"/>
              </w:rPr>
              <w:t>Investment 2: European Reference Testing and Experimentation facility</w:t>
            </w:r>
            <w:r w:rsidRPr="007941B4">
              <w:rPr>
                <w:rFonts w:eastAsia="Times New Roman"/>
                <w:noProof/>
                <w:color w:val="006100"/>
                <w:sz w:val="18"/>
                <w:szCs w:val="18"/>
              </w:rPr>
              <w:t xml:space="preserve"> </w:t>
            </w:r>
          </w:p>
        </w:tc>
        <w:tc>
          <w:tcPr>
            <w:tcW w:w="1701" w:type="dxa"/>
            <w:shd w:val="clear" w:color="auto" w:fill="C6EFCE"/>
            <w:vAlign w:val="center"/>
            <w:hideMark/>
          </w:tcPr>
          <w:p w:rsidRPr="007941B4" w:rsidR="00D87E44" w:rsidRDefault="00D87E44" w14:paraId="1545906E" w14:textId="77777777">
            <w:pPr>
              <w:spacing w:before="0" w:after="0" w:line="240" w:lineRule="auto"/>
              <w:jc w:val="center"/>
              <w:rPr>
                <w:rFonts w:eastAsia="Times New Roman"/>
                <w:noProof/>
                <w:color w:val="006100"/>
                <w:sz w:val="18"/>
                <w:szCs w:val="18"/>
              </w:rPr>
            </w:pPr>
            <w:r w:rsidRPr="007941B4">
              <w:rPr>
                <w:rFonts w:eastAsia="Times New Roman"/>
                <w:noProof/>
                <w:color w:val="006100"/>
                <w:sz w:val="20"/>
                <w:szCs w:val="20"/>
              </w:rPr>
              <w:t>Target</w:t>
            </w:r>
            <w:r w:rsidRPr="007941B4">
              <w:rPr>
                <w:rFonts w:eastAsia="Times New Roman"/>
                <w:noProof/>
                <w:color w:val="006100"/>
                <w:sz w:val="18"/>
                <w:szCs w:val="18"/>
              </w:rPr>
              <w:t xml:space="preserve"> </w:t>
            </w:r>
          </w:p>
        </w:tc>
        <w:tc>
          <w:tcPr>
            <w:tcW w:w="3686" w:type="dxa"/>
            <w:shd w:val="clear" w:color="auto" w:fill="C6EFCE"/>
            <w:vAlign w:val="center"/>
            <w:hideMark/>
          </w:tcPr>
          <w:p w:rsidRPr="007941B4" w:rsidR="00D87E44" w:rsidRDefault="00D87E44" w14:paraId="1545906F" w14:textId="77777777">
            <w:pPr>
              <w:spacing w:before="0" w:after="0" w:line="240" w:lineRule="auto"/>
              <w:jc w:val="center"/>
              <w:rPr>
                <w:rFonts w:eastAsia="Times New Roman"/>
                <w:noProof/>
                <w:color w:val="006100"/>
                <w:sz w:val="20"/>
                <w:szCs w:val="20"/>
              </w:rPr>
            </w:pPr>
            <w:r w:rsidRPr="00AB38C2">
              <w:rPr>
                <w:rFonts w:eastAsia="Times New Roman"/>
                <w:noProof/>
                <w:color w:val="006100"/>
                <w:sz w:val="20"/>
                <w:szCs w:val="20"/>
              </w:rPr>
              <w:t>Disbursement of funds to the European Reference Testing and Experimentation facility</w:t>
            </w:r>
          </w:p>
        </w:tc>
      </w:tr>
      <w:tr w:rsidRPr="00E03285" w:rsidR="00E3458A" w:rsidTr="00BF2B2E" w14:paraId="15459076" w14:textId="77777777">
        <w:trPr>
          <w:trHeight w:val="300"/>
        </w:trPr>
        <w:tc>
          <w:tcPr>
            <w:tcW w:w="1207" w:type="dxa"/>
            <w:shd w:val="clear" w:color="auto" w:fill="C6EFCE"/>
            <w:vAlign w:val="center"/>
            <w:hideMark/>
          </w:tcPr>
          <w:p w:rsidRPr="00E03285" w:rsidR="00D87E44" w:rsidRDefault="00D87E44" w14:paraId="15459071" w14:textId="77777777">
            <w:pPr>
              <w:spacing w:before="0" w:after="0" w:line="240" w:lineRule="auto"/>
              <w:jc w:val="center"/>
              <w:rPr>
                <w:rFonts w:eastAsia="Times New Roman"/>
                <w:noProof/>
                <w:color w:val="006100"/>
                <w:sz w:val="18"/>
                <w:szCs w:val="18"/>
              </w:rPr>
            </w:pPr>
            <w:r w:rsidRPr="00FF1320">
              <w:rPr>
                <w:color w:val="004300"/>
                <w:sz w:val="20"/>
                <w:lang w:val="en-IE"/>
              </w:rPr>
              <w:t>73</w:t>
            </w:r>
            <w:r w:rsidRPr="00E03285">
              <w:rPr>
                <w:rFonts w:eastAsia="Times New Roman"/>
                <w:noProof/>
                <w:color w:val="006100"/>
                <w:sz w:val="18"/>
                <w:szCs w:val="18"/>
              </w:rPr>
              <w:t xml:space="preserve"> </w:t>
            </w:r>
          </w:p>
        </w:tc>
        <w:tc>
          <w:tcPr>
            <w:tcW w:w="4062" w:type="dxa"/>
            <w:shd w:val="clear" w:color="auto" w:fill="C6EFCE"/>
            <w:vAlign w:val="center"/>
            <w:hideMark/>
          </w:tcPr>
          <w:p w:rsidRPr="007941B4" w:rsidR="00D87E44" w:rsidRDefault="00D87E44" w14:paraId="15459072" w14:textId="77777777">
            <w:pPr>
              <w:spacing w:before="0" w:after="0" w:line="240" w:lineRule="auto"/>
              <w:jc w:val="center"/>
              <w:rPr>
                <w:rFonts w:eastAsia="Times New Roman"/>
                <w:noProof/>
                <w:color w:val="006100"/>
                <w:sz w:val="20"/>
                <w:szCs w:val="20"/>
              </w:rPr>
            </w:pPr>
            <w:r w:rsidRPr="007941B4">
              <w:rPr>
                <w:rFonts w:eastAsia="Times New Roman"/>
                <w:noProof/>
                <w:color w:val="006100"/>
                <w:sz w:val="20"/>
                <w:szCs w:val="20"/>
              </w:rPr>
              <w:t>C 1.6: Acceleration and Digitalisation of the Building Process</w:t>
            </w:r>
            <w:r>
              <w:rPr>
                <w:rFonts w:eastAsia="Times New Roman"/>
                <w:noProof/>
                <w:color w:val="006100"/>
                <w:sz w:val="20"/>
                <w:szCs w:val="20"/>
              </w:rPr>
              <w:t xml:space="preserve"> </w:t>
            </w:r>
            <w:r w:rsidRPr="007941B4">
              <w:rPr>
                <w:rFonts w:eastAsia="Times New Roman"/>
                <w:noProof/>
                <w:color w:val="006100"/>
                <w:sz w:val="20"/>
                <w:szCs w:val="20"/>
              </w:rPr>
              <w:t>-</w:t>
            </w:r>
          </w:p>
          <w:p w:rsidRPr="007941B4" w:rsidR="00D87E44" w:rsidRDefault="00D87E44" w14:paraId="15459073" w14:textId="77777777">
            <w:pPr>
              <w:spacing w:before="0" w:after="0" w:line="240" w:lineRule="auto"/>
              <w:jc w:val="center"/>
              <w:rPr>
                <w:rFonts w:eastAsia="Times New Roman"/>
                <w:noProof/>
                <w:color w:val="006100"/>
                <w:sz w:val="18"/>
                <w:szCs w:val="18"/>
              </w:rPr>
            </w:pPr>
            <w:r w:rsidRPr="007941B4">
              <w:rPr>
                <w:rFonts w:eastAsia="Times New Roman"/>
                <w:noProof/>
                <w:color w:val="006100"/>
                <w:sz w:val="20"/>
                <w:szCs w:val="20"/>
              </w:rPr>
              <w:t>Reform 1: Implementation of the new construction law and zoning law into practice</w:t>
            </w:r>
            <w:r w:rsidRPr="007941B4">
              <w:rPr>
                <w:rFonts w:eastAsia="Times New Roman"/>
                <w:noProof/>
                <w:color w:val="006100"/>
                <w:sz w:val="18"/>
                <w:szCs w:val="18"/>
              </w:rPr>
              <w:t xml:space="preserve"> </w:t>
            </w:r>
          </w:p>
        </w:tc>
        <w:tc>
          <w:tcPr>
            <w:tcW w:w="1701" w:type="dxa"/>
            <w:shd w:val="clear" w:color="auto" w:fill="C6EFCE"/>
            <w:vAlign w:val="center"/>
            <w:hideMark/>
          </w:tcPr>
          <w:p w:rsidRPr="007941B4" w:rsidR="00D87E44" w:rsidRDefault="00D87E44" w14:paraId="15459074" w14:textId="77777777">
            <w:pPr>
              <w:spacing w:before="0" w:after="0" w:line="240" w:lineRule="auto"/>
              <w:jc w:val="center"/>
              <w:rPr>
                <w:rFonts w:eastAsia="Times New Roman"/>
                <w:noProof/>
                <w:color w:val="006100"/>
                <w:sz w:val="20"/>
                <w:szCs w:val="20"/>
              </w:rPr>
            </w:pPr>
            <w:r w:rsidRPr="007941B4">
              <w:rPr>
                <w:rFonts w:eastAsia="Times New Roman"/>
                <w:noProof/>
                <w:color w:val="006100"/>
                <w:sz w:val="20"/>
                <w:szCs w:val="20"/>
              </w:rPr>
              <w:t>Target</w:t>
            </w:r>
          </w:p>
        </w:tc>
        <w:tc>
          <w:tcPr>
            <w:tcW w:w="3686" w:type="dxa"/>
            <w:shd w:val="clear" w:color="auto" w:fill="C6EFCE"/>
            <w:vAlign w:val="center"/>
            <w:hideMark/>
          </w:tcPr>
          <w:p w:rsidRPr="007941B4" w:rsidR="00D87E44" w:rsidRDefault="00D87E44" w14:paraId="15459075" w14:textId="77777777">
            <w:pPr>
              <w:spacing w:before="0" w:after="0" w:line="240" w:lineRule="auto"/>
              <w:jc w:val="center"/>
              <w:rPr>
                <w:rFonts w:eastAsia="Times New Roman"/>
                <w:noProof/>
                <w:color w:val="006100"/>
                <w:sz w:val="20"/>
                <w:szCs w:val="20"/>
              </w:rPr>
            </w:pPr>
            <w:r w:rsidRPr="007941B4">
              <w:rPr>
                <w:rFonts w:eastAsia="Times New Roman"/>
                <w:noProof/>
                <w:color w:val="006100"/>
                <w:sz w:val="20"/>
                <w:szCs w:val="20"/>
              </w:rPr>
              <w:t xml:space="preserve"> Purchase of equipment </w:t>
            </w:r>
            <w:r>
              <w:rPr>
                <w:rFonts w:eastAsia="Times New Roman"/>
                <w:noProof/>
                <w:color w:val="006100"/>
                <w:sz w:val="20"/>
                <w:szCs w:val="20"/>
              </w:rPr>
              <w:t>for</w:t>
            </w:r>
            <w:r w:rsidRPr="007941B4">
              <w:rPr>
                <w:rFonts w:eastAsia="Times New Roman"/>
                <w:noProof/>
                <w:color w:val="006100"/>
                <w:sz w:val="20"/>
                <w:szCs w:val="20"/>
              </w:rPr>
              <w:t xml:space="preserve"> building authorities</w:t>
            </w:r>
          </w:p>
        </w:tc>
      </w:tr>
      <w:tr w:rsidRPr="00E03285" w:rsidR="00E3458A" w:rsidTr="00BF2B2E" w14:paraId="1545907B" w14:textId="77777777">
        <w:trPr>
          <w:trHeight w:val="300"/>
        </w:trPr>
        <w:tc>
          <w:tcPr>
            <w:tcW w:w="1207" w:type="dxa"/>
            <w:shd w:val="clear" w:color="auto" w:fill="C6EFCE"/>
            <w:vAlign w:val="center"/>
            <w:hideMark/>
          </w:tcPr>
          <w:p w:rsidRPr="00E03285" w:rsidR="00D87E44" w:rsidRDefault="00D87E44" w14:paraId="15459077" w14:textId="77777777">
            <w:pPr>
              <w:spacing w:before="0" w:after="0" w:line="240" w:lineRule="auto"/>
              <w:jc w:val="center"/>
              <w:rPr>
                <w:rFonts w:eastAsia="Times New Roman"/>
                <w:noProof/>
                <w:color w:val="006100"/>
                <w:sz w:val="18"/>
                <w:szCs w:val="18"/>
              </w:rPr>
            </w:pPr>
            <w:r w:rsidRPr="00FF1320">
              <w:rPr>
                <w:color w:val="004300"/>
                <w:sz w:val="20"/>
                <w:lang w:val="en-IE"/>
              </w:rPr>
              <w:lastRenderedPageBreak/>
              <w:t>112</w:t>
            </w:r>
          </w:p>
        </w:tc>
        <w:tc>
          <w:tcPr>
            <w:tcW w:w="4062" w:type="dxa"/>
            <w:shd w:val="clear" w:color="auto" w:fill="C6EFCE"/>
            <w:vAlign w:val="center"/>
            <w:hideMark/>
          </w:tcPr>
          <w:p w:rsidRPr="00E03285" w:rsidR="00D87E44" w:rsidRDefault="00D87E44" w14:paraId="1545907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 2.3: Transition to Cleaner Energy Sources - Investment 1: Development of new photovoltaic energy sources</w:t>
            </w:r>
          </w:p>
        </w:tc>
        <w:tc>
          <w:tcPr>
            <w:tcW w:w="1701" w:type="dxa"/>
            <w:shd w:val="clear" w:color="auto" w:fill="C6EFCE"/>
            <w:vAlign w:val="center"/>
            <w:hideMark/>
          </w:tcPr>
          <w:p w:rsidRPr="00E03285" w:rsidR="00D87E44" w:rsidRDefault="00D87E44" w14:paraId="1545907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Target</w:t>
            </w:r>
          </w:p>
        </w:tc>
        <w:tc>
          <w:tcPr>
            <w:tcW w:w="3686" w:type="dxa"/>
            <w:shd w:val="clear" w:color="auto" w:fill="C6EFCE"/>
            <w:vAlign w:val="center"/>
            <w:hideMark/>
          </w:tcPr>
          <w:p w:rsidRPr="00E03285" w:rsidR="00D87E44" w:rsidRDefault="00D87E44" w14:paraId="1545907A"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Increase of installed capacity of FVE sources</w:t>
            </w:r>
          </w:p>
        </w:tc>
      </w:tr>
      <w:tr w:rsidRPr="00E03285" w:rsidR="00E3458A" w:rsidTr="00BF2B2E" w14:paraId="15459080" w14:textId="77777777">
        <w:trPr>
          <w:trHeight w:val="300"/>
        </w:trPr>
        <w:tc>
          <w:tcPr>
            <w:tcW w:w="1207" w:type="dxa"/>
            <w:shd w:val="clear" w:color="auto" w:fill="C6EFCE"/>
            <w:vAlign w:val="center"/>
            <w:hideMark/>
          </w:tcPr>
          <w:p w:rsidRPr="00E03285" w:rsidR="00D87E44" w:rsidRDefault="00D87E44" w14:paraId="1545907C" w14:textId="77777777">
            <w:pPr>
              <w:spacing w:before="0" w:after="0" w:line="240" w:lineRule="auto"/>
              <w:jc w:val="center"/>
              <w:rPr>
                <w:rFonts w:eastAsia="Times New Roman"/>
                <w:noProof/>
                <w:color w:val="006100"/>
                <w:sz w:val="18"/>
                <w:szCs w:val="18"/>
              </w:rPr>
            </w:pPr>
            <w:r w:rsidRPr="00FF1320">
              <w:rPr>
                <w:color w:val="004300"/>
                <w:sz w:val="20"/>
                <w:lang w:val="en-IE"/>
              </w:rPr>
              <w:t>185</w:t>
            </w:r>
          </w:p>
        </w:tc>
        <w:tc>
          <w:tcPr>
            <w:tcW w:w="4062" w:type="dxa"/>
            <w:shd w:val="clear" w:color="auto" w:fill="C6EFCE"/>
            <w:vAlign w:val="center"/>
            <w:hideMark/>
          </w:tcPr>
          <w:p w:rsidRPr="00E03285" w:rsidR="00D87E44" w:rsidRDefault="00D87E44" w14:paraId="1545907D"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 3.3: Modernisation of Employment Services and Labour Market Development - Reform 1: Development of labour market policies</w:t>
            </w:r>
          </w:p>
        </w:tc>
        <w:tc>
          <w:tcPr>
            <w:tcW w:w="1701" w:type="dxa"/>
            <w:shd w:val="clear" w:color="auto" w:fill="C6EFCE"/>
            <w:vAlign w:val="center"/>
            <w:hideMark/>
          </w:tcPr>
          <w:p w:rsidRPr="00E03285" w:rsidR="00D87E44" w:rsidRDefault="00D87E44" w14:paraId="1545907E"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7F" w14:textId="77777777">
            <w:pPr>
              <w:spacing w:before="0" w:after="0" w:line="240" w:lineRule="auto"/>
              <w:jc w:val="center"/>
              <w:rPr>
                <w:rFonts w:eastAsia="Times New Roman"/>
                <w:noProof/>
                <w:color w:val="006100"/>
                <w:sz w:val="20"/>
                <w:szCs w:val="20"/>
              </w:rPr>
            </w:pPr>
            <w:r w:rsidRPr="00703AE2">
              <w:rPr>
                <w:noProof/>
                <w:color w:val="006100"/>
                <w:sz w:val="20"/>
              </w:rPr>
              <w:t xml:space="preserve">Entry into force of the amended Employment Act </w:t>
            </w:r>
          </w:p>
        </w:tc>
      </w:tr>
      <w:tr w:rsidRPr="00E03285" w:rsidR="00E3458A" w:rsidTr="00BF2B2E" w14:paraId="15459085" w14:textId="77777777">
        <w:trPr>
          <w:trHeight w:val="300"/>
        </w:trPr>
        <w:tc>
          <w:tcPr>
            <w:tcW w:w="1207" w:type="dxa"/>
            <w:shd w:val="clear" w:color="auto" w:fill="C6EFCE"/>
            <w:vAlign w:val="center"/>
            <w:hideMark/>
          </w:tcPr>
          <w:p w:rsidRPr="00E03285" w:rsidR="00D87E44" w:rsidRDefault="00D87E44" w14:paraId="15459081" w14:textId="77777777">
            <w:pPr>
              <w:spacing w:before="0" w:after="0" w:line="240" w:lineRule="auto"/>
              <w:jc w:val="center"/>
              <w:rPr>
                <w:rFonts w:eastAsia="Times New Roman"/>
                <w:noProof/>
                <w:color w:val="006100"/>
                <w:sz w:val="18"/>
                <w:szCs w:val="18"/>
              </w:rPr>
            </w:pPr>
            <w:r w:rsidRPr="00FF1320">
              <w:rPr>
                <w:color w:val="004300"/>
                <w:sz w:val="20"/>
                <w:lang w:val="en-IE"/>
              </w:rPr>
              <w:t>273</w:t>
            </w:r>
          </w:p>
        </w:tc>
        <w:tc>
          <w:tcPr>
            <w:tcW w:w="4062" w:type="dxa"/>
            <w:shd w:val="clear" w:color="auto" w:fill="C6EFCE"/>
            <w:vAlign w:val="center"/>
            <w:hideMark/>
          </w:tcPr>
          <w:p w:rsidRPr="00E03285" w:rsidR="00D87E44" w:rsidRDefault="00D87E44" w14:paraId="1545908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lang w:val="en-IE"/>
              </w:rPr>
              <w:t>C 3.3: Modernisation of Employment Services and Labour Market Development - Investment 3: Development and modernisation of social care infrastructure</w:t>
            </w:r>
          </w:p>
        </w:tc>
        <w:tc>
          <w:tcPr>
            <w:tcW w:w="1701" w:type="dxa"/>
            <w:shd w:val="clear" w:color="auto" w:fill="C6EFCE"/>
            <w:vAlign w:val="center"/>
            <w:hideMark/>
          </w:tcPr>
          <w:p w:rsidRPr="00E03285" w:rsidR="00D87E44" w:rsidRDefault="00D87E44" w14:paraId="15459083"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E03285" w:rsidR="00D87E44" w:rsidRDefault="00D87E44" w14:paraId="15459084"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lang w:val="en-IE"/>
              </w:rPr>
              <w:t xml:space="preserve">Amendment of Social Services Act concerning complaints  </w:t>
            </w:r>
          </w:p>
        </w:tc>
      </w:tr>
      <w:tr w:rsidRPr="00E03285" w:rsidR="00E3458A" w:rsidTr="00BF2B2E" w14:paraId="1545908A" w14:textId="77777777">
        <w:trPr>
          <w:trHeight w:val="300"/>
        </w:trPr>
        <w:tc>
          <w:tcPr>
            <w:tcW w:w="1207" w:type="dxa"/>
            <w:shd w:val="clear" w:color="auto" w:fill="C6EFCE"/>
            <w:vAlign w:val="center"/>
            <w:hideMark/>
          </w:tcPr>
          <w:p w:rsidRPr="00E03285" w:rsidR="00D87E44" w:rsidRDefault="00D87E44" w14:paraId="15459086" w14:textId="77777777">
            <w:pPr>
              <w:spacing w:before="0" w:after="0" w:line="240" w:lineRule="auto"/>
              <w:jc w:val="center"/>
              <w:rPr>
                <w:rFonts w:eastAsia="Times New Roman"/>
                <w:noProof/>
                <w:color w:val="006100"/>
                <w:sz w:val="18"/>
                <w:szCs w:val="18"/>
              </w:rPr>
            </w:pPr>
            <w:r w:rsidRPr="00FF1320">
              <w:rPr>
                <w:color w:val="004300"/>
                <w:sz w:val="20"/>
                <w:lang w:val="en-IE"/>
              </w:rPr>
              <w:t>206</w:t>
            </w:r>
          </w:p>
        </w:tc>
        <w:tc>
          <w:tcPr>
            <w:tcW w:w="4062" w:type="dxa"/>
            <w:shd w:val="clear" w:color="auto" w:fill="C6EFCE"/>
            <w:vAlign w:val="center"/>
            <w:hideMark/>
          </w:tcPr>
          <w:p w:rsidRPr="00E03285" w:rsidR="00D87E44" w:rsidRDefault="00D87E44" w14:paraId="15459087"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 4.3: Anti-Corruption Reforms - Reform 4: Regulation of lobbying</w:t>
            </w:r>
          </w:p>
        </w:tc>
        <w:tc>
          <w:tcPr>
            <w:tcW w:w="1701" w:type="dxa"/>
            <w:shd w:val="clear" w:color="auto" w:fill="C6EFCE"/>
            <w:vAlign w:val="center"/>
            <w:hideMark/>
          </w:tcPr>
          <w:p w:rsidRPr="00E03285" w:rsidR="00D87E44" w:rsidRDefault="00D87E44" w14:paraId="1545908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8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Entry into force of the law on lobbying</w:t>
            </w:r>
          </w:p>
        </w:tc>
      </w:tr>
      <w:tr w:rsidRPr="00E03285" w:rsidR="00E3458A" w:rsidTr="00BF2B2E" w14:paraId="1545908F" w14:textId="77777777">
        <w:trPr>
          <w:trHeight w:val="300"/>
        </w:trPr>
        <w:tc>
          <w:tcPr>
            <w:tcW w:w="1207" w:type="dxa"/>
            <w:shd w:val="clear" w:color="auto" w:fill="C6EFCE"/>
            <w:vAlign w:val="center"/>
            <w:hideMark/>
          </w:tcPr>
          <w:p w:rsidRPr="00E03285" w:rsidR="00D87E44" w:rsidRDefault="00D87E44" w14:paraId="1545908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220</w:t>
            </w:r>
          </w:p>
        </w:tc>
        <w:tc>
          <w:tcPr>
            <w:tcW w:w="4062" w:type="dxa"/>
            <w:shd w:val="clear" w:color="auto" w:fill="C6EFCE"/>
            <w:vAlign w:val="center"/>
            <w:hideMark/>
          </w:tcPr>
          <w:p w:rsidRPr="00E03285" w:rsidR="00D87E44" w:rsidRDefault="00D87E44" w14:paraId="1545908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4.5: Development of the Cultural and Creative Sector - Reform 1: Legislative reform introducing multi-source financing of cultural institutions and </w:t>
            </w:r>
            <w:r w:rsidRPr="00E03285">
              <w:rPr>
                <w:rFonts w:eastAsia="Times New Roman"/>
                <w:noProof/>
                <w:color w:val="006100"/>
                <w:sz w:val="20"/>
                <w:szCs w:val="20"/>
                <w:lang w:val="en-IE"/>
              </w:rPr>
              <w:t>registration of artists</w:t>
            </w:r>
          </w:p>
        </w:tc>
        <w:tc>
          <w:tcPr>
            <w:tcW w:w="1701" w:type="dxa"/>
            <w:shd w:val="clear" w:color="auto" w:fill="C6EFCE"/>
            <w:vAlign w:val="center"/>
            <w:hideMark/>
          </w:tcPr>
          <w:p w:rsidRPr="00E03285" w:rsidR="00D87E44" w:rsidRDefault="00D87E44" w14:paraId="1545908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E03285" w:rsidR="00D87E44" w:rsidRDefault="00D87E44" w14:paraId="1545908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Entry into force of a legislative amendment allowing for cooperative multi-source financing of culture </w:t>
            </w:r>
            <w:r w:rsidRPr="00290A5C">
              <w:rPr>
                <w:rFonts w:eastAsia="Times New Roman"/>
                <w:noProof/>
                <w:color w:val="006100"/>
                <w:sz w:val="20"/>
                <w:szCs w:val="20"/>
                <w:lang w:val="en-IE"/>
              </w:rPr>
              <w:t>and introducing a registration of artists</w:t>
            </w:r>
          </w:p>
        </w:tc>
      </w:tr>
      <w:tr w:rsidRPr="00E03285" w:rsidR="00E3458A" w:rsidTr="00BF2B2E" w14:paraId="15459094" w14:textId="77777777">
        <w:trPr>
          <w:trHeight w:val="300"/>
        </w:trPr>
        <w:tc>
          <w:tcPr>
            <w:tcW w:w="1207" w:type="dxa"/>
            <w:shd w:val="clear" w:color="auto" w:fill="C6EFCE"/>
            <w:vAlign w:val="center"/>
            <w:hideMark/>
          </w:tcPr>
          <w:p w:rsidRPr="00E03285" w:rsidR="00D87E44" w:rsidRDefault="00D87E44" w14:paraId="1545909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196</w:t>
            </w:r>
          </w:p>
        </w:tc>
        <w:tc>
          <w:tcPr>
            <w:tcW w:w="4062" w:type="dxa"/>
            <w:shd w:val="clear" w:color="auto" w:fill="C6EFCE"/>
            <w:vAlign w:val="center"/>
            <w:hideMark/>
          </w:tcPr>
          <w:p w:rsidRPr="00E03285" w:rsidR="00D87E44" w:rsidRDefault="00D87E44" w14:paraId="1545909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3.3: Modernisation of Employment Services and Labour Market Development  - Investment 3: Development and modernisation of social care infrastructure</w:t>
            </w:r>
          </w:p>
        </w:tc>
        <w:tc>
          <w:tcPr>
            <w:tcW w:w="1701" w:type="dxa"/>
            <w:shd w:val="clear" w:color="auto" w:fill="C6EFCE"/>
            <w:vAlign w:val="center"/>
            <w:hideMark/>
          </w:tcPr>
          <w:p w:rsidRPr="00E03285" w:rsidR="00D87E44" w:rsidRDefault="00D87E44" w14:paraId="1545909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9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T1: Number of low-emission vehicles purchased for providers of social prevention, counselling or home-care services</w:t>
            </w:r>
          </w:p>
        </w:tc>
      </w:tr>
      <w:tr w:rsidRPr="00E03285" w:rsidR="00E3458A" w:rsidTr="00BF2B2E" w14:paraId="15459099" w14:textId="77777777">
        <w:trPr>
          <w:trHeight w:val="300"/>
        </w:trPr>
        <w:tc>
          <w:tcPr>
            <w:tcW w:w="1207" w:type="dxa"/>
            <w:shd w:val="clear" w:color="auto" w:fill="C6EFCE"/>
            <w:vAlign w:val="center"/>
            <w:hideMark/>
          </w:tcPr>
          <w:p w:rsidRPr="00E03285" w:rsidR="00D87E44" w:rsidRDefault="00D87E44" w14:paraId="1545909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234</w:t>
            </w:r>
          </w:p>
        </w:tc>
        <w:tc>
          <w:tcPr>
            <w:tcW w:w="4062" w:type="dxa"/>
            <w:shd w:val="clear" w:color="auto" w:fill="C6EFCE"/>
            <w:vAlign w:val="center"/>
            <w:hideMark/>
          </w:tcPr>
          <w:p w:rsidRPr="00E03285" w:rsidR="00D87E44" w:rsidRDefault="00D87E44" w14:paraId="1545909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6.1: Increasing Resilience of the Health System - Investment 2: Rehabilitation care for patients recovering from critical conditions</w:t>
            </w:r>
          </w:p>
        </w:tc>
        <w:tc>
          <w:tcPr>
            <w:tcW w:w="1701" w:type="dxa"/>
            <w:shd w:val="clear" w:color="auto" w:fill="C6EFCE"/>
            <w:vAlign w:val="center"/>
            <w:hideMark/>
          </w:tcPr>
          <w:p w:rsidRPr="00E03285" w:rsidR="00D87E44" w:rsidRDefault="00D87E44" w14:paraId="1545909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9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Support of rehabilitation care </w:t>
            </w:r>
          </w:p>
        </w:tc>
      </w:tr>
      <w:tr w:rsidRPr="00E03285" w:rsidR="00E3458A" w:rsidTr="00BF2B2E" w14:paraId="1545909E" w14:textId="77777777">
        <w:trPr>
          <w:trHeight w:val="300"/>
        </w:trPr>
        <w:tc>
          <w:tcPr>
            <w:tcW w:w="1207" w:type="dxa"/>
            <w:shd w:val="clear" w:color="auto" w:fill="C6EFCE"/>
            <w:vAlign w:val="center"/>
            <w:hideMark/>
          </w:tcPr>
          <w:p w:rsidRPr="00E03285" w:rsidR="00D87E44" w:rsidRDefault="00D87E44" w14:paraId="1545909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237</w:t>
            </w:r>
          </w:p>
        </w:tc>
        <w:tc>
          <w:tcPr>
            <w:tcW w:w="4062" w:type="dxa"/>
            <w:shd w:val="clear" w:color="auto" w:fill="C6EFCE"/>
            <w:vAlign w:val="center"/>
            <w:hideMark/>
          </w:tcPr>
          <w:p w:rsidRPr="00E03285" w:rsidR="00D87E44" w:rsidRDefault="00D87E44" w14:paraId="1545909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6.2: The National Plan to Strengthen Oncological Prevention and Care - Reform 2: Supporting and enhancing quality of preventive screening programmes</w:t>
            </w:r>
          </w:p>
        </w:tc>
        <w:tc>
          <w:tcPr>
            <w:tcW w:w="1701" w:type="dxa"/>
            <w:shd w:val="clear" w:color="auto" w:fill="C6EFCE"/>
            <w:vAlign w:val="center"/>
            <w:hideMark/>
          </w:tcPr>
          <w:p w:rsidRPr="00E03285" w:rsidR="00D87E44" w:rsidRDefault="00D87E44" w14:paraId="1545909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CB1536" w:rsidR="00D87E44" w:rsidRDefault="00D87E44" w14:paraId="1545909D" w14:textId="77777777">
            <w:pPr>
              <w:spacing w:before="0" w:after="0"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Appointment of an institution responsible for coordination of oncological screening programs</w:t>
            </w:r>
          </w:p>
        </w:tc>
      </w:tr>
      <w:tr w:rsidRPr="00E03285" w:rsidR="00E3458A" w:rsidTr="00BF2B2E" w14:paraId="154590A3" w14:textId="77777777">
        <w:trPr>
          <w:trHeight w:val="300"/>
        </w:trPr>
        <w:tc>
          <w:tcPr>
            <w:tcW w:w="1207" w:type="dxa"/>
            <w:shd w:val="clear" w:color="auto" w:fill="C6EFCE"/>
            <w:vAlign w:val="center"/>
            <w:hideMark/>
          </w:tcPr>
          <w:p w:rsidRPr="00E03285" w:rsidR="00D87E44" w:rsidRDefault="00D87E44" w14:paraId="1545909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239</w:t>
            </w:r>
          </w:p>
        </w:tc>
        <w:tc>
          <w:tcPr>
            <w:tcW w:w="4062" w:type="dxa"/>
            <w:shd w:val="clear" w:color="auto" w:fill="C6EFCE"/>
            <w:vAlign w:val="center"/>
            <w:hideMark/>
          </w:tcPr>
          <w:p w:rsidRPr="00E03285" w:rsidR="00D87E44" w:rsidRDefault="00D87E44" w14:paraId="154590A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6.2: The National Plan to Strengthen Oncological Prevention and Care - Reform 2: Supporting and enhancing quality of preventive screening programmes</w:t>
            </w:r>
          </w:p>
        </w:tc>
        <w:tc>
          <w:tcPr>
            <w:tcW w:w="1701" w:type="dxa"/>
            <w:shd w:val="clear" w:color="auto" w:fill="C6EFCE"/>
            <w:vAlign w:val="center"/>
            <w:hideMark/>
          </w:tcPr>
          <w:p w:rsidRPr="00E03285" w:rsidR="00D87E44" w:rsidRDefault="00D87E44" w14:paraId="154590A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CB1536" w:rsidR="00D87E44" w:rsidRDefault="00D87E44" w14:paraId="154590A2" w14:textId="77777777">
            <w:pPr>
              <w:spacing w:before="0" w:after="0" w:line="240" w:lineRule="auto"/>
              <w:jc w:val="center"/>
              <w:rPr>
                <w:rFonts w:eastAsia="Times New Roman"/>
                <w:noProof/>
                <w:color w:val="006100"/>
                <w:sz w:val="20"/>
                <w:szCs w:val="20"/>
                <w:lang w:val="en-IE"/>
              </w:rPr>
            </w:pPr>
            <w:r w:rsidRPr="006E17F4">
              <w:rPr>
                <w:rFonts w:eastAsia="Times New Roman"/>
                <w:noProof/>
                <w:color w:val="006100"/>
                <w:sz w:val="20"/>
                <w:szCs w:val="20"/>
                <w:lang w:val="en-IE"/>
              </w:rPr>
              <w:t>Launch of the new early lung cancer detection programme</w:t>
            </w:r>
          </w:p>
        </w:tc>
      </w:tr>
      <w:tr w:rsidRPr="00E03285" w:rsidR="00E3458A" w:rsidTr="00BF2B2E" w14:paraId="154590A8" w14:textId="77777777">
        <w:trPr>
          <w:trHeight w:val="300"/>
        </w:trPr>
        <w:tc>
          <w:tcPr>
            <w:tcW w:w="1207" w:type="dxa"/>
            <w:shd w:val="clear" w:color="auto" w:fill="C6EFCE"/>
            <w:vAlign w:val="center"/>
            <w:hideMark/>
          </w:tcPr>
          <w:p w:rsidRPr="00E03285" w:rsidR="00D87E44" w:rsidRDefault="00D87E44" w14:paraId="154590A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282 </w:t>
            </w:r>
          </w:p>
        </w:tc>
        <w:tc>
          <w:tcPr>
            <w:tcW w:w="4062" w:type="dxa"/>
            <w:shd w:val="clear" w:color="auto" w:fill="C6EFCE"/>
            <w:vAlign w:val="center"/>
            <w:hideMark/>
          </w:tcPr>
          <w:p w:rsidRPr="00E03285" w:rsidR="00D87E44" w:rsidRDefault="00D87E44" w14:paraId="154590A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w:t>
            </w:r>
            <w:r>
              <w:rPr>
                <w:rFonts w:eastAsia="Times New Roman"/>
                <w:noProof/>
                <w:color w:val="006100"/>
                <w:sz w:val="20"/>
                <w:szCs w:val="20"/>
                <w:lang w:val="en-IE"/>
              </w:rPr>
              <w:t xml:space="preserve"> </w:t>
            </w:r>
            <w:r w:rsidRPr="00E03285">
              <w:rPr>
                <w:rFonts w:eastAsia="Times New Roman"/>
                <w:noProof/>
                <w:color w:val="006100"/>
                <w:sz w:val="20"/>
                <w:szCs w:val="20"/>
                <w:lang w:val="en-IE"/>
              </w:rPr>
              <w:t xml:space="preserve">4.1: Systemic </w:t>
            </w:r>
            <w:r>
              <w:rPr>
                <w:rFonts w:eastAsia="Times New Roman"/>
                <w:noProof/>
                <w:color w:val="006100"/>
                <w:sz w:val="20"/>
                <w:szCs w:val="20"/>
                <w:lang w:val="en-IE"/>
              </w:rPr>
              <w:t>S</w:t>
            </w:r>
            <w:r w:rsidRPr="00E03285">
              <w:rPr>
                <w:rFonts w:eastAsia="Times New Roman"/>
                <w:noProof/>
                <w:color w:val="006100"/>
                <w:sz w:val="20"/>
                <w:szCs w:val="20"/>
                <w:lang w:val="en-IE"/>
              </w:rPr>
              <w:t xml:space="preserve">upport for </w:t>
            </w:r>
            <w:r>
              <w:rPr>
                <w:rFonts w:eastAsia="Times New Roman"/>
                <w:noProof/>
                <w:color w:val="006100"/>
                <w:sz w:val="20"/>
                <w:szCs w:val="20"/>
                <w:lang w:val="en-IE"/>
              </w:rPr>
              <w:t>P</w:t>
            </w:r>
            <w:r w:rsidRPr="00E03285">
              <w:rPr>
                <w:rFonts w:eastAsia="Times New Roman"/>
                <w:noProof/>
                <w:color w:val="006100"/>
                <w:sz w:val="20"/>
                <w:szCs w:val="20"/>
                <w:lang w:val="en-IE"/>
              </w:rPr>
              <w:t xml:space="preserve">ublic </w:t>
            </w:r>
            <w:r>
              <w:rPr>
                <w:rFonts w:eastAsia="Times New Roman"/>
                <w:noProof/>
                <w:color w:val="006100"/>
                <w:sz w:val="20"/>
                <w:szCs w:val="20"/>
                <w:lang w:val="en-IE"/>
              </w:rPr>
              <w:t>I</w:t>
            </w:r>
            <w:r w:rsidRPr="00E03285">
              <w:rPr>
                <w:rFonts w:eastAsia="Times New Roman"/>
                <w:noProof/>
                <w:color w:val="006100"/>
                <w:sz w:val="20"/>
                <w:szCs w:val="20"/>
                <w:lang w:val="en-IE"/>
              </w:rPr>
              <w:t>nvestment</w:t>
            </w:r>
            <w:r>
              <w:rPr>
                <w:rFonts w:eastAsia="Times New Roman"/>
                <w:noProof/>
                <w:color w:val="006100"/>
                <w:sz w:val="20"/>
                <w:szCs w:val="20"/>
                <w:lang w:val="en-IE"/>
              </w:rPr>
              <w:t xml:space="preserve"> </w:t>
            </w:r>
            <w:r w:rsidRPr="00E03285">
              <w:rPr>
                <w:rFonts w:eastAsia="Times New Roman"/>
                <w:noProof/>
                <w:color w:val="006100"/>
                <w:sz w:val="20"/>
                <w:szCs w:val="20"/>
                <w:lang w:val="en-IE"/>
              </w:rPr>
              <w:t>-</w:t>
            </w:r>
            <w:r>
              <w:rPr>
                <w:rFonts w:eastAsia="Times New Roman"/>
                <w:noProof/>
                <w:color w:val="006100"/>
                <w:sz w:val="20"/>
                <w:szCs w:val="20"/>
                <w:lang w:val="en-IE"/>
              </w:rPr>
              <w:t xml:space="preserve"> </w:t>
            </w:r>
            <w:r w:rsidRPr="00E03285">
              <w:rPr>
                <w:rFonts w:eastAsia="Times New Roman"/>
                <w:noProof/>
                <w:color w:val="006100"/>
                <w:sz w:val="20"/>
                <w:szCs w:val="20"/>
                <w:lang w:val="en-IE"/>
              </w:rPr>
              <w:t xml:space="preserve">Reform 3: </w:t>
            </w:r>
            <w:r w:rsidRPr="00E03285">
              <w:rPr>
                <w:noProof/>
              </w:rPr>
              <w:br/>
            </w:r>
            <w:r w:rsidRPr="00E03285">
              <w:rPr>
                <w:rFonts w:eastAsia="Times New Roman"/>
                <w:noProof/>
                <w:color w:val="006100"/>
                <w:sz w:val="20"/>
                <w:szCs w:val="20"/>
                <w:lang w:val="en-IE"/>
              </w:rPr>
              <w:t xml:space="preserve"> Financial support for the preparation of projects in line with EU objectives</w:t>
            </w:r>
          </w:p>
        </w:tc>
        <w:tc>
          <w:tcPr>
            <w:tcW w:w="1701" w:type="dxa"/>
            <w:shd w:val="clear" w:color="auto" w:fill="C6EFCE"/>
            <w:vAlign w:val="center"/>
            <w:hideMark/>
          </w:tcPr>
          <w:p w:rsidRPr="00E03285" w:rsidR="00D87E44" w:rsidRDefault="00D87E44" w14:paraId="154590A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CB1536" w:rsidR="00D87E44" w:rsidRDefault="00D87E44" w14:paraId="154590A7" w14:textId="77777777">
            <w:pPr>
              <w:spacing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 xml:space="preserve">Number of project selected for support </w:t>
            </w:r>
          </w:p>
        </w:tc>
      </w:tr>
      <w:tr w:rsidRPr="00E03285" w:rsidR="00E3458A" w:rsidTr="00BF2B2E" w14:paraId="154590AD" w14:textId="77777777">
        <w:trPr>
          <w:trHeight w:val="300"/>
        </w:trPr>
        <w:tc>
          <w:tcPr>
            <w:tcW w:w="1207" w:type="dxa"/>
            <w:shd w:val="clear" w:color="auto" w:fill="C6EFCE"/>
            <w:vAlign w:val="center"/>
            <w:hideMark/>
          </w:tcPr>
          <w:p w:rsidRPr="00E03285" w:rsidR="00D87E44" w:rsidRDefault="00D87E44" w14:paraId="154590A9"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287 </w:t>
            </w:r>
          </w:p>
        </w:tc>
        <w:tc>
          <w:tcPr>
            <w:tcW w:w="4062" w:type="dxa"/>
            <w:shd w:val="clear" w:color="auto" w:fill="C6EFCE"/>
            <w:vAlign w:val="center"/>
            <w:hideMark/>
          </w:tcPr>
          <w:p w:rsidRPr="00E03285" w:rsidR="00D87E44" w:rsidRDefault="00D87E44" w14:paraId="154590AA"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w:t>
            </w:r>
            <w:r>
              <w:rPr>
                <w:rFonts w:eastAsia="Times New Roman"/>
                <w:noProof/>
                <w:color w:val="006100"/>
                <w:sz w:val="20"/>
                <w:szCs w:val="20"/>
                <w:lang w:val="en-IE"/>
              </w:rPr>
              <w:t xml:space="preserve"> </w:t>
            </w:r>
            <w:r w:rsidRPr="00E03285">
              <w:rPr>
                <w:rFonts w:eastAsia="Times New Roman"/>
                <w:noProof/>
                <w:color w:val="006100"/>
                <w:sz w:val="20"/>
                <w:szCs w:val="20"/>
                <w:lang w:val="en-IE"/>
              </w:rPr>
              <w:t>4.1: Systemic support for public investment</w:t>
            </w:r>
            <w:r>
              <w:rPr>
                <w:rFonts w:eastAsia="Times New Roman"/>
                <w:noProof/>
                <w:color w:val="006100"/>
                <w:sz w:val="20"/>
                <w:szCs w:val="20"/>
                <w:lang w:val="en-IE"/>
              </w:rPr>
              <w:t xml:space="preserve"> </w:t>
            </w:r>
            <w:r w:rsidRPr="00E03285">
              <w:rPr>
                <w:rFonts w:eastAsia="Times New Roman"/>
                <w:noProof/>
                <w:color w:val="006100"/>
                <w:sz w:val="20"/>
                <w:szCs w:val="20"/>
                <w:lang w:val="en-IE"/>
              </w:rPr>
              <w:t>-Reform 4:  The increase of effectiveness and enhancing the implementation of the National Recovery and Resilience Plan</w:t>
            </w:r>
          </w:p>
        </w:tc>
        <w:tc>
          <w:tcPr>
            <w:tcW w:w="1701" w:type="dxa"/>
            <w:shd w:val="clear" w:color="auto" w:fill="C6EFCE"/>
            <w:vAlign w:val="center"/>
            <w:hideMark/>
          </w:tcPr>
          <w:p w:rsidRPr="00E03285" w:rsidR="00D87E44" w:rsidRDefault="00D87E44" w14:paraId="154590A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E03285" w:rsidR="00D87E44" w:rsidRDefault="00D87E44" w14:paraId="154590AC"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Upgrade of the repository system (AIS)</w:t>
            </w:r>
          </w:p>
        </w:tc>
      </w:tr>
      <w:tr w:rsidRPr="00E03285" w:rsidR="00E3458A" w:rsidTr="00BF2B2E" w14:paraId="154590B2" w14:textId="77777777">
        <w:trPr>
          <w:trHeight w:val="300"/>
        </w:trPr>
        <w:tc>
          <w:tcPr>
            <w:tcW w:w="1207" w:type="dxa"/>
            <w:shd w:val="clear" w:color="auto" w:fill="C6EFCE"/>
            <w:vAlign w:val="center"/>
            <w:hideMark/>
          </w:tcPr>
          <w:p w:rsidRPr="00E03285" w:rsidR="00D87E44" w:rsidRDefault="00D87E44" w14:paraId="154590AE"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288 </w:t>
            </w:r>
          </w:p>
        </w:tc>
        <w:tc>
          <w:tcPr>
            <w:tcW w:w="4062" w:type="dxa"/>
            <w:shd w:val="clear" w:color="auto" w:fill="C6EFCE"/>
            <w:vAlign w:val="center"/>
            <w:hideMark/>
          </w:tcPr>
          <w:p w:rsidRPr="00E03285" w:rsidR="00D87E44" w:rsidRDefault="00D87E44" w14:paraId="154590A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w:t>
            </w:r>
            <w:r>
              <w:rPr>
                <w:rFonts w:eastAsia="Times New Roman"/>
                <w:noProof/>
                <w:color w:val="006100"/>
                <w:sz w:val="20"/>
                <w:szCs w:val="20"/>
                <w:lang w:val="en-IE"/>
              </w:rPr>
              <w:t xml:space="preserve"> </w:t>
            </w:r>
            <w:r w:rsidRPr="00E03285">
              <w:rPr>
                <w:rFonts w:eastAsia="Times New Roman"/>
                <w:noProof/>
                <w:color w:val="006100"/>
                <w:sz w:val="20"/>
                <w:szCs w:val="20"/>
                <w:lang w:val="en-IE"/>
              </w:rPr>
              <w:t xml:space="preserve">4.1: Systemic </w:t>
            </w:r>
            <w:r>
              <w:rPr>
                <w:rFonts w:eastAsia="Times New Roman"/>
                <w:noProof/>
                <w:color w:val="006100"/>
                <w:sz w:val="20"/>
                <w:szCs w:val="20"/>
                <w:lang w:val="en-IE"/>
              </w:rPr>
              <w:t>S</w:t>
            </w:r>
            <w:r w:rsidRPr="00E03285">
              <w:rPr>
                <w:rFonts w:eastAsia="Times New Roman"/>
                <w:noProof/>
                <w:color w:val="006100"/>
                <w:sz w:val="20"/>
                <w:szCs w:val="20"/>
                <w:lang w:val="en-IE"/>
              </w:rPr>
              <w:t xml:space="preserve">upport for </w:t>
            </w:r>
            <w:r>
              <w:rPr>
                <w:rFonts w:eastAsia="Times New Roman"/>
                <w:noProof/>
                <w:color w:val="006100"/>
                <w:sz w:val="20"/>
                <w:szCs w:val="20"/>
                <w:lang w:val="en-IE"/>
              </w:rPr>
              <w:t>P</w:t>
            </w:r>
            <w:r w:rsidRPr="00E03285">
              <w:rPr>
                <w:rFonts w:eastAsia="Times New Roman"/>
                <w:noProof/>
                <w:color w:val="006100"/>
                <w:sz w:val="20"/>
                <w:szCs w:val="20"/>
                <w:lang w:val="en-IE"/>
              </w:rPr>
              <w:t xml:space="preserve">ublic </w:t>
            </w:r>
            <w:r>
              <w:rPr>
                <w:rFonts w:eastAsia="Times New Roman"/>
                <w:noProof/>
                <w:color w:val="006100"/>
                <w:sz w:val="20"/>
                <w:szCs w:val="20"/>
                <w:lang w:val="en-IE"/>
              </w:rPr>
              <w:t>I</w:t>
            </w:r>
            <w:r w:rsidRPr="00E03285">
              <w:rPr>
                <w:rFonts w:eastAsia="Times New Roman"/>
                <w:noProof/>
                <w:color w:val="006100"/>
                <w:sz w:val="20"/>
                <w:szCs w:val="20"/>
                <w:lang w:val="en-IE"/>
              </w:rPr>
              <w:t>nvestment</w:t>
            </w:r>
            <w:r>
              <w:rPr>
                <w:rFonts w:eastAsia="Times New Roman"/>
                <w:noProof/>
                <w:color w:val="006100"/>
                <w:sz w:val="20"/>
                <w:szCs w:val="20"/>
                <w:lang w:val="en-IE"/>
              </w:rPr>
              <w:t xml:space="preserve"> </w:t>
            </w:r>
            <w:r w:rsidRPr="00E03285">
              <w:rPr>
                <w:rFonts w:eastAsia="Times New Roman"/>
                <w:noProof/>
                <w:color w:val="006100"/>
                <w:sz w:val="20"/>
                <w:szCs w:val="20"/>
                <w:lang w:val="en-IE"/>
              </w:rPr>
              <w:t>-Reform 4:  The increase of effectiveness and enhancing the implementation of the National Recovery and Resilience Plan</w:t>
            </w:r>
          </w:p>
        </w:tc>
        <w:tc>
          <w:tcPr>
            <w:tcW w:w="1701" w:type="dxa"/>
            <w:shd w:val="clear" w:color="auto" w:fill="C6EFCE"/>
            <w:vAlign w:val="center"/>
            <w:hideMark/>
          </w:tcPr>
          <w:p w:rsidRPr="00E03285" w:rsidR="00D87E44" w:rsidRDefault="00D87E44" w14:paraId="154590B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686" w:type="dxa"/>
            <w:shd w:val="clear" w:color="auto" w:fill="C6EFCE"/>
            <w:vAlign w:val="center"/>
            <w:hideMark/>
          </w:tcPr>
          <w:p w:rsidRPr="00E03285" w:rsidR="00D87E44" w:rsidRDefault="00D87E44" w14:paraId="154590B1"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Increasing the number of people working on the Recovery and Resilience Plan by 2024</w:t>
            </w:r>
          </w:p>
        </w:tc>
      </w:tr>
      <w:tr w:rsidRPr="00E03285" w:rsidR="00E3458A" w:rsidTr="00BF2B2E" w14:paraId="154590B7" w14:textId="77777777">
        <w:trPr>
          <w:trHeight w:val="300"/>
        </w:trPr>
        <w:tc>
          <w:tcPr>
            <w:tcW w:w="1207" w:type="dxa"/>
            <w:shd w:val="clear" w:color="auto" w:fill="C6EFCE"/>
            <w:vAlign w:val="center"/>
            <w:hideMark/>
          </w:tcPr>
          <w:p w:rsidRPr="00E03285" w:rsidR="00D87E44" w:rsidRDefault="00D87E44" w14:paraId="154590B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306</w:t>
            </w:r>
          </w:p>
        </w:tc>
        <w:tc>
          <w:tcPr>
            <w:tcW w:w="4062" w:type="dxa"/>
            <w:shd w:val="clear" w:color="auto" w:fill="C6EFCE"/>
            <w:vAlign w:val="center"/>
            <w:hideMark/>
          </w:tcPr>
          <w:p w:rsidRPr="00E03285" w:rsidR="00D87E44" w:rsidRDefault="00D87E44" w14:paraId="154590B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rPr>
              <w:t xml:space="preserve">C 7.1:  Renewable </w:t>
            </w:r>
            <w:r>
              <w:rPr>
                <w:rFonts w:eastAsia="Times New Roman"/>
                <w:noProof/>
                <w:color w:val="006100"/>
                <w:sz w:val="20"/>
                <w:szCs w:val="20"/>
              </w:rPr>
              <w:t>E</w:t>
            </w:r>
            <w:r w:rsidRPr="00E03285">
              <w:rPr>
                <w:rFonts w:eastAsia="Times New Roman"/>
                <w:noProof/>
                <w:color w:val="006100"/>
                <w:sz w:val="20"/>
                <w:szCs w:val="20"/>
              </w:rPr>
              <w:t xml:space="preserve">nergy and </w:t>
            </w:r>
            <w:r>
              <w:rPr>
                <w:rFonts w:eastAsia="Times New Roman"/>
                <w:noProof/>
                <w:color w:val="006100"/>
                <w:sz w:val="20"/>
                <w:szCs w:val="20"/>
              </w:rPr>
              <w:t>E</w:t>
            </w:r>
            <w:r w:rsidRPr="00E03285">
              <w:rPr>
                <w:rFonts w:eastAsia="Times New Roman"/>
                <w:noProof/>
                <w:color w:val="006100"/>
                <w:sz w:val="20"/>
                <w:szCs w:val="20"/>
              </w:rPr>
              <w:t xml:space="preserve">lectricity </w:t>
            </w:r>
            <w:r>
              <w:rPr>
                <w:rFonts w:eastAsia="Times New Roman"/>
                <w:noProof/>
                <w:color w:val="006100"/>
                <w:sz w:val="20"/>
                <w:szCs w:val="20"/>
              </w:rPr>
              <w:t>I</w:t>
            </w:r>
            <w:r w:rsidRPr="00E03285">
              <w:rPr>
                <w:rFonts w:eastAsia="Times New Roman"/>
                <w:noProof/>
                <w:color w:val="006100"/>
                <w:sz w:val="20"/>
                <w:szCs w:val="20"/>
              </w:rPr>
              <w:t>nfrastructure (REPowerEU) - Reform 3 – Sub measure 1: Improve transparency of the grid connection procedure</w:t>
            </w:r>
          </w:p>
        </w:tc>
        <w:tc>
          <w:tcPr>
            <w:tcW w:w="1701" w:type="dxa"/>
            <w:shd w:val="clear" w:color="auto" w:fill="C6EFCE"/>
            <w:vAlign w:val="center"/>
            <w:hideMark/>
          </w:tcPr>
          <w:p w:rsidRPr="00E03285" w:rsidR="00D87E44" w:rsidRDefault="00D87E44" w14:paraId="154590B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686" w:type="dxa"/>
            <w:shd w:val="clear" w:color="auto" w:fill="C6EFCE"/>
            <w:vAlign w:val="center"/>
            <w:hideMark/>
          </w:tcPr>
          <w:p w:rsidRPr="00E03285" w:rsidR="00D87E44" w:rsidRDefault="00D87E44" w14:paraId="154590B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rPr>
              <w:t>Publication of information on grid connection requests and capacities</w:t>
            </w:r>
          </w:p>
        </w:tc>
      </w:tr>
      <w:tr w:rsidRPr="00E03285" w:rsidR="00E3458A" w:rsidTr="00BF2B2E" w14:paraId="154590BC" w14:textId="77777777">
        <w:trPr>
          <w:trHeight w:val="300"/>
        </w:trPr>
        <w:tc>
          <w:tcPr>
            <w:tcW w:w="1207" w:type="dxa"/>
            <w:shd w:val="clear" w:color="auto" w:fill="C6EFCE"/>
            <w:vAlign w:val="center"/>
            <w:hideMark/>
          </w:tcPr>
          <w:p w:rsidRPr="00E03285" w:rsidR="00D87E44" w:rsidRDefault="00D87E44" w14:paraId="154590B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310</w:t>
            </w:r>
          </w:p>
        </w:tc>
        <w:tc>
          <w:tcPr>
            <w:tcW w:w="4062" w:type="dxa"/>
            <w:shd w:val="clear" w:color="auto" w:fill="C6EFCE"/>
            <w:vAlign w:val="center"/>
            <w:hideMark/>
          </w:tcPr>
          <w:p w:rsidRPr="00E03285" w:rsidR="00D87E44" w:rsidRDefault="00D87E44" w14:paraId="154590B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7.2 Supporting </w:t>
            </w:r>
            <w:r>
              <w:rPr>
                <w:rFonts w:eastAsia="Times New Roman"/>
                <w:noProof/>
                <w:color w:val="006100"/>
                <w:sz w:val="20"/>
                <w:szCs w:val="20"/>
              </w:rPr>
              <w:t>D</w:t>
            </w:r>
            <w:r w:rsidRPr="00E03285">
              <w:rPr>
                <w:rFonts w:eastAsia="Times New Roman"/>
                <w:noProof/>
                <w:color w:val="006100"/>
                <w:sz w:val="20"/>
                <w:szCs w:val="20"/>
              </w:rPr>
              <w:t xml:space="preserve">ecentralisation and </w:t>
            </w:r>
            <w:r>
              <w:rPr>
                <w:rFonts w:eastAsia="Times New Roman"/>
                <w:noProof/>
                <w:color w:val="006100"/>
                <w:sz w:val="20"/>
                <w:szCs w:val="20"/>
              </w:rPr>
              <w:t>D</w:t>
            </w:r>
            <w:r w:rsidRPr="00E03285">
              <w:rPr>
                <w:rFonts w:eastAsia="Times New Roman"/>
                <w:noProof/>
                <w:color w:val="006100"/>
                <w:sz w:val="20"/>
                <w:szCs w:val="20"/>
              </w:rPr>
              <w:t xml:space="preserve">igitalisation of the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ector</w:t>
            </w:r>
            <w:r>
              <w:rPr>
                <w:rFonts w:eastAsia="Times New Roman"/>
                <w:noProof/>
                <w:color w:val="006100"/>
                <w:sz w:val="20"/>
                <w:szCs w:val="20"/>
              </w:rPr>
              <w:t xml:space="preserve"> </w:t>
            </w:r>
            <w:r w:rsidRPr="00E03285">
              <w:rPr>
                <w:rFonts w:eastAsia="Times New Roman"/>
                <w:noProof/>
                <w:color w:val="006100"/>
                <w:sz w:val="20"/>
                <w:szCs w:val="20"/>
              </w:rPr>
              <w:t>-</w:t>
            </w:r>
            <w:r>
              <w:rPr>
                <w:rFonts w:eastAsia="Times New Roman"/>
                <w:noProof/>
                <w:color w:val="006100"/>
                <w:sz w:val="20"/>
                <w:szCs w:val="20"/>
              </w:rPr>
              <w:t xml:space="preserve"> Reform</w:t>
            </w:r>
            <w:r w:rsidRPr="00E03285">
              <w:rPr>
                <w:rFonts w:eastAsia="Times New Roman"/>
                <w:noProof/>
                <w:color w:val="006100"/>
                <w:sz w:val="20"/>
                <w:szCs w:val="20"/>
              </w:rPr>
              <w:t xml:space="preserve"> </w:t>
            </w:r>
            <w:r>
              <w:rPr>
                <w:rFonts w:eastAsia="Times New Roman"/>
                <w:noProof/>
                <w:color w:val="006100"/>
                <w:sz w:val="20"/>
                <w:szCs w:val="20"/>
              </w:rPr>
              <w:t>3</w:t>
            </w:r>
            <w:r w:rsidRPr="00E03285">
              <w:rPr>
                <w:rFonts w:eastAsia="Times New Roman"/>
                <w:noProof/>
                <w:color w:val="006100"/>
                <w:sz w:val="20"/>
                <w:szCs w:val="20"/>
              </w:rPr>
              <w:t xml:space="preserve">:  Electricity Data Centre </w:t>
            </w:r>
          </w:p>
        </w:tc>
        <w:tc>
          <w:tcPr>
            <w:tcW w:w="1701" w:type="dxa"/>
            <w:shd w:val="clear" w:color="auto" w:fill="C6EFCE"/>
            <w:vAlign w:val="center"/>
            <w:hideMark/>
          </w:tcPr>
          <w:p w:rsidRPr="00E03285" w:rsidR="00D87E44" w:rsidRDefault="00D87E44" w14:paraId="154590BA" w14:textId="77777777">
            <w:pPr>
              <w:spacing w:before="0" w:after="0" w:line="240" w:lineRule="auto"/>
              <w:rPr>
                <w:rFonts w:eastAsia="Times New Roman"/>
                <w:noProof/>
                <w:color w:val="006100"/>
                <w:sz w:val="20"/>
                <w:szCs w:val="20"/>
              </w:rPr>
            </w:pPr>
            <w:r w:rsidRPr="00E03285">
              <w:rPr>
                <w:rFonts w:eastAsia="Times New Roman"/>
                <w:noProof/>
                <w:color w:val="006100"/>
                <w:sz w:val="20"/>
                <w:szCs w:val="20"/>
              </w:rPr>
              <w:t xml:space="preserve">       Milestone </w:t>
            </w:r>
          </w:p>
        </w:tc>
        <w:tc>
          <w:tcPr>
            <w:tcW w:w="3686" w:type="dxa"/>
            <w:shd w:val="clear" w:color="auto" w:fill="C6EFCE"/>
            <w:vAlign w:val="center"/>
            <w:hideMark/>
          </w:tcPr>
          <w:p w:rsidRPr="00E03285" w:rsidR="00D87E44" w:rsidRDefault="00D87E44" w14:paraId="154590BB"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Entry into operation of the Energy Data Centre</w:t>
            </w:r>
          </w:p>
        </w:tc>
      </w:tr>
      <w:tr w:rsidRPr="00E03285" w:rsidR="00E3458A" w:rsidTr="00BF2B2E" w14:paraId="154590C1" w14:textId="77777777">
        <w:trPr>
          <w:trHeight w:val="300"/>
        </w:trPr>
        <w:tc>
          <w:tcPr>
            <w:tcW w:w="1207" w:type="dxa"/>
            <w:shd w:val="clear" w:color="auto" w:fill="C6EFCE"/>
            <w:vAlign w:val="center"/>
            <w:hideMark/>
          </w:tcPr>
          <w:p w:rsidRPr="00E03285" w:rsidR="00D87E44" w:rsidRDefault="00D87E44" w14:paraId="154590BD"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313</w:t>
            </w:r>
          </w:p>
        </w:tc>
        <w:tc>
          <w:tcPr>
            <w:tcW w:w="4062" w:type="dxa"/>
            <w:shd w:val="clear" w:color="auto" w:fill="C6EFCE"/>
            <w:vAlign w:val="center"/>
            <w:hideMark/>
          </w:tcPr>
          <w:p w:rsidRPr="00E03285" w:rsidR="00D87E44" w:rsidRDefault="00D87E44" w14:paraId="154590BE"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7.2 Supporting </w:t>
            </w:r>
            <w:r>
              <w:rPr>
                <w:rFonts w:eastAsia="Times New Roman"/>
                <w:noProof/>
                <w:color w:val="006100"/>
                <w:sz w:val="20"/>
                <w:szCs w:val="20"/>
              </w:rPr>
              <w:t>D</w:t>
            </w:r>
            <w:r w:rsidRPr="00E03285">
              <w:rPr>
                <w:rFonts w:eastAsia="Times New Roman"/>
                <w:noProof/>
                <w:color w:val="006100"/>
                <w:sz w:val="20"/>
                <w:szCs w:val="20"/>
              </w:rPr>
              <w:t xml:space="preserve">ecentralisation and </w:t>
            </w:r>
            <w:r>
              <w:rPr>
                <w:rFonts w:eastAsia="Times New Roman"/>
                <w:noProof/>
                <w:color w:val="006100"/>
                <w:sz w:val="20"/>
                <w:szCs w:val="20"/>
              </w:rPr>
              <w:t>D</w:t>
            </w:r>
            <w:r w:rsidRPr="00E03285">
              <w:rPr>
                <w:rFonts w:eastAsia="Times New Roman"/>
                <w:noProof/>
                <w:color w:val="006100"/>
                <w:sz w:val="20"/>
                <w:szCs w:val="20"/>
              </w:rPr>
              <w:t xml:space="preserve">igitalisation of the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 xml:space="preserve">ector </w:t>
            </w:r>
            <w:r w:rsidRPr="00E03285">
              <w:rPr>
                <w:rFonts w:eastAsia="Times New Roman"/>
                <w:noProof/>
                <w:color w:val="006100"/>
                <w:sz w:val="20"/>
                <w:szCs w:val="20"/>
              </w:rPr>
              <w:lastRenderedPageBreak/>
              <w:t>(REPOWER EU) - Reform 1: Energy communities</w:t>
            </w:r>
          </w:p>
        </w:tc>
        <w:tc>
          <w:tcPr>
            <w:tcW w:w="1701" w:type="dxa"/>
            <w:shd w:val="clear" w:color="auto" w:fill="C6EFCE"/>
            <w:vAlign w:val="center"/>
            <w:hideMark/>
          </w:tcPr>
          <w:p w:rsidRPr="00E03285" w:rsidR="00D87E44" w:rsidRDefault="00D87E44" w14:paraId="154590BF"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lastRenderedPageBreak/>
              <w:t>Milestone</w:t>
            </w:r>
          </w:p>
        </w:tc>
        <w:tc>
          <w:tcPr>
            <w:tcW w:w="3686" w:type="dxa"/>
            <w:shd w:val="clear" w:color="auto" w:fill="C6EFCE"/>
            <w:vAlign w:val="center"/>
            <w:hideMark/>
          </w:tcPr>
          <w:p w:rsidRPr="00E03285" w:rsidR="00D87E44" w:rsidRDefault="00D87E44" w14:paraId="154590C0"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Progress report on investment in IT infrastructure</w:t>
            </w:r>
          </w:p>
        </w:tc>
      </w:tr>
      <w:tr w:rsidRPr="00E03285" w:rsidR="00E3458A" w:rsidTr="00BF2B2E" w14:paraId="154590C7" w14:textId="77777777">
        <w:trPr>
          <w:trHeight w:val="300"/>
        </w:trPr>
        <w:tc>
          <w:tcPr>
            <w:tcW w:w="1207" w:type="dxa"/>
            <w:shd w:val="clear" w:color="auto" w:fill="C6EFCE"/>
            <w:vAlign w:val="center"/>
            <w:hideMark/>
          </w:tcPr>
          <w:p w:rsidRPr="00E03285" w:rsidR="00D87E44" w:rsidRDefault="00D87E44" w14:paraId="154590C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315</w:t>
            </w:r>
          </w:p>
        </w:tc>
        <w:tc>
          <w:tcPr>
            <w:tcW w:w="4062" w:type="dxa"/>
            <w:shd w:val="clear" w:color="auto" w:fill="C6EFCE"/>
            <w:vAlign w:val="center"/>
            <w:hideMark/>
          </w:tcPr>
          <w:p w:rsidRPr="00E03285" w:rsidR="00D87E44" w:rsidRDefault="00D87E44" w14:paraId="154590C3"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7.2 Supporting </w:t>
            </w:r>
            <w:r>
              <w:rPr>
                <w:rFonts w:eastAsia="Times New Roman"/>
                <w:noProof/>
                <w:color w:val="006100"/>
                <w:sz w:val="20"/>
                <w:szCs w:val="20"/>
              </w:rPr>
              <w:t>D</w:t>
            </w:r>
            <w:r w:rsidRPr="00E03285">
              <w:rPr>
                <w:rFonts w:eastAsia="Times New Roman"/>
                <w:noProof/>
                <w:color w:val="006100"/>
                <w:sz w:val="20"/>
                <w:szCs w:val="20"/>
              </w:rPr>
              <w:t xml:space="preserve">ecentralisation and </w:t>
            </w:r>
            <w:r>
              <w:rPr>
                <w:rFonts w:eastAsia="Times New Roman"/>
                <w:noProof/>
                <w:color w:val="006100"/>
                <w:sz w:val="20"/>
                <w:szCs w:val="20"/>
              </w:rPr>
              <w:t>D</w:t>
            </w:r>
            <w:r w:rsidRPr="00E03285">
              <w:rPr>
                <w:rFonts w:eastAsia="Times New Roman"/>
                <w:noProof/>
                <w:color w:val="006100"/>
                <w:sz w:val="20"/>
                <w:szCs w:val="20"/>
              </w:rPr>
              <w:t xml:space="preserve">igitalisation of the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ector</w:t>
            </w:r>
            <w:r>
              <w:rPr>
                <w:rFonts w:eastAsia="Times New Roman"/>
                <w:noProof/>
                <w:color w:val="006100"/>
                <w:sz w:val="20"/>
                <w:szCs w:val="20"/>
              </w:rPr>
              <w:t xml:space="preserve"> </w:t>
            </w:r>
            <w:r w:rsidRPr="00E03285">
              <w:rPr>
                <w:rFonts w:eastAsia="Times New Roman"/>
                <w:noProof/>
                <w:color w:val="006100"/>
                <w:sz w:val="20"/>
                <w:szCs w:val="20"/>
              </w:rPr>
              <w:t>-</w:t>
            </w:r>
            <w:r>
              <w:rPr>
                <w:rFonts w:eastAsia="Times New Roman"/>
                <w:noProof/>
                <w:color w:val="006100"/>
                <w:sz w:val="20"/>
                <w:szCs w:val="20"/>
              </w:rPr>
              <w:t xml:space="preserve"> </w:t>
            </w:r>
            <w:r w:rsidRPr="00E03285">
              <w:rPr>
                <w:rFonts w:eastAsia="Times New Roman"/>
                <w:noProof/>
                <w:color w:val="006100"/>
                <w:sz w:val="20"/>
                <w:szCs w:val="20"/>
              </w:rPr>
              <w:t xml:space="preserve">Reform 2: </w:t>
            </w:r>
          </w:p>
          <w:p w:rsidRPr="00E03285" w:rsidR="00D87E44" w:rsidRDefault="00D87E44" w14:paraId="154590C4"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Energy Storage and Non fossil flexibility framework </w:t>
            </w:r>
          </w:p>
        </w:tc>
        <w:tc>
          <w:tcPr>
            <w:tcW w:w="1701" w:type="dxa"/>
            <w:shd w:val="clear" w:color="auto" w:fill="C6EFCE"/>
            <w:vAlign w:val="center"/>
            <w:hideMark/>
          </w:tcPr>
          <w:p w:rsidRPr="00E03285" w:rsidR="00D87E44" w:rsidRDefault="00D87E44" w14:paraId="154590C5"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C6"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Report on the need for non- fossil flexibility</w:t>
            </w:r>
          </w:p>
        </w:tc>
      </w:tr>
      <w:tr w:rsidRPr="00E03285" w:rsidR="00E3458A" w:rsidTr="00BF2B2E" w14:paraId="154590CE" w14:textId="77777777">
        <w:trPr>
          <w:trHeight w:val="300"/>
        </w:trPr>
        <w:tc>
          <w:tcPr>
            <w:tcW w:w="1207" w:type="dxa"/>
            <w:shd w:val="clear" w:color="auto" w:fill="C6EFCE"/>
            <w:vAlign w:val="center"/>
            <w:hideMark/>
          </w:tcPr>
          <w:p w:rsidRPr="00E03285" w:rsidR="00D87E44" w:rsidRDefault="00D87E44" w14:paraId="154590C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316</w:t>
            </w:r>
          </w:p>
        </w:tc>
        <w:tc>
          <w:tcPr>
            <w:tcW w:w="4062" w:type="dxa"/>
            <w:shd w:val="clear" w:color="auto" w:fill="C6EFCE"/>
            <w:vAlign w:val="center"/>
            <w:hideMark/>
          </w:tcPr>
          <w:p w:rsidRPr="00E03285" w:rsidR="00D87E44" w:rsidRDefault="00D87E44" w14:paraId="154590C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7.2 Supporting </w:t>
            </w:r>
            <w:r>
              <w:rPr>
                <w:rFonts w:eastAsia="Times New Roman"/>
                <w:noProof/>
                <w:color w:val="006100"/>
                <w:sz w:val="20"/>
                <w:szCs w:val="20"/>
              </w:rPr>
              <w:t>D</w:t>
            </w:r>
            <w:r w:rsidRPr="00E03285">
              <w:rPr>
                <w:rFonts w:eastAsia="Times New Roman"/>
                <w:noProof/>
                <w:color w:val="006100"/>
                <w:sz w:val="20"/>
                <w:szCs w:val="20"/>
              </w:rPr>
              <w:t xml:space="preserve">ecentralisation and </w:t>
            </w:r>
            <w:r>
              <w:rPr>
                <w:rFonts w:eastAsia="Times New Roman"/>
                <w:noProof/>
                <w:color w:val="006100"/>
                <w:sz w:val="20"/>
                <w:szCs w:val="20"/>
              </w:rPr>
              <w:t>D</w:t>
            </w:r>
            <w:r w:rsidRPr="00E03285">
              <w:rPr>
                <w:rFonts w:eastAsia="Times New Roman"/>
                <w:noProof/>
                <w:color w:val="006100"/>
                <w:sz w:val="20"/>
                <w:szCs w:val="20"/>
              </w:rPr>
              <w:t xml:space="preserve">igitalisation of the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ector</w:t>
            </w:r>
            <w:r>
              <w:rPr>
                <w:rFonts w:eastAsia="Times New Roman"/>
                <w:noProof/>
                <w:color w:val="006100"/>
                <w:sz w:val="20"/>
                <w:szCs w:val="20"/>
              </w:rPr>
              <w:t xml:space="preserve"> </w:t>
            </w:r>
            <w:r w:rsidRPr="00E03285">
              <w:rPr>
                <w:rFonts w:eastAsia="Times New Roman"/>
                <w:noProof/>
                <w:color w:val="006100"/>
                <w:sz w:val="20"/>
                <w:szCs w:val="20"/>
              </w:rPr>
              <w:t>-</w:t>
            </w:r>
          </w:p>
          <w:p w:rsidRPr="00E03285" w:rsidR="00D87E44" w:rsidRDefault="00D87E44" w14:paraId="154590CA"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Reform 2 :  </w:t>
            </w:r>
          </w:p>
          <w:p w:rsidRPr="00E03285" w:rsidR="00D87E44" w:rsidRDefault="00D87E44" w14:paraId="154590CB"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Energy Storage and Non fossil flexibility framework </w:t>
            </w:r>
          </w:p>
        </w:tc>
        <w:tc>
          <w:tcPr>
            <w:tcW w:w="1701" w:type="dxa"/>
            <w:shd w:val="clear" w:color="auto" w:fill="C6EFCE"/>
            <w:vAlign w:val="center"/>
            <w:hideMark/>
          </w:tcPr>
          <w:p w:rsidRPr="00E03285" w:rsidR="00D87E44" w:rsidRDefault="00D87E44" w14:paraId="154590CC"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CD"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Entry into force of the legislative changes</w:t>
            </w:r>
          </w:p>
        </w:tc>
      </w:tr>
      <w:tr w:rsidRPr="00E03285" w:rsidR="00E3458A" w:rsidTr="00BF2B2E" w14:paraId="154590D3" w14:textId="77777777">
        <w:trPr>
          <w:trHeight w:val="300"/>
        </w:trPr>
        <w:tc>
          <w:tcPr>
            <w:tcW w:w="1207" w:type="dxa"/>
            <w:shd w:val="clear" w:color="auto" w:fill="C6EFCE"/>
            <w:vAlign w:val="center"/>
            <w:hideMark/>
          </w:tcPr>
          <w:p w:rsidRPr="00E03285" w:rsidR="00D87E44" w:rsidRDefault="00D87E44" w14:paraId="154590C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317</w:t>
            </w:r>
          </w:p>
        </w:tc>
        <w:tc>
          <w:tcPr>
            <w:tcW w:w="4062" w:type="dxa"/>
            <w:shd w:val="clear" w:color="auto" w:fill="C6EFCE"/>
            <w:vAlign w:val="center"/>
            <w:hideMark/>
          </w:tcPr>
          <w:p w:rsidRPr="00E03285" w:rsidR="00D87E44" w:rsidRDefault="00D87E44" w14:paraId="154590D0"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7.2 Supporting </w:t>
            </w:r>
            <w:r>
              <w:rPr>
                <w:rFonts w:eastAsia="Times New Roman"/>
                <w:noProof/>
                <w:color w:val="006100"/>
                <w:sz w:val="20"/>
                <w:szCs w:val="20"/>
              </w:rPr>
              <w:t>D</w:t>
            </w:r>
            <w:r w:rsidRPr="00E03285">
              <w:rPr>
                <w:rFonts w:eastAsia="Times New Roman"/>
                <w:noProof/>
                <w:color w:val="006100"/>
                <w:sz w:val="20"/>
                <w:szCs w:val="20"/>
              </w:rPr>
              <w:t xml:space="preserve">ecentralisation and </w:t>
            </w:r>
            <w:r>
              <w:rPr>
                <w:rFonts w:eastAsia="Times New Roman"/>
                <w:noProof/>
                <w:color w:val="006100"/>
                <w:sz w:val="20"/>
                <w:szCs w:val="20"/>
              </w:rPr>
              <w:t>D</w:t>
            </w:r>
            <w:r w:rsidRPr="00E03285">
              <w:rPr>
                <w:rFonts w:eastAsia="Times New Roman"/>
                <w:noProof/>
                <w:color w:val="006100"/>
                <w:sz w:val="20"/>
                <w:szCs w:val="20"/>
              </w:rPr>
              <w:t xml:space="preserve">igitalisation of the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ector (REPOWER EU) - Reform 2 :  Energy Storage and Non fossil flexibility framework</w:t>
            </w:r>
          </w:p>
        </w:tc>
        <w:tc>
          <w:tcPr>
            <w:tcW w:w="1701" w:type="dxa"/>
            <w:shd w:val="clear" w:color="auto" w:fill="C6EFCE"/>
            <w:vAlign w:val="center"/>
            <w:hideMark/>
          </w:tcPr>
          <w:p w:rsidRPr="00E03285" w:rsidR="00D87E44" w:rsidRDefault="00D87E44" w14:paraId="154590D1"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D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Publication of the </w:t>
            </w:r>
            <w:r w:rsidRPr="00E03285">
              <w:rPr>
                <w:rFonts w:eastAsia="Times New Roman"/>
                <w:noProof/>
                <w:color w:val="006100"/>
                <w:sz w:val="20"/>
                <w:szCs w:val="20"/>
              </w:rPr>
              <w:t>Flexibility Action Plan</w:t>
            </w:r>
          </w:p>
        </w:tc>
      </w:tr>
      <w:tr w:rsidRPr="00E03285" w:rsidR="00E3458A" w:rsidTr="00BF2B2E" w14:paraId="154590D9" w14:textId="77777777">
        <w:trPr>
          <w:trHeight w:val="300"/>
        </w:trPr>
        <w:tc>
          <w:tcPr>
            <w:tcW w:w="1207" w:type="dxa"/>
            <w:shd w:val="clear" w:color="auto" w:fill="C6EFCE"/>
            <w:vAlign w:val="center"/>
            <w:hideMark/>
          </w:tcPr>
          <w:p w:rsidRPr="00E03285" w:rsidR="00D87E44" w:rsidRDefault="00D87E44" w14:paraId="154590D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318</w:t>
            </w:r>
          </w:p>
        </w:tc>
        <w:tc>
          <w:tcPr>
            <w:tcW w:w="4062" w:type="dxa"/>
            <w:shd w:val="clear" w:color="auto" w:fill="C6EFCE"/>
            <w:vAlign w:val="center"/>
            <w:hideMark/>
          </w:tcPr>
          <w:p w:rsidRPr="00E03285" w:rsidR="00D87E44" w:rsidRDefault="00D87E44" w14:paraId="154590D5"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7.3: Comprehensive </w:t>
            </w:r>
            <w:r>
              <w:rPr>
                <w:rFonts w:eastAsia="Times New Roman"/>
                <w:noProof/>
                <w:color w:val="006100"/>
                <w:sz w:val="20"/>
                <w:szCs w:val="20"/>
              </w:rPr>
              <w:t>R</w:t>
            </w:r>
            <w:r w:rsidRPr="00E03285">
              <w:rPr>
                <w:rFonts w:eastAsia="Times New Roman"/>
                <w:noProof/>
                <w:color w:val="006100"/>
                <w:sz w:val="20"/>
                <w:szCs w:val="20"/>
              </w:rPr>
              <w:t>eform of the Renovation Wave Advice in the Czech Republic</w:t>
            </w:r>
            <w:r>
              <w:rPr>
                <w:rFonts w:eastAsia="Times New Roman"/>
                <w:noProof/>
                <w:color w:val="006100"/>
                <w:sz w:val="20"/>
                <w:szCs w:val="20"/>
              </w:rPr>
              <w:t xml:space="preserve"> </w:t>
            </w:r>
            <w:r w:rsidRPr="00E03285">
              <w:rPr>
                <w:rFonts w:eastAsia="Times New Roman"/>
                <w:noProof/>
                <w:color w:val="006100"/>
                <w:sz w:val="20"/>
                <w:szCs w:val="20"/>
              </w:rPr>
              <w:t>-</w:t>
            </w:r>
          </w:p>
          <w:p w:rsidRPr="00E03285" w:rsidR="00D87E44" w:rsidRDefault="00D87E44" w14:paraId="154590D6"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Reform 1: One-stop-shops for energy communities and energy efficiency renovations</w:t>
            </w:r>
          </w:p>
        </w:tc>
        <w:tc>
          <w:tcPr>
            <w:tcW w:w="1701" w:type="dxa"/>
            <w:shd w:val="clear" w:color="auto" w:fill="C6EFCE"/>
            <w:vAlign w:val="center"/>
            <w:hideMark/>
          </w:tcPr>
          <w:p w:rsidRPr="00E03285" w:rsidR="00D87E44" w:rsidRDefault="00D87E44" w14:paraId="154590D7"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D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One-stop shop for energy</w:t>
            </w:r>
          </w:p>
        </w:tc>
      </w:tr>
      <w:tr w:rsidRPr="00E03285" w:rsidR="00E3458A" w:rsidTr="00BF2B2E" w14:paraId="154590DF" w14:textId="77777777">
        <w:trPr>
          <w:trHeight w:val="300"/>
        </w:trPr>
        <w:tc>
          <w:tcPr>
            <w:tcW w:w="1207" w:type="dxa"/>
            <w:shd w:val="clear" w:color="auto" w:fill="C6EFCE"/>
            <w:vAlign w:val="center"/>
            <w:hideMark/>
          </w:tcPr>
          <w:p w:rsidRPr="00E03285" w:rsidR="00D87E44" w:rsidRDefault="00D87E44" w14:paraId="154590DA"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327</w:t>
            </w:r>
          </w:p>
        </w:tc>
        <w:tc>
          <w:tcPr>
            <w:tcW w:w="4062" w:type="dxa"/>
            <w:shd w:val="clear" w:color="auto" w:fill="C6EFCE"/>
            <w:vAlign w:val="center"/>
            <w:hideMark/>
          </w:tcPr>
          <w:p w:rsidRPr="00E03285" w:rsidR="00D87E44" w:rsidRDefault="00D87E44" w14:paraId="154590DB"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7.4: School </w:t>
            </w:r>
            <w:r>
              <w:rPr>
                <w:rFonts w:eastAsia="Times New Roman"/>
                <w:noProof/>
                <w:color w:val="006100"/>
                <w:sz w:val="20"/>
                <w:szCs w:val="20"/>
              </w:rPr>
              <w:t>A</w:t>
            </w:r>
            <w:r w:rsidRPr="00E03285">
              <w:rPr>
                <w:rFonts w:eastAsia="Times New Roman"/>
                <w:noProof/>
                <w:color w:val="006100"/>
                <w:sz w:val="20"/>
                <w:szCs w:val="20"/>
              </w:rPr>
              <w:t>daptation – Promoting green skills and sustainability in universities -</w:t>
            </w:r>
          </w:p>
          <w:p w:rsidRPr="00E03285" w:rsidR="00D87E44" w:rsidRDefault="00D87E44" w14:paraId="154590DC"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Investment 1: Sustainable and Green Transition Strategies</w:t>
            </w:r>
          </w:p>
        </w:tc>
        <w:tc>
          <w:tcPr>
            <w:tcW w:w="1701" w:type="dxa"/>
            <w:shd w:val="clear" w:color="auto" w:fill="C6EFCE"/>
            <w:vAlign w:val="center"/>
            <w:hideMark/>
          </w:tcPr>
          <w:p w:rsidRPr="00E03285" w:rsidR="00D87E44" w:rsidRDefault="00D87E44" w14:paraId="154590DD"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Target</w:t>
            </w:r>
          </w:p>
        </w:tc>
        <w:tc>
          <w:tcPr>
            <w:tcW w:w="3686" w:type="dxa"/>
            <w:shd w:val="clear" w:color="auto" w:fill="C6EFCE"/>
            <w:vAlign w:val="center"/>
            <w:hideMark/>
          </w:tcPr>
          <w:p w:rsidRPr="00E03285" w:rsidR="00D87E44" w:rsidRDefault="00D87E44" w14:paraId="154590DE"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Approval</w:t>
            </w:r>
            <w:r w:rsidRPr="00E03285">
              <w:rPr>
                <w:rFonts w:eastAsia="Times New Roman"/>
                <w:noProof/>
                <w:color w:val="006100"/>
                <w:sz w:val="20"/>
                <w:szCs w:val="20"/>
              </w:rPr>
              <w:t xml:space="preserve"> of </w:t>
            </w:r>
            <w:r w:rsidRPr="00CB1536">
              <w:rPr>
                <w:rFonts w:eastAsia="Times New Roman"/>
                <w:noProof/>
                <w:color w:val="006100"/>
                <w:sz w:val="20"/>
                <w:szCs w:val="20"/>
              </w:rPr>
              <w:t>new or extended Sustainable</w:t>
            </w:r>
            <w:r w:rsidRPr="00E03285">
              <w:rPr>
                <w:rFonts w:eastAsia="Times New Roman"/>
                <w:noProof/>
                <w:color w:val="006100"/>
                <w:sz w:val="20"/>
                <w:szCs w:val="20"/>
              </w:rPr>
              <w:t xml:space="preserve"> and Green Transition Strategies by public universities</w:t>
            </w:r>
          </w:p>
        </w:tc>
      </w:tr>
      <w:tr w:rsidRPr="00E03285" w:rsidR="00E3458A" w:rsidTr="00BF2B2E" w14:paraId="154590E4" w14:textId="77777777">
        <w:trPr>
          <w:trHeight w:val="300"/>
        </w:trPr>
        <w:tc>
          <w:tcPr>
            <w:tcW w:w="1207" w:type="dxa"/>
            <w:shd w:val="clear" w:color="auto" w:fill="C6EFCE"/>
            <w:vAlign w:val="center"/>
            <w:hideMark/>
          </w:tcPr>
          <w:p w:rsidRPr="00E03285" w:rsidR="00D87E44" w:rsidRDefault="00D87E44" w14:paraId="154590E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328</w:t>
            </w:r>
          </w:p>
        </w:tc>
        <w:tc>
          <w:tcPr>
            <w:tcW w:w="4062" w:type="dxa"/>
            <w:shd w:val="clear" w:color="auto" w:fill="C6EFCE"/>
            <w:vAlign w:val="center"/>
            <w:hideMark/>
          </w:tcPr>
          <w:p w:rsidRPr="00E03285" w:rsidR="00D87E44" w:rsidRDefault="00D87E44" w14:paraId="154590E1"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7.4: School </w:t>
            </w:r>
            <w:r>
              <w:rPr>
                <w:rFonts w:eastAsia="Times New Roman"/>
                <w:noProof/>
                <w:color w:val="006100"/>
                <w:sz w:val="20"/>
                <w:szCs w:val="20"/>
              </w:rPr>
              <w:t>A</w:t>
            </w:r>
            <w:r w:rsidRPr="00E03285">
              <w:rPr>
                <w:rFonts w:eastAsia="Times New Roman"/>
                <w:noProof/>
                <w:color w:val="006100"/>
                <w:sz w:val="20"/>
                <w:szCs w:val="20"/>
              </w:rPr>
              <w:t>daptation – Promoting green skills and sustainability in universities (REPOWEREU) - Investment 2: Establishment of strategic partnership</w:t>
            </w:r>
          </w:p>
        </w:tc>
        <w:tc>
          <w:tcPr>
            <w:tcW w:w="1701" w:type="dxa"/>
            <w:shd w:val="clear" w:color="auto" w:fill="C6EFCE"/>
            <w:vAlign w:val="center"/>
            <w:hideMark/>
          </w:tcPr>
          <w:p w:rsidRPr="00E03285" w:rsidR="00D87E44" w:rsidRDefault="00D87E44" w14:paraId="154590E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Target</w:t>
            </w:r>
          </w:p>
        </w:tc>
        <w:tc>
          <w:tcPr>
            <w:tcW w:w="3686" w:type="dxa"/>
            <w:shd w:val="clear" w:color="auto" w:fill="C6EFCE"/>
            <w:vAlign w:val="center"/>
            <w:hideMark/>
          </w:tcPr>
          <w:p w:rsidRPr="00E03285" w:rsidR="00D87E44" w:rsidRDefault="00D87E44" w14:paraId="154590E3"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Establishment of strategic partnerships by public universities</w:t>
            </w:r>
          </w:p>
        </w:tc>
      </w:tr>
      <w:tr w:rsidRPr="00E03285" w:rsidR="00E3458A" w:rsidTr="00BF2B2E" w14:paraId="154590EA" w14:textId="77777777">
        <w:trPr>
          <w:trHeight w:val="300"/>
        </w:trPr>
        <w:tc>
          <w:tcPr>
            <w:tcW w:w="1207" w:type="dxa"/>
            <w:shd w:val="clear" w:color="auto" w:fill="C6EFCE"/>
            <w:vAlign w:val="center"/>
            <w:hideMark/>
          </w:tcPr>
          <w:p w:rsidRPr="00E03285" w:rsidR="00D87E44" w:rsidRDefault="00D87E44" w14:paraId="154590E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332</w:t>
            </w:r>
          </w:p>
        </w:tc>
        <w:tc>
          <w:tcPr>
            <w:tcW w:w="4062" w:type="dxa"/>
            <w:shd w:val="clear" w:color="auto" w:fill="C6EFCE"/>
            <w:vAlign w:val="center"/>
            <w:hideMark/>
          </w:tcPr>
          <w:p w:rsidRPr="00E03285" w:rsidR="00D87E44" w:rsidRDefault="00D87E44" w14:paraId="154590E6"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7.5 Decarbonisation of Road Transport </w:t>
            </w:r>
            <w:r w:rsidRPr="00E03285">
              <w:rPr>
                <w:rFonts w:eastAsia="Times New Roman"/>
                <w:noProof/>
                <w:color w:val="006100"/>
                <w:sz w:val="20"/>
                <w:szCs w:val="20"/>
                <w:lang w:val="en-IE"/>
              </w:rPr>
              <w:t xml:space="preserve">(REPowerEU) </w:t>
            </w:r>
            <w:r w:rsidRPr="00E03285">
              <w:rPr>
                <w:rFonts w:eastAsia="Times New Roman"/>
                <w:noProof/>
                <w:color w:val="006100"/>
                <w:sz w:val="20"/>
                <w:szCs w:val="20"/>
              </w:rPr>
              <w:t>-</w:t>
            </w:r>
          </w:p>
          <w:p w:rsidRPr="00E03285" w:rsidR="00D87E44" w:rsidRDefault="00D87E44" w14:paraId="154590E7"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Reform 2: Tax measures in support of zero-emission mobility</w:t>
            </w:r>
          </w:p>
        </w:tc>
        <w:tc>
          <w:tcPr>
            <w:tcW w:w="1701" w:type="dxa"/>
            <w:shd w:val="clear" w:color="auto" w:fill="C6EFCE"/>
            <w:vAlign w:val="center"/>
            <w:hideMark/>
          </w:tcPr>
          <w:p w:rsidRPr="00E03285" w:rsidR="00D87E44" w:rsidRDefault="00D87E44" w14:paraId="154590E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E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Tax exemptions for promotion of deployment of zero-emission vehicles in the private companies</w:t>
            </w:r>
          </w:p>
        </w:tc>
      </w:tr>
      <w:tr w:rsidRPr="00E03285" w:rsidR="00E3458A" w:rsidTr="00BF2B2E" w14:paraId="154590F0" w14:textId="77777777">
        <w:trPr>
          <w:trHeight w:val="300"/>
        </w:trPr>
        <w:tc>
          <w:tcPr>
            <w:tcW w:w="1207" w:type="dxa"/>
            <w:shd w:val="clear" w:color="auto" w:fill="C6EFCE"/>
            <w:vAlign w:val="center"/>
            <w:hideMark/>
          </w:tcPr>
          <w:p w:rsidRPr="00E03285" w:rsidR="00D87E44" w:rsidRDefault="00D87E44" w14:paraId="154590E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337</w:t>
            </w:r>
          </w:p>
        </w:tc>
        <w:tc>
          <w:tcPr>
            <w:tcW w:w="4062" w:type="dxa"/>
            <w:shd w:val="clear" w:color="auto" w:fill="C6EFCE"/>
            <w:vAlign w:val="center"/>
            <w:hideMark/>
          </w:tcPr>
          <w:p w:rsidRPr="00E03285" w:rsidR="00D87E44" w:rsidRDefault="00D87E44" w14:paraId="154590EC"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 xml:space="preserve">C 7.5 Decarbonisation of Road Transport </w:t>
            </w:r>
            <w:r w:rsidRPr="00E03285">
              <w:rPr>
                <w:rFonts w:eastAsia="Times New Roman"/>
                <w:noProof/>
                <w:color w:val="006100"/>
                <w:sz w:val="20"/>
                <w:szCs w:val="20"/>
                <w:lang w:val="en-IE"/>
              </w:rPr>
              <w:t xml:space="preserve">(REPowerEU) </w:t>
            </w:r>
            <w:r w:rsidRPr="00E03285">
              <w:rPr>
                <w:rFonts w:eastAsia="Times New Roman"/>
                <w:noProof/>
                <w:color w:val="006100"/>
                <w:sz w:val="20"/>
                <w:szCs w:val="20"/>
              </w:rPr>
              <w:t>-</w:t>
            </w:r>
          </w:p>
          <w:p w:rsidRPr="00E03285" w:rsidR="00D87E44" w:rsidRDefault="00D87E44" w14:paraId="154590ED"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Reform 5: Incentivising zero-emission mobility through changes highway vignette</w:t>
            </w:r>
          </w:p>
        </w:tc>
        <w:tc>
          <w:tcPr>
            <w:tcW w:w="1701" w:type="dxa"/>
            <w:shd w:val="clear" w:color="auto" w:fill="C6EFCE"/>
            <w:vAlign w:val="center"/>
            <w:hideMark/>
          </w:tcPr>
          <w:p w:rsidRPr="00E03285" w:rsidR="00D87E44" w:rsidRDefault="00D87E44" w14:paraId="154590EE"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EF"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Revising the highway vignette costs</w:t>
            </w:r>
          </w:p>
        </w:tc>
      </w:tr>
      <w:tr w:rsidRPr="00E03285" w:rsidR="00E3458A" w:rsidTr="00BF2B2E" w14:paraId="154590F6" w14:textId="77777777">
        <w:trPr>
          <w:trHeight w:val="300"/>
        </w:trPr>
        <w:tc>
          <w:tcPr>
            <w:tcW w:w="1207" w:type="dxa"/>
            <w:shd w:val="clear" w:color="auto" w:fill="C6EFCE"/>
            <w:vAlign w:val="center"/>
            <w:hideMark/>
          </w:tcPr>
          <w:p w:rsidRPr="00E03285" w:rsidR="00D87E44" w:rsidRDefault="00D87E44" w14:paraId="154590F1"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342</w:t>
            </w:r>
          </w:p>
        </w:tc>
        <w:tc>
          <w:tcPr>
            <w:tcW w:w="4062" w:type="dxa"/>
            <w:shd w:val="clear" w:color="auto" w:fill="C6EFCE"/>
            <w:vAlign w:val="center"/>
            <w:hideMark/>
          </w:tcPr>
          <w:p w:rsidRPr="00E03285" w:rsidR="00D87E44" w:rsidRDefault="00D87E44" w14:paraId="154590F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w:t>
            </w:r>
            <w:r>
              <w:rPr>
                <w:rFonts w:eastAsia="Times New Roman"/>
                <w:noProof/>
                <w:color w:val="006100"/>
                <w:sz w:val="20"/>
                <w:szCs w:val="20"/>
              </w:rPr>
              <w:t xml:space="preserve"> </w:t>
            </w:r>
            <w:r w:rsidRPr="00E03285">
              <w:rPr>
                <w:rFonts w:eastAsia="Times New Roman"/>
                <w:noProof/>
                <w:color w:val="006100"/>
                <w:sz w:val="20"/>
                <w:szCs w:val="20"/>
              </w:rPr>
              <w:t xml:space="preserve">7.7 Simplifying </w:t>
            </w:r>
            <w:r>
              <w:rPr>
                <w:rFonts w:eastAsia="Times New Roman"/>
                <w:noProof/>
                <w:color w:val="006100"/>
                <w:sz w:val="20"/>
                <w:szCs w:val="20"/>
              </w:rPr>
              <w:t>E</w:t>
            </w:r>
            <w:r w:rsidRPr="00E03285">
              <w:rPr>
                <w:rFonts w:eastAsia="Times New Roman"/>
                <w:noProof/>
                <w:color w:val="006100"/>
                <w:sz w:val="20"/>
                <w:szCs w:val="20"/>
              </w:rPr>
              <w:t xml:space="preserve">nvironmental </w:t>
            </w:r>
            <w:r>
              <w:rPr>
                <w:rFonts w:eastAsia="Times New Roman"/>
                <w:noProof/>
                <w:color w:val="006100"/>
                <w:sz w:val="20"/>
                <w:szCs w:val="20"/>
              </w:rPr>
              <w:t>P</w:t>
            </w:r>
            <w:r w:rsidRPr="00E03285">
              <w:rPr>
                <w:rFonts w:eastAsia="Times New Roman"/>
                <w:noProof/>
                <w:color w:val="006100"/>
                <w:sz w:val="20"/>
                <w:szCs w:val="20"/>
              </w:rPr>
              <w:t xml:space="preserve">ermitting </w:t>
            </w:r>
            <w:r>
              <w:rPr>
                <w:rFonts w:eastAsia="Times New Roman"/>
                <w:noProof/>
                <w:color w:val="006100"/>
                <w:sz w:val="20"/>
                <w:szCs w:val="20"/>
              </w:rPr>
              <w:t>P</w:t>
            </w:r>
            <w:r w:rsidRPr="00E03285">
              <w:rPr>
                <w:rFonts w:eastAsia="Times New Roman"/>
                <w:noProof/>
                <w:color w:val="006100"/>
                <w:sz w:val="20"/>
                <w:szCs w:val="20"/>
              </w:rPr>
              <w:t xml:space="preserve">rocesses and </w:t>
            </w:r>
            <w:r>
              <w:rPr>
                <w:rFonts w:eastAsia="Times New Roman"/>
                <w:noProof/>
                <w:color w:val="006100"/>
                <w:sz w:val="20"/>
                <w:szCs w:val="20"/>
              </w:rPr>
              <w:t>D</w:t>
            </w:r>
            <w:r w:rsidRPr="00E03285">
              <w:rPr>
                <w:rFonts w:eastAsia="Times New Roman"/>
                <w:noProof/>
                <w:color w:val="006100"/>
                <w:sz w:val="20"/>
                <w:szCs w:val="20"/>
              </w:rPr>
              <w:t xml:space="preserve">efining </w:t>
            </w:r>
            <w:r>
              <w:rPr>
                <w:rFonts w:eastAsia="Times New Roman"/>
                <w:noProof/>
                <w:color w:val="006100"/>
                <w:sz w:val="20"/>
                <w:szCs w:val="20"/>
              </w:rPr>
              <w:t>A</w:t>
            </w:r>
            <w:r w:rsidRPr="00E03285">
              <w:rPr>
                <w:rFonts w:eastAsia="Times New Roman"/>
                <w:noProof/>
                <w:color w:val="006100"/>
                <w:sz w:val="20"/>
                <w:szCs w:val="20"/>
              </w:rPr>
              <w:t xml:space="preserve">reas for the </w:t>
            </w:r>
            <w:r>
              <w:rPr>
                <w:rFonts w:eastAsia="Times New Roman"/>
                <w:noProof/>
                <w:color w:val="006100"/>
                <w:sz w:val="20"/>
                <w:szCs w:val="20"/>
              </w:rPr>
              <w:t>D</w:t>
            </w:r>
            <w:r w:rsidRPr="00E03285">
              <w:rPr>
                <w:rFonts w:eastAsia="Times New Roman"/>
                <w:noProof/>
                <w:color w:val="006100"/>
                <w:sz w:val="20"/>
                <w:szCs w:val="20"/>
              </w:rPr>
              <w:t xml:space="preserve">evelopment of </w:t>
            </w:r>
            <w:r>
              <w:rPr>
                <w:rFonts w:eastAsia="Times New Roman"/>
                <w:noProof/>
                <w:color w:val="006100"/>
                <w:sz w:val="20"/>
                <w:szCs w:val="20"/>
              </w:rPr>
              <w:t>R</w:t>
            </w:r>
            <w:r w:rsidRPr="00E03285">
              <w:rPr>
                <w:rFonts w:eastAsia="Times New Roman"/>
                <w:noProof/>
                <w:color w:val="006100"/>
                <w:sz w:val="20"/>
                <w:szCs w:val="20"/>
              </w:rPr>
              <w:t xml:space="preserve">enewable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ources</w:t>
            </w:r>
            <w:r>
              <w:rPr>
                <w:rFonts w:eastAsia="Times New Roman"/>
                <w:noProof/>
                <w:color w:val="006100"/>
                <w:sz w:val="20"/>
                <w:szCs w:val="20"/>
              </w:rPr>
              <w:t xml:space="preserve"> </w:t>
            </w:r>
            <w:r w:rsidRPr="00E03285">
              <w:rPr>
                <w:rFonts w:eastAsia="Times New Roman"/>
                <w:noProof/>
                <w:color w:val="006100"/>
                <w:sz w:val="20"/>
                <w:szCs w:val="20"/>
              </w:rPr>
              <w:t>-</w:t>
            </w:r>
          </w:p>
          <w:p w:rsidRPr="00E03285" w:rsidR="00D87E44" w:rsidRDefault="00D87E44" w14:paraId="154590F3"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Reform 1:  Single Environmental Opinion</w:t>
            </w:r>
          </w:p>
        </w:tc>
        <w:tc>
          <w:tcPr>
            <w:tcW w:w="1701" w:type="dxa"/>
            <w:shd w:val="clear" w:color="auto" w:fill="C6EFCE"/>
            <w:vAlign w:val="center"/>
            <w:hideMark/>
          </w:tcPr>
          <w:p w:rsidRPr="00E03285" w:rsidR="00D87E44" w:rsidRDefault="00D87E44" w14:paraId="154590F4"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F5"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Publication of methodologies and templates by the Ministry of Environment</w:t>
            </w:r>
          </w:p>
        </w:tc>
      </w:tr>
      <w:tr w:rsidRPr="00E03285" w:rsidR="00E3458A" w:rsidTr="00BF2B2E" w14:paraId="154590FC" w14:textId="77777777">
        <w:trPr>
          <w:trHeight w:val="300"/>
        </w:trPr>
        <w:tc>
          <w:tcPr>
            <w:tcW w:w="1207" w:type="dxa"/>
            <w:shd w:val="clear" w:color="auto" w:fill="C6EFCE"/>
            <w:vAlign w:val="center"/>
            <w:hideMark/>
          </w:tcPr>
          <w:p w:rsidRPr="00E03285" w:rsidR="00D87E44" w:rsidRDefault="00D87E44" w14:paraId="154590F7"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344</w:t>
            </w:r>
          </w:p>
        </w:tc>
        <w:tc>
          <w:tcPr>
            <w:tcW w:w="4062" w:type="dxa"/>
            <w:shd w:val="clear" w:color="auto" w:fill="C6EFCE"/>
            <w:vAlign w:val="center"/>
            <w:hideMark/>
          </w:tcPr>
          <w:p w:rsidRPr="00E03285" w:rsidR="00D87E44" w:rsidRDefault="00D87E44" w14:paraId="154590F8"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w:t>
            </w:r>
            <w:r>
              <w:rPr>
                <w:rFonts w:eastAsia="Times New Roman"/>
                <w:noProof/>
                <w:color w:val="006100"/>
                <w:sz w:val="20"/>
                <w:szCs w:val="20"/>
              </w:rPr>
              <w:t xml:space="preserve"> </w:t>
            </w:r>
            <w:r w:rsidRPr="00E03285">
              <w:rPr>
                <w:rFonts w:eastAsia="Times New Roman"/>
                <w:noProof/>
                <w:color w:val="006100"/>
                <w:sz w:val="20"/>
                <w:szCs w:val="20"/>
              </w:rPr>
              <w:t xml:space="preserve">7.7 Simplifying </w:t>
            </w:r>
            <w:r>
              <w:rPr>
                <w:rFonts w:eastAsia="Times New Roman"/>
                <w:noProof/>
                <w:color w:val="006100"/>
                <w:sz w:val="20"/>
                <w:szCs w:val="20"/>
              </w:rPr>
              <w:t>E</w:t>
            </w:r>
            <w:r w:rsidRPr="00E03285">
              <w:rPr>
                <w:rFonts w:eastAsia="Times New Roman"/>
                <w:noProof/>
                <w:color w:val="006100"/>
                <w:sz w:val="20"/>
                <w:szCs w:val="20"/>
              </w:rPr>
              <w:t xml:space="preserve">nvironmental </w:t>
            </w:r>
            <w:r>
              <w:rPr>
                <w:rFonts w:eastAsia="Times New Roman"/>
                <w:noProof/>
                <w:color w:val="006100"/>
                <w:sz w:val="20"/>
                <w:szCs w:val="20"/>
              </w:rPr>
              <w:t>P</w:t>
            </w:r>
            <w:r w:rsidRPr="00E03285">
              <w:rPr>
                <w:rFonts w:eastAsia="Times New Roman"/>
                <w:noProof/>
                <w:color w:val="006100"/>
                <w:sz w:val="20"/>
                <w:szCs w:val="20"/>
              </w:rPr>
              <w:t xml:space="preserve">ermitting </w:t>
            </w:r>
            <w:r>
              <w:rPr>
                <w:rFonts w:eastAsia="Times New Roman"/>
                <w:noProof/>
                <w:color w:val="006100"/>
                <w:sz w:val="20"/>
                <w:szCs w:val="20"/>
              </w:rPr>
              <w:t>P</w:t>
            </w:r>
            <w:r w:rsidRPr="00E03285">
              <w:rPr>
                <w:rFonts w:eastAsia="Times New Roman"/>
                <w:noProof/>
                <w:color w:val="006100"/>
                <w:sz w:val="20"/>
                <w:szCs w:val="20"/>
              </w:rPr>
              <w:t xml:space="preserve">rocesses and </w:t>
            </w:r>
            <w:r>
              <w:rPr>
                <w:rFonts w:eastAsia="Times New Roman"/>
                <w:noProof/>
                <w:color w:val="006100"/>
                <w:sz w:val="20"/>
                <w:szCs w:val="20"/>
              </w:rPr>
              <w:t>D</w:t>
            </w:r>
            <w:r w:rsidRPr="00E03285">
              <w:rPr>
                <w:rFonts w:eastAsia="Times New Roman"/>
                <w:noProof/>
                <w:color w:val="006100"/>
                <w:sz w:val="20"/>
                <w:szCs w:val="20"/>
              </w:rPr>
              <w:t xml:space="preserve">efining </w:t>
            </w:r>
            <w:r>
              <w:rPr>
                <w:rFonts w:eastAsia="Times New Roman"/>
                <w:noProof/>
                <w:color w:val="006100"/>
                <w:sz w:val="20"/>
                <w:szCs w:val="20"/>
              </w:rPr>
              <w:t>A</w:t>
            </w:r>
            <w:r w:rsidRPr="00E03285">
              <w:rPr>
                <w:rFonts w:eastAsia="Times New Roman"/>
                <w:noProof/>
                <w:color w:val="006100"/>
                <w:sz w:val="20"/>
                <w:szCs w:val="20"/>
              </w:rPr>
              <w:t xml:space="preserve">reas for the </w:t>
            </w:r>
            <w:r>
              <w:rPr>
                <w:rFonts w:eastAsia="Times New Roman"/>
                <w:noProof/>
                <w:color w:val="006100"/>
                <w:sz w:val="20"/>
                <w:szCs w:val="20"/>
              </w:rPr>
              <w:t>D</w:t>
            </w:r>
            <w:r w:rsidRPr="00E03285">
              <w:rPr>
                <w:rFonts w:eastAsia="Times New Roman"/>
                <w:noProof/>
                <w:color w:val="006100"/>
                <w:sz w:val="20"/>
                <w:szCs w:val="20"/>
              </w:rPr>
              <w:t xml:space="preserve">evelopment of </w:t>
            </w:r>
            <w:r>
              <w:rPr>
                <w:rFonts w:eastAsia="Times New Roman"/>
                <w:noProof/>
                <w:color w:val="006100"/>
                <w:sz w:val="20"/>
                <w:szCs w:val="20"/>
              </w:rPr>
              <w:t>R</w:t>
            </w:r>
            <w:r w:rsidRPr="00E03285">
              <w:rPr>
                <w:rFonts w:eastAsia="Times New Roman"/>
                <w:noProof/>
                <w:color w:val="006100"/>
                <w:sz w:val="20"/>
                <w:szCs w:val="20"/>
              </w:rPr>
              <w:t xml:space="preserve">enewable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ources</w:t>
            </w:r>
            <w:r>
              <w:rPr>
                <w:rFonts w:eastAsia="Times New Roman"/>
                <w:noProof/>
                <w:color w:val="006100"/>
                <w:sz w:val="20"/>
                <w:szCs w:val="20"/>
              </w:rPr>
              <w:t xml:space="preserve"> </w:t>
            </w:r>
            <w:r w:rsidRPr="00E03285">
              <w:rPr>
                <w:rFonts w:eastAsia="Times New Roman"/>
                <w:noProof/>
                <w:color w:val="006100"/>
                <w:sz w:val="20"/>
                <w:szCs w:val="20"/>
              </w:rPr>
              <w:t>-Reform 2:</w:t>
            </w:r>
          </w:p>
          <w:p w:rsidRPr="00E03285" w:rsidR="00D87E44" w:rsidRDefault="00D87E44" w14:paraId="154590F9"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Renewable acceleration areas</w:t>
            </w:r>
          </w:p>
        </w:tc>
        <w:tc>
          <w:tcPr>
            <w:tcW w:w="1701" w:type="dxa"/>
            <w:shd w:val="clear" w:color="auto" w:fill="C6EFCE"/>
            <w:vAlign w:val="center"/>
            <w:hideMark/>
          </w:tcPr>
          <w:p w:rsidRPr="00E03285" w:rsidR="00D87E44" w:rsidRDefault="00D87E44" w14:paraId="154590FA"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Milestone</w:t>
            </w:r>
          </w:p>
        </w:tc>
        <w:tc>
          <w:tcPr>
            <w:tcW w:w="3686" w:type="dxa"/>
            <w:shd w:val="clear" w:color="auto" w:fill="C6EFCE"/>
            <w:vAlign w:val="center"/>
            <w:hideMark/>
          </w:tcPr>
          <w:p w:rsidRPr="00E03285" w:rsidR="00D87E44" w:rsidRDefault="00D87E44" w14:paraId="154590FB"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Framework supporting the renewable acceleration areas</w:t>
            </w:r>
          </w:p>
        </w:tc>
      </w:tr>
      <w:tr w:rsidRPr="00E03285" w:rsidR="00E3458A" w:rsidTr="00BF2B2E" w14:paraId="15459103" w14:textId="77777777">
        <w:trPr>
          <w:trHeight w:val="300"/>
        </w:trPr>
        <w:tc>
          <w:tcPr>
            <w:tcW w:w="1207" w:type="dxa"/>
            <w:shd w:val="clear" w:color="auto" w:fill="C6EFCE"/>
            <w:vAlign w:val="center"/>
            <w:hideMark/>
          </w:tcPr>
          <w:p w:rsidRPr="00E03285" w:rsidR="00D87E44" w:rsidRDefault="00D87E44" w14:paraId="154590FD"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345</w:t>
            </w:r>
          </w:p>
        </w:tc>
        <w:tc>
          <w:tcPr>
            <w:tcW w:w="4062" w:type="dxa"/>
            <w:shd w:val="clear" w:color="auto" w:fill="C6EFCE"/>
            <w:vAlign w:val="center"/>
            <w:hideMark/>
          </w:tcPr>
          <w:p w:rsidRPr="00E03285" w:rsidR="00D87E44" w:rsidRDefault="00D87E44" w14:paraId="154590FE"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w:t>
            </w:r>
            <w:r>
              <w:rPr>
                <w:rFonts w:eastAsia="Times New Roman"/>
                <w:noProof/>
                <w:color w:val="006100"/>
                <w:sz w:val="20"/>
                <w:szCs w:val="20"/>
              </w:rPr>
              <w:t xml:space="preserve"> </w:t>
            </w:r>
            <w:r w:rsidRPr="00E03285">
              <w:rPr>
                <w:rFonts w:eastAsia="Times New Roman"/>
                <w:noProof/>
                <w:color w:val="006100"/>
                <w:sz w:val="20"/>
                <w:szCs w:val="20"/>
              </w:rPr>
              <w:t xml:space="preserve">7.7 Simplifying </w:t>
            </w:r>
            <w:r>
              <w:rPr>
                <w:rFonts w:eastAsia="Times New Roman"/>
                <w:noProof/>
                <w:color w:val="006100"/>
                <w:sz w:val="20"/>
                <w:szCs w:val="20"/>
              </w:rPr>
              <w:t>E</w:t>
            </w:r>
            <w:r w:rsidRPr="00E03285">
              <w:rPr>
                <w:rFonts w:eastAsia="Times New Roman"/>
                <w:noProof/>
                <w:color w:val="006100"/>
                <w:sz w:val="20"/>
                <w:szCs w:val="20"/>
              </w:rPr>
              <w:t xml:space="preserve">nvironmental </w:t>
            </w:r>
            <w:r>
              <w:rPr>
                <w:rFonts w:eastAsia="Times New Roman"/>
                <w:noProof/>
                <w:color w:val="006100"/>
                <w:sz w:val="20"/>
                <w:szCs w:val="20"/>
              </w:rPr>
              <w:t>P</w:t>
            </w:r>
            <w:r w:rsidRPr="00E03285">
              <w:rPr>
                <w:rFonts w:eastAsia="Times New Roman"/>
                <w:noProof/>
                <w:color w:val="006100"/>
                <w:sz w:val="20"/>
                <w:szCs w:val="20"/>
              </w:rPr>
              <w:t xml:space="preserve">ermitting </w:t>
            </w:r>
            <w:r>
              <w:rPr>
                <w:rFonts w:eastAsia="Times New Roman"/>
                <w:noProof/>
                <w:color w:val="006100"/>
                <w:sz w:val="20"/>
                <w:szCs w:val="20"/>
              </w:rPr>
              <w:t>P</w:t>
            </w:r>
            <w:r w:rsidRPr="00E03285">
              <w:rPr>
                <w:rFonts w:eastAsia="Times New Roman"/>
                <w:noProof/>
                <w:color w:val="006100"/>
                <w:sz w:val="20"/>
                <w:szCs w:val="20"/>
              </w:rPr>
              <w:t xml:space="preserve">rocesses and </w:t>
            </w:r>
            <w:r>
              <w:rPr>
                <w:rFonts w:eastAsia="Times New Roman"/>
                <w:noProof/>
                <w:color w:val="006100"/>
                <w:sz w:val="20"/>
                <w:szCs w:val="20"/>
              </w:rPr>
              <w:t>D</w:t>
            </w:r>
            <w:r w:rsidRPr="00E03285">
              <w:rPr>
                <w:rFonts w:eastAsia="Times New Roman"/>
                <w:noProof/>
                <w:color w:val="006100"/>
                <w:sz w:val="20"/>
                <w:szCs w:val="20"/>
              </w:rPr>
              <w:t xml:space="preserve">efining </w:t>
            </w:r>
            <w:r>
              <w:rPr>
                <w:rFonts w:eastAsia="Times New Roman"/>
                <w:noProof/>
                <w:color w:val="006100"/>
                <w:sz w:val="20"/>
                <w:szCs w:val="20"/>
              </w:rPr>
              <w:t>A</w:t>
            </w:r>
            <w:r w:rsidRPr="00E03285">
              <w:rPr>
                <w:rFonts w:eastAsia="Times New Roman"/>
                <w:noProof/>
                <w:color w:val="006100"/>
                <w:sz w:val="20"/>
                <w:szCs w:val="20"/>
              </w:rPr>
              <w:t xml:space="preserve">reas for the </w:t>
            </w:r>
            <w:r>
              <w:rPr>
                <w:rFonts w:eastAsia="Times New Roman"/>
                <w:noProof/>
                <w:color w:val="006100"/>
                <w:sz w:val="20"/>
                <w:szCs w:val="20"/>
              </w:rPr>
              <w:t>D</w:t>
            </w:r>
            <w:r w:rsidRPr="00E03285">
              <w:rPr>
                <w:rFonts w:eastAsia="Times New Roman"/>
                <w:noProof/>
                <w:color w:val="006100"/>
                <w:sz w:val="20"/>
                <w:szCs w:val="20"/>
              </w:rPr>
              <w:t xml:space="preserve">evelopment of </w:t>
            </w:r>
            <w:r>
              <w:rPr>
                <w:rFonts w:eastAsia="Times New Roman"/>
                <w:noProof/>
                <w:color w:val="006100"/>
                <w:sz w:val="20"/>
                <w:szCs w:val="20"/>
              </w:rPr>
              <w:t>R</w:t>
            </w:r>
            <w:r w:rsidRPr="00E03285">
              <w:rPr>
                <w:rFonts w:eastAsia="Times New Roman"/>
                <w:noProof/>
                <w:color w:val="006100"/>
                <w:sz w:val="20"/>
                <w:szCs w:val="20"/>
              </w:rPr>
              <w:t xml:space="preserve">enewable </w:t>
            </w:r>
            <w:r>
              <w:rPr>
                <w:rFonts w:eastAsia="Times New Roman"/>
                <w:noProof/>
                <w:color w:val="006100"/>
                <w:sz w:val="20"/>
                <w:szCs w:val="20"/>
              </w:rPr>
              <w:t>E</w:t>
            </w:r>
            <w:r w:rsidRPr="00E03285">
              <w:rPr>
                <w:rFonts w:eastAsia="Times New Roman"/>
                <w:noProof/>
                <w:color w:val="006100"/>
                <w:sz w:val="20"/>
                <w:szCs w:val="20"/>
              </w:rPr>
              <w:t xml:space="preserve">nergy </w:t>
            </w:r>
            <w:r>
              <w:rPr>
                <w:rFonts w:eastAsia="Times New Roman"/>
                <w:noProof/>
                <w:color w:val="006100"/>
                <w:sz w:val="20"/>
                <w:szCs w:val="20"/>
              </w:rPr>
              <w:t>S</w:t>
            </w:r>
            <w:r w:rsidRPr="00E03285">
              <w:rPr>
                <w:rFonts w:eastAsia="Times New Roman"/>
                <w:noProof/>
                <w:color w:val="006100"/>
                <w:sz w:val="20"/>
                <w:szCs w:val="20"/>
              </w:rPr>
              <w:t>ources</w:t>
            </w:r>
            <w:r>
              <w:rPr>
                <w:rFonts w:eastAsia="Times New Roman"/>
                <w:noProof/>
                <w:color w:val="006100"/>
                <w:sz w:val="20"/>
                <w:szCs w:val="20"/>
              </w:rPr>
              <w:t xml:space="preserve"> </w:t>
            </w:r>
            <w:r w:rsidRPr="00E03285">
              <w:rPr>
                <w:rFonts w:eastAsia="Times New Roman"/>
                <w:noProof/>
                <w:color w:val="006100"/>
                <w:sz w:val="20"/>
                <w:szCs w:val="20"/>
              </w:rPr>
              <w:t>-Reform 2:</w:t>
            </w:r>
          </w:p>
          <w:p w:rsidRPr="00E03285" w:rsidR="00D87E44" w:rsidRDefault="00D87E44" w14:paraId="154590FF"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Renewables acceleration areas</w:t>
            </w:r>
          </w:p>
          <w:p w:rsidRPr="00E03285" w:rsidR="00D87E44" w:rsidRDefault="00D87E44" w14:paraId="15459100" w14:textId="77777777">
            <w:pPr>
              <w:spacing w:before="0" w:after="0" w:line="240" w:lineRule="auto"/>
              <w:jc w:val="center"/>
              <w:rPr>
                <w:rFonts w:eastAsia="Times New Roman"/>
                <w:noProof/>
                <w:color w:val="006100"/>
                <w:sz w:val="20"/>
                <w:szCs w:val="20"/>
              </w:rPr>
            </w:pPr>
          </w:p>
        </w:tc>
        <w:tc>
          <w:tcPr>
            <w:tcW w:w="1701" w:type="dxa"/>
            <w:shd w:val="clear" w:color="auto" w:fill="C6EFCE"/>
            <w:vAlign w:val="center"/>
            <w:hideMark/>
          </w:tcPr>
          <w:p w:rsidRPr="00E03285" w:rsidR="00D87E44" w:rsidRDefault="00D87E44" w14:paraId="15459101"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Target</w:t>
            </w:r>
          </w:p>
        </w:tc>
        <w:tc>
          <w:tcPr>
            <w:tcW w:w="3686" w:type="dxa"/>
            <w:shd w:val="clear" w:color="auto" w:fill="C6EFCE"/>
            <w:vAlign w:val="center"/>
            <w:hideMark/>
          </w:tcPr>
          <w:p w:rsidRPr="00E03285" w:rsidR="00D87E44" w:rsidRDefault="00D87E44" w14:paraId="15459102"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Technical assistance for the designation of renewables acceleration areas</w:t>
            </w:r>
          </w:p>
        </w:tc>
      </w:tr>
      <w:tr w:rsidRPr="00E03285" w:rsidR="00E3458A" w:rsidTr="00BF2B2E" w14:paraId="15459108" w14:textId="77777777">
        <w:trPr>
          <w:trHeight w:val="300"/>
        </w:trPr>
        <w:tc>
          <w:tcPr>
            <w:tcW w:w="1207" w:type="dxa"/>
            <w:shd w:val="clear" w:color="auto" w:fill="C6EFCE"/>
            <w:vAlign w:val="center"/>
          </w:tcPr>
          <w:p w:rsidRPr="00E03285" w:rsidR="00D87E44" w:rsidRDefault="00D87E44" w14:paraId="15459104" w14:textId="77777777">
            <w:pPr>
              <w:spacing w:before="0" w:after="0" w:line="240" w:lineRule="auto"/>
              <w:jc w:val="center"/>
              <w:rPr>
                <w:rFonts w:eastAsia="Times New Roman"/>
                <w:noProof/>
                <w:color w:val="006100"/>
                <w:sz w:val="20"/>
                <w:szCs w:val="20"/>
                <w:lang w:val="en-IE"/>
              </w:rPr>
            </w:pPr>
          </w:p>
        </w:tc>
        <w:tc>
          <w:tcPr>
            <w:tcW w:w="4062" w:type="dxa"/>
            <w:shd w:val="clear" w:color="auto" w:fill="C6EFCE"/>
            <w:vAlign w:val="center"/>
          </w:tcPr>
          <w:p w:rsidRPr="00E03285" w:rsidR="00D87E44" w:rsidRDefault="00D87E44" w14:paraId="15459105" w14:textId="77777777">
            <w:pPr>
              <w:spacing w:before="0" w:after="0" w:line="240" w:lineRule="auto"/>
              <w:jc w:val="center"/>
              <w:rPr>
                <w:rFonts w:eastAsia="Times New Roman"/>
                <w:noProof/>
                <w:color w:val="006100"/>
                <w:sz w:val="20"/>
                <w:szCs w:val="20"/>
                <w:lang w:val="en-IE"/>
              </w:rPr>
            </w:pPr>
          </w:p>
        </w:tc>
        <w:tc>
          <w:tcPr>
            <w:tcW w:w="1701" w:type="dxa"/>
            <w:shd w:val="clear" w:color="auto" w:fill="C6EFCE"/>
            <w:vAlign w:val="center"/>
            <w:hideMark/>
          </w:tcPr>
          <w:p w:rsidRPr="00E03285" w:rsidR="00D87E44" w:rsidRDefault="00D87E44" w14:paraId="15459106" w14:textId="77777777">
            <w:pPr>
              <w:spacing w:before="0" w:after="0" w:line="240" w:lineRule="auto"/>
              <w:jc w:val="center"/>
              <w:rPr>
                <w:rFonts w:eastAsia="Times New Roman"/>
                <w:b/>
                <w:noProof/>
                <w:color w:val="006100"/>
                <w:sz w:val="20"/>
                <w:szCs w:val="20"/>
                <w:lang w:val="en-IE"/>
              </w:rPr>
            </w:pPr>
            <w:r w:rsidRPr="00E03285">
              <w:rPr>
                <w:rFonts w:eastAsia="Times New Roman"/>
                <w:b/>
                <w:noProof/>
                <w:color w:val="006100"/>
                <w:sz w:val="20"/>
                <w:szCs w:val="20"/>
                <w:lang w:val="en-IE"/>
              </w:rPr>
              <w:t>Instalment Amount</w:t>
            </w:r>
          </w:p>
        </w:tc>
        <w:tc>
          <w:tcPr>
            <w:tcW w:w="3686" w:type="dxa"/>
            <w:shd w:val="clear" w:color="auto" w:fill="C6EFCE"/>
            <w:vAlign w:val="center"/>
            <w:hideMark/>
          </w:tcPr>
          <w:p w:rsidRPr="00E03285" w:rsidR="00D87E44" w:rsidRDefault="00D87E44" w14:paraId="15459107" w14:textId="77777777">
            <w:pPr>
              <w:spacing w:before="0" w:after="0" w:line="240" w:lineRule="auto"/>
              <w:jc w:val="center"/>
              <w:rPr>
                <w:rFonts w:eastAsia="Times New Roman"/>
                <w:b/>
                <w:bCs/>
                <w:noProof/>
                <w:color w:val="006100"/>
                <w:sz w:val="20"/>
                <w:szCs w:val="20"/>
                <w:lang w:val="en-IE"/>
              </w:rPr>
            </w:pPr>
            <w:r w:rsidRPr="00146B99">
              <w:rPr>
                <w:rFonts w:eastAsia="Times New Roman"/>
                <w:b/>
                <w:noProof/>
                <w:color w:val="006100"/>
                <w:sz w:val="20"/>
                <w:szCs w:val="20"/>
                <w:lang w:val="en-IE"/>
              </w:rPr>
              <w:t>EUR</w:t>
            </w:r>
            <w:r>
              <w:rPr>
                <w:rFonts w:eastAsia="Times New Roman"/>
                <w:b/>
                <w:noProof/>
                <w:color w:val="006100"/>
                <w:sz w:val="20"/>
                <w:szCs w:val="20"/>
                <w:lang w:val="en-IE"/>
              </w:rPr>
              <w:t xml:space="preserve"> </w:t>
            </w:r>
            <w:r w:rsidRPr="00475D54">
              <w:rPr>
                <w:rFonts w:eastAsia="Times New Roman"/>
                <w:b/>
                <w:noProof/>
                <w:color w:val="006100"/>
                <w:sz w:val="20"/>
                <w:szCs w:val="20"/>
                <w:lang w:val="en-IE"/>
              </w:rPr>
              <w:t>1</w:t>
            </w:r>
            <w:r>
              <w:rPr>
                <w:rFonts w:eastAsia="Times New Roman"/>
                <w:b/>
                <w:noProof/>
                <w:color w:val="006100"/>
                <w:sz w:val="20"/>
                <w:szCs w:val="20"/>
                <w:lang w:val="en-IE"/>
              </w:rPr>
              <w:t> 791 660 357</w:t>
            </w:r>
          </w:p>
        </w:tc>
      </w:tr>
    </w:tbl>
    <w:p w:rsidRPr="00E03285" w:rsidR="00D87E44" w:rsidP="00D226F4" w:rsidRDefault="00D87E44" w14:paraId="15459109" w14:textId="77777777">
      <w:pPr>
        <w:spacing w:before="0" w:after="0" w:line="240" w:lineRule="auto"/>
        <w:rPr>
          <w:noProof/>
          <w:lang w:val="en-IE"/>
        </w:rPr>
        <w:sectPr w:rsidRPr="00E03285" w:rsidR="00C16C1F" w:rsidSect="00D226F4">
          <w:headerReference w:type="even" r:id="R6071ded65cc249ae"/>
          <w:footerReference w:type="even" r:id="R30d398883c714416"/>
          <w:headerReference w:type="first" r:id="R580dd8afec2e41e9"/>
          <w:footerReference w:type="first" r:id="R044c8dd5e2e94eb0"/>
          <w:pgSz w:w="11907" w:h="16839"/>
          <w:pgMar w:top="1134" w:right="1134" w:bottom="1134" w:left="1134" w:header="567" w:footer="567" w:gutter="0"/>
          <w:cols w:space="720"/>
          <w:docGrid w:linePitch="326"/>
        </w:sectPr>
      </w:pPr>
    </w:p>
    <w:p w:rsidRPr="00E03285" w:rsidR="00D87E44" w:rsidP="00D226F4" w:rsidRDefault="00D87E44" w14:paraId="1545910A" w14:textId="77777777">
      <w:pPr>
        <w:pStyle w:val="NumPar2"/>
        <w:numPr>
          <w:ilvl w:val="1"/>
          <w:numId w:val="89"/>
        </w:numPr>
        <w:rPr>
          <w:noProof/>
          <w:lang w:val="en-IE"/>
        </w:rPr>
      </w:pPr>
      <w:r w:rsidRPr="00E03285">
        <w:rPr>
          <w:noProof/>
          <w:lang w:val="en-IE"/>
        </w:rPr>
        <w:lastRenderedPageBreak/>
        <w:t xml:space="preserve">Seventh Instalment (non-repayable support): </w:t>
      </w:r>
    </w:p>
    <w:tbl>
      <w:tblPr>
        <w:tblW w:w="10598"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01"/>
        <w:gridCol w:w="90"/>
        <w:gridCol w:w="69"/>
        <w:gridCol w:w="3402"/>
        <w:gridCol w:w="60"/>
        <w:gridCol w:w="2407"/>
        <w:gridCol w:w="3169"/>
      </w:tblGrid>
      <w:tr w:rsidRPr="00E03285" w:rsidR="00E3458A" w:rsidTr="00DA5950" w14:paraId="1545910F" w14:textId="77777777">
        <w:trPr>
          <w:trHeight w:val="822"/>
          <w:tblHeader/>
        </w:trPr>
        <w:tc>
          <w:tcPr>
            <w:tcW w:w="1401" w:type="dxa"/>
            <w:shd w:val="clear" w:color="auto" w:fill="BDD7EE"/>
            <w:vAlign w:val="center"/>
            <w:hideMark/>
          </w:tcPr>
          <w:p w:rsidRPr="00E03285" w:rsidR="00D87E44" w:rsidRDefault="00D87E44" w14:paraId="1545910B" w14:textId="77777777">
            <w:pPr>
              <w:spacing w:before="0" w:after="0" w:line="240" w:lineRule="auto"/>
              <w:jc w:val="center"/>
              <w:rPr>
                <w:b/>
                <w:color w:val="000000"/>
                <w:lang w:val="en-IE"/>
              </w:rPr>
            </w:pPr>
            <w:r w:rsidRPr="00FF1320">
              <w:rPr>
                <w:b/>
                <w:color w:val="000000"/>
                <w:lang w:val="en-IE"/>
              </w:rPr>
              <w:t>Sequential Number</w:t>
            </w:r>
          </w:p>
        </w:tc>
        <w:tc>
          <w:tcPr>
            <w:tcW w:w="3621" w:type="dxa"/>
            <w:gridSpan w:val="4"/>
            <w:shd w:val="clear" w:color="auto" w:fill="BDD7EE"/>
            <w:vAlign w:val="center"/>
            <w:hideMark/>
          </w:tcPr>
          <w:p w:rsidRPr="00E03285" w:rsidR="00D87E44" w:rsidRDefault="00D87E44" w14:paraId="1545910C" w14:textId="77777777">
            <w:pPr>
              <w:spacing w:before="0" w:after="0" w:line="240" w:lineRule="auto"/>
              <w:jc w:val="center"/>
              <w:rPr>
                <w:b/>
                <w:color w:val="000000"/>
                <w:lang w:val="en-IE"/>
              </w:rPr>
            </w:pPr>
            <w:r w:rsidRPr="00FF1320">
              <w:rPr>
                <w:b/>
                <w:color w:val="000000"/>
                <w:lang w:val="en-IE"/>
              </w:rPr>
              <w:t>Related Measure (Reform or Investment)</w:t>
            </w:r>
          </w:p>
        </w:tc>
        <w:tc>
          <w:tcPr>
            <w:tcW w:w="2407" w:type="dxa"/>
            <w:shd w:val="clear" w:color="auto" w:fill="BDD7EE"/>
            <w:vAlign w:val="center"/>
            <w:hideMark/>
          </w:tcPr>
          <w:p w:rsidRPr="00E03285" w:rsidR="00D87E44" w:rsidRDefault="00D87E44" w14:paraId="1545910D" w14:textId="77777777">
            <w:pPr>
              <w:spacing w:before="0" w:after="0" w:line="240" w:lineRule="auto"/>
              <w:jc w:val="center"/>
              <w:rPr>
                <w:b/>
                <w:color w:val="000000"/>
                <w:lang w:val="en-IE"/>
              </w:rPr>
            </w:pPr>
            <w:r w:rsidRPr="00FF1320">
              <w:rPr>
                <w:b/>
                <w:color w:val="000000"/>
                <w:lang w:val="en-IE"/>
              </w:rPr>
              <w:t>Milestone / Target</w:t>
            </w:r>
          </w:p>
        </w:tc>
        <w:tc>
          <w:tcPr>
            <w:tcW w:w="3169" w:type="dxa"/>
            <w:shd w:val="clear" w:color="auto" w:fill="BDD7EE"/>
            <w:vAlign w:val="center"/>
            <w:hideMark/>
          </w:tcPr>
          <w:p w:rsidRPr="00E03285" w:rsidR="00D87E44" w:rsidRDefault="00D87E44" w14:paraId="1545910E" w14:textId="77777777">
            <w:pPr>
              <w:spacing w:before="0" w:after="0" w:line="240" w:lineRule="auto"/>
              <w:jc w:val="center"/>
              <w:rPr>
                <w:b/>
                <w:color w:val="000000"/>
                <w:lang w:val="en-IE"/>
              </w:rPr>
            </w:pPr>
            <w:r w:rsidRPr="00FF1320">
              <w:rPr>
                <w:b/>
                <w:color w:val="000000"/>
                <w:lang w:val="en-IE"/>
              </w:rPr>
              <w:t>Name</w:t>
            </w:r>
          </w:p>
        </w:tc>
      </w:tr>
      <w:tr w:rsidRPr="00E03285" w:rsidR="00E3458A" w:rsidTr="00DA5950" w14:paraId="15459114" w14:textId="77777777">
        <w:trPr>
          <w:trHeight w:val="300"/>
        </w:trPr>
        <w:tc>
          <w:tcPr>
            <w:tcW w:w="1401" w:type="dxa"/>
            <w:shd w:val="clear" w:color="auto" w:fill="C6EFCE"/>
            <w:vAlign w:val="center"/>
            <w:hideMark/>
          </w:tcPr>
          <w:p w:rsidRPr="00E03285" w:rsidR="00D87E44" w:rsidRDefault="00D87E44" w14:paraId="15459110"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21</w:t>
            </w:r>
          </w:p>
        </w:tc>
        <w:tc>
          <w:tcPr>
            <w:tcW w:w="3621" w:type="dxa"/>
            <w:gridSpan w:val="4"/>
            <w:shd w:val="clear" w:color="auto" w:fill="C6EFCE"/>
            <w:vAlign w:val="center"/>
            <w:hideMark/>
          </w:tcPr>
          <w:p w:rsidRPr="00E03285" w:rsidR="00D87E44" w:rsidRDefault="00D87E44" w14:paraId="15459111"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1.2: Digital Public Administration Systems - Investment 2: Development of core registries and facilities for eGovernment</w:t>
            </w:r>
          </w:p>
        </w:tc>
        <w:tc>
          <w:tcPr>
            <w:tcW w:w="2407" w:type="dxa"/>
            <w:shd w:val="clear" w:color="auto" w:fill="C6EFCE"/>
            <w:vAlign w:val="center"/>
            <w:hideMark/>
          </w:tcPr>
          <w:p w:rsidRPr="00E03285" w:rsidR="00D87E44" w:rsidRDefault="00D87E44" w14:paraId="1545911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69" w:type="dxa"/>
            <w:shd w:val="clear" w:color="auto" w:fill="C6EFCE"/>
            <w:vAlign w:val="center"/>
            <w:hideMark/>
          </w:tcPr>
          <w:p w:rsidRPr="00FF1320" w:rsidR="00D87E44" w:rsidP="00E3458A" w:rsidRDefault="00D87E44" w14:paraId="15459113" w14:textId="77777777">
            <w:pPr>
              <w:spacing w:before="0" w:after="0" w:line="240" w:lineRule="auto"/>
              <w:jc w:val="center"/>
              <w:rPr>
                <w:color w:val="004300"/>
                <w:sz w:val="20"/>
                <w:lang w:val="en-IE"/>
              </w:rPr>
            </w:pPr>
            <w:r w:rsidRPr="387B5440">
              <w:rPr>
                <w:rFonts w:eastAsia="Times New Roman"/>
                <w:noProof/>
                <w:color w:val="004300"/>
                <w:sz w:val="20"/>
                <w:szCs w:val="20"/>
                <w:lang w:val="en-IE"/>
              </w:rPr>
              <w:t>Projects upgrading core registries and facilities for eGovernment</w:t>
            </w:r>
          </w:p>
        </w:tc>
      </w:tr>
      <w:tr w:rsidRPr="00E03285" w:rsidR="00D226F4" w:rsidTr="00DA5950" w14:paraId="15459119" w14:textId="77777777">
        <w:trPr>
          <w:trHeight w:val="300"/>
        </w:trPr>
        <w:tc>
          <w:tcPr>
            <w:tcW w:w="1401" w:type="dxa"/>
            <w:shd w:val="clear" w:color="auto" w:fill="C6EFCE"/>
            <w:vAlign w:val="center"/>
          </w:tcPr>
          <w:p w:rsidRPr="00E03285" w:rsidR="00D87E44" w:rsidRDefault="00D87E44" w14:paraId="15459115" w14:textId="77777777">
            <w:pPr>
              <w:spacing w:line="240" w:lineRule="auto"/>
              <w:jc w:val="center"/>
              <w:rPr>
                <w:rFonts w:eastAsia="Times New Roman"/>
                <w:noProof/>
                <w:color w:val="004300"/>
                <w:sz w:val="20"/>
                <w:szCs w:val="20"/>
                <w:lang w:val="en-IE"/>
              </w:rPr>
            </w:pPr>
            <w:r w:rsidRPr="387B5440">
              <w:rPr>
                <w:rFonts w:eastAsia="Times New Roman"/>
                <w:noProof/>
                <w:color w:val="004300"/>
                <w:sz w:val="20"/>
                <w:szCs w:val="20"/>
                <w:lang w:val="en-IE"/>
              </w:rPr>
              <w:t>35</w:t>
            </w:r>
          </w:p>
        </w:tc>
        <w:tc>
          <w:tcPr>
            <w:tcW w:w="3621" w:type="dxa"/>
            <w:gridSpan w:val="4"/>
            <w:shd w:val="clear" w:color="auto" w:fill="C6EFCE"/>
            <w:vAlign w:val="center"/>
          </w:tcPr>
          <w:p w:rsidRPr="00E03285" w:rsidR="00D87E44" w:rsidRDefault="00D87E44" w14:paraId="1545911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Reform 1: Improving the environment for the deployment of electronic communications networks</w:t>
            </w:r>
          </w:p>
        </w:tc>
        <w:tc>
          <w:tcPr>
            <w:tcW w:w="2407" w:type="dxa"/>
            <w:shd w:val="clear" w:color="auto" w:fill="C6EFCE"/>
            <w:vAlign w:val="center"/>
          </w:tcPr>
          <w:p w:rsidRPr="00E03285" w:rsidR="00D87E44" w:rsidRDefault="00D87E44" w14:paraId="15459117" w14:textId="77777777">
            <w:pPr>
              <w:spacing w:line="240" w:lineRule="auto"/>
              <w:jc w:val="center"/>
              <w:rPr>
                <w:rFonts w:eastAsia="Times New Roman"/>
                <w:noProof/>
                <w:color w:val="006100"/>
                <w:sz w:val="20"/>
                <w:szCs w:val="20"/>
                <w:lang w:val="en-IE"/>
              </w:rPr>
            </w:pPr>
            <w:r w:rsidRPr="6A240618">
              <w:rPr>
                <w:rFonts w:eastAsia="Times New Roman"/>
                <w:noProof/>
                <w:color w:val="006100"/>
                <w:sz w:val="20"/>
                <w:szCs w:val="20"/>
                <w:lang w:val="en-IE"/>
              </w:rPr>
              <w:t>Milestone</w:t>
            </w:r>
          </w:p>
        </w:tc>
        <w:tc>
          <w:tcPr>
            <w:tcW w:w="3169" w:type="dxa"/>
            <w:shd w:val="clear" w:color="auto" w:fill="C6EFCE"/>
            <w:vAlign w:val="center"/>
          </w:tcPr>
          <w:p w:rsidRPr="00B654F6" w:rsidR="00D87E44" w:rsidRDefault="00D87E44" w14:paraId="15459118" w14:textId="77777777">
            <w:pPr>
              <w:spacing w:line="240" w:lineRule="auto"/>
              <w:jc w:val="center"/>
              <w:rPr>
                <w:rFonts w:eastAsia="Times New Roman"/>
                <w:noProof/>
                <w:color w:val="006100"/>
                <w:sz w:val="20"/>
                <w:szCs w:val="20"/>
              </w:rPr>
            </w:pPr>
            <w:r w:rsidRPr="6A240618">
              <w:rPr>
                <w:rFonts w:eastAsia="Times New Roman"/>
                <w:noProof/>
                <w:color w:val="006100"/>
                <w:sz w:val="20"/>
                <w:szCs w:val="20"/>
                <w:lang w:val="en-IE"/>
              </w:rPr>
              <w:t>Network quality measurements</w:t>
            </w:r>
          </w:p>
        </w:tc>
      </w:tr>
      <w:tr w:rsidRPr="00E03285" w:rsidR="00D226F4" w:rsidTr="00DA5950" w14:paraId="1545911E" w14:textId="77777777">
        <w:trPr>
          <w:trHeight w:val="300"/>
        </w:trPr>
        <w:tc>
          <w:tcPr>
            <w:tcW w:w="1401" w:type="dxa"/>
            <w:shd w:val="clear" w:color="auto" w:fill="C6EFCE"/>
            <w:vAlign w:val="center"/>
          </w:tcPr>
          <w:p w:rsidRPr="00E03285" w:rsidR="00D87E44" w:rsidRDefault="00D87E44" w14:paraId="1545911A"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37</w:t>
            </w:r>
          </w:p>
        </w:tc>
        <w:tc>
          <w:tcPr>
            <w:tcW w:w="3621" w:type="dxa"/>
            <w:gridSpan w:val="4"/>
            <w:shd w:val="clear" w:color="auto" w:fill="C6EFCE"/>
            <w:vAlign w:val="center"/>
          </w:tcPr>
          <w:p w:rsidRPr="00E03285" w:rsidR="00D87E44" w:rsidRDefault="00D87E44" w14:paraId="1545911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1.3: High-Capacity Digital Networks  - Reform 2: Supporting the </w:t>
            </w:r>
            <w:r w:rsidRPr="00E03285">
              <w:rPr>
                <w:rFonts w:eastAsia="Times New Roman"/>
                <w:noProof/>
                <w:color w:val="006100"/>
                <w:sz w:val="20"/>
                <w:szCs w:val="20"/>
                <w:lang w:val="en-IE"/>
              </w:rPr>
              <w:t>development of the 5G ecosystem</w:t>
            </w:r>
          </w:p>
        </w:tc>
        <w:tc>
          <w:tcPr>
            <w:tcW w:w="2407" w:type="dxa"/>
            <w:shd w:val="clear" w:color="auto" w:fill="C6EFCE"/>
            <w:vAlign w:val="center"/>
          </w:tcPr>
          <w:p w:rsidRPr="00E03285" w:rsidR="00D87E44" w:rsidRDefault="00D87E44" w14:paraId="1545911C"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69" w:type="dxa"/>
            <w:shd w:val="clear" w:color="auto" w:fill="C6EFCE"/>
            <w:vAlign w:val="center"/>
          </w:tcPr>
          <w:p w:rsidRPr="00BC0B43" w:rsidR="00D87E44" w:rsidRDefault="00D87E44" w14:paraId="1545911D"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Publication of guidelines on the roll out of 5G networks </w:t>
            </w:r>
          </w:p>
        </w:tc>
      </w:tr>
      <w:tr w:rsidRPr="00E03285" w:rsidR="00D226F4" w:rsidTr="00DA5950" w14:paraId="15459123" w14:textId="77777777">
        <w:trPr>
          <w:trHeight w:val="300"/>
        </w:trPr>
        <w:tc>
          <w:tcPr>
            <w:tcW w:w="1401" w:type="dxa"/>
            <w:shd w:val="clear" w:color="auto" w:fill="C6EFCE"/>
            <w:vAlign w:val="center"/>
          </w:tcPr>
          <w:p w:rsidRPr="00E03285" w:rsidR="00D87E44" w:rsidRDefault="00D87E44" w14:paraId="1545911F" w14:textId="77777777">
            <w:pPr>
              <w:spacing w:line="240" w:lineRule="auto"/>
              <w:jc w:val="center"/>
              <w:rPr>
                <w:rFonts w:eastAsia="Times New Roman"/>
                <w:noProof/>
                <w:color w:val="004300"/>
                <w:sz w:val="20"/>
                <w:szCs w:val="20"/>
                <w:lang w:val="en-IE"/>
              </w:rPr>
            </w:pPr>
            <w:r w:rsidRPr="00E03285">
              <w:rPr>
                <w:rFonts w:eastAsia="Times New Roman"/>
                <w:noProof/>
                <w:color w:val="006100"/>
                <w:sz w:val="20"/>
                <w:szCs w:val="20"/>
                <w:lang w:val="en-IE"/>
              </w:rPr>
              <w:t>69</w:t>
            </w:r>
          </w:p>
        </w:tc>
        <w:tc>
          <w:tcPr>
            <w:tcW w:w="3621" w:type="dxa"/>
            <w:gridSpan w:val="4"/>
            <w:shd w:val="clear" w:color="auto" w:fill="C6EFCE"/>
            <w:vAlign w:val="center"/>
          </w:tcPr>
          <w:p w:rsidRPr="00E03285" w:rsidR="00D87E44" w:rsidRDefault="00D87E44" w14:paraId="15459120" w14:textId="77777777">
            <w:pPr>
              <w:spacing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C 1.5: Digital Transformation of Enterprises  - Investment 1: European Digital Innovation Hubs</w:t>
            </w:r>
          </w:p>
        </w:tc>
        <w:tc>
          <w:tcPr>
            <w:tcW w:w="2407" w:type="dxa"/>
            <w:shd w:val="clear" w:color="auto" w:fill="C6EFCE"/>
            <w:vAlign w:val="center"/>
          </w:tcPr>
          <w:p w:rsidRPr="00E03285" w:rsidR="00D87E44" w:rsidRDefault="00D87E44" w14:paraId="15459121" w14:textId="77777777">
            <w:pPr>
              <w:spacing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Target</w:t>
            </w:r>
          </w:p>
        </w:tc>
        <w:tc>
          <w:tcPr>
            <w:tcW w:w="3169" w:type="dxa"/>
            <w:shd w:val="clear" w:color="auto" w:fill="C6EFCE"/>
            <w:vAlign w:val="center"/>
          </w:tcPr>
          <w:p w:rsidRPr="00BC0B43" w:rsidR="00D87E44" w:rsidRDefault="00D87E44" w14:paraId="15459122" w14:textId="77777777">
            <w:pPr>
              <w:spacing w:line="240" w:lineRule="auto"/>
              <w:jc w:val="center"/>
              <w:rPr>
                <w:rFonts w:eastAsia="Times New Roman"/>
                <w:noProof/>
                <w:color w:val="006100"/>
                <w:sz w:val="20"/>
                <w:szCs w:val="20"/>
                <w:lang w:val="en-IE"/>
              </w:rPr>
            </w:pPr>
            <w:r w:rsidRPr="00942390">
              <w:rPr>
                <w:rFonts w:eastAsia="Times New Roman"/>
                <w:noProof/>
                <w:color w:val="006100"/>
                <w:sz w:val="20"/>
                <w:szCs w:val="20"/>
                <w:lang w:val="en-IE"/>
              </w:rPr>
              <w:t xml:space="preserve">Disbursement of funds to the European </w:t>
            </w:r>
            <w:r w:rsidRPr="00942390">
              <w:rPr>
                <w:rFonts w:eastAsia="Times New Roman"/>
                <w:noProof/>
                <w:color w:val="006100"/>
                <w:sz w:val="20"/>
                <w:szCs w:val="20"/>
                <w:lang w:val="en-IE"/>
              </w:rPr>
              <w:t>Digital Innovation Hubs</w:t>
            </w:r>
          </w:p>
        </w:tc>
      </w:tr>
      <w:tr w:rsidRPr="00E03285" w:rsidR="00E3458A" w:rsidTr="00DA5950" w14:paraId="15459128" w14:textId="77777777">
        <w:trPr>
          <w:trHeight w:val="300"/>
        </w:trPr>
        <w:tc>
          <w:tcPr>
            <w:tcW w:w="1401" w:type="dxa"/>
            <w:shd w:val="clear" w:color="auto" w:fill="C6EFCE"/>
            <w:vAlign w:val="center"/>
            <w:hideMark/>
          </w:tcPr>
          <w:p w:rsidRPr="00E03285" w:rsidR="00D87E44" w:rsidRDefault="00D87E44" w14:paraId="15459124"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71</w:t>
            </w:r>
          </w:p>
        </w:tc>
        <w:tc>
          <w:tcPr>
            <w:tcW w:w="3621" w:type="dxa"/>
            <w:gridSpan w:val="4"/>
            <w:shd w:val="clear" w:color="auto" w:fill="C6EFCE"/>
            <w:vAlign w:val="center"/>
            <w:hideMark/>
          </w:tcPr>
          <w:p w:rsidRPr="00E03285" w:rsidR="00D87E44" w:rsidRDefault="00D87E44" w14:paraId="1545912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1.5: Digital Transformation of Enterprises - Investment 3: Digital transformation of </w:t>
            </w:r>
            <w:r w:rsidRPr="11186857">
              <w:rPr>
                <w:rFonts w:eastAsia="Times New Roman"/>
                <w:noProof/>
                <w:color w:val="006100"/>
                <w:sz w:val="20"/>
                <w:szCs w:val="20"/>
                <w:lang w:val="en-IE"/>
              </w:rPr>
              <w:t>businesses</w:t>
            </w:r>
          </w:p>
        </w:tc>
        <w:tc>
          <w:tcPr>
            <w:tcW w:w="2407" w:type="dxa"/>
            <w:shd w:val="clear" w:color="auto" w:fill="C6EFCE"/>
            <w:vAlign w:val="center"/>
            <w:hideMark/>
          </w:tcPr>
          <w:p w:rsidRPr="00E03285" w:rsidR="00D87E44" w:rsidRDefault="00D87E44" w14:paraId="15459126"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27" w14:textId="77777777">
            <w:pPr>
              <w:spacing w:line="240" w:lineRule="auto"/>
              <w:jc w:val="center"/>
              <w:rPr>
                <w:rFonts w:eastAsia="Times New Roman"/>
                <w:noProof/>
                <w:color w:val="006100"/>
                <w:sz w:val="20"/>
                <w:szCs w:val="20"/>
              </w:rPr>
            </w:pPr>
            <w:r w:rsidRPr="11186857">
              <w:rPr>
                <w:rFonts w:eastAsia="Times New Roman"/>
                <w:noProof/>
                <w:color w:val="006100"/>
                <w:sz w:val="20"/>
                <w:szCs w:val="20"/>
              </w:rPr>
              <w:t>Support</w:t>
            </w:r>
            <w:r w:rsidRPr="00B654F6">
              <w:rPr>
                <w:rFonts w:eastAsia="Times New Roman"/>
                <w:noProof/>
                <w:color w:val="006100"/>
                <w:sz w:val="20"/>
                <w:szCs w:val="20"/>
              </w:rPr>
              <w:t xml:space="preserve"> to </w:t>
            </w:r>
            <w:r w:rsidRPr="11186857">
              <w:rPr>
                <w:rFonts w:eastAsia="Times New Roman"/>
                <w:noProof/>
                <w:color w:val="006100"/>
                <w:sz w:val="20"/>
                <w:szCs w:val="20"/>
              </w:rPr>
              <w:t xml:space="preserve">businesses </w:t>
            </w:r>
            <w:r w:rsidRPr="00B654F6">
              <w:rPr>
                <w:rFonts w:eastAsia="Times New Roman"/>
                <w:noProof/>
                <w:color w:val="006100"/>
                <w:sz w:val="20"/>
                <w:szCs w:val="20"/>
              </w:rPr>
              <w:t>for digital transformation</w:t>
            </w:r>
          </w:p>
        </w:tc>
      </w:tr>
      <w:tr w:rsidR="00E3458A" w:rsidTr="00DA5950" w14:paraId="1545912D" w14:textId="77777777">
        <w:trPr>
          <w:trHeight w:val="300"/>
        </w:trPr>
        <w:tc>
          <w:tcPr>
            <w:tcW w:w="1401" w:type="dxa"/>
            <w:shd w:val="clear" w:color="auto" w:fill="C6EFCE"/>
            <w:vAlign w:val="center"/>
            <w:hideMark/>
          </w:tcPr>
          <w:p w:rsidR="00D87E44" w:rsidRDefault="00D87E44" w14:paraId="15459129" w14:textId="77777777">
            <w:pPr>
              <w:spacing w:line="240" w:lineRule="auto"/>
              <w:jc w:val="center"/>
              <w:rPr>
                <w:rFonts w:eastAsia="Times New Roman"/>
                <w:noProof/>
                <w:color w:val="004300"/>
                <w:sz w:val="20"/>
                <w:szCs w:val="20"/>
                <w:lang w:val="en-IE"/>
              </w:rPr>
            </w:pPr>
            <w:r w:rsidRPr="4278D20B">
              <w:rPr>
                <w:rFonts w:eastAsia="Times New Roman"/>
                <w:noProof/>
                <w:color w:val="004300"/>
                <w:sz w:val="20"/>
                <w:szCs w:val="20"/>
                <w:lang w:val="en-IE"/>
              </w:rPr>
              <w:t>261</w:t>
            </w:r>
          </w:p>
        </w:tc>
        <w:tc>
          <w:tcPr>
            <w:tcW w:w="3621" w:type="dxa"/>
            <w:gridSpan w:val="4"/>
            <w:shd w:val="clear" w:color="auto" w:fill="C6EFCE"/>
            <w:vAlign w:val="center"/>
            <w:hideMark/>
          </w:tcPr>
          <w:p w:rsidR="00D87E44" w:rsidRDefault="00D87E44" w14:paraId="1545912A" w14:textId="77777777">
            <w:pPr>
              <w:spacing w:line="240" w:lineRule="auto"/>
              <w:jc w:val="center"/>
              <w:rPr>
                <w:rFonts w:eastAsia="Times New Roman"/>
                <w:noProof/>
                <w:color w:val="006100"/>
                <w:sz w:val="20"/>
                <w:szCs w:val="20"/>
                <w:lang w:val="en-IE"/>
              </w:rPr>
            </w:pPr>
            <w:r w:rsidRPr="03E00515">
              <w:rPr>
                <w:rFonts w:eastAsia="Times New Roman"/>
                <w:noProof/>
                <w:color w:val="006100"/>
                <w:sz w:val="20"/>
                <w:szCs w:val="20"/>
                <w:lang w:val="en-IE"/>
              </w:rPr>
              <w:t xml:space="preserve">C 2.1: Sustainable Transport - Investment 3: Improving the </w:t>
            </w:r>
            <w:r w:rsidRPr="03E00515">
              <w:rPr>
                <w:rFonts w:eastAsia="Times New Roman"/>
                <w:noProof/>
                <w:color w:val="006100"/>
                <w:sz w:val="20"/>
                <w:szCs w:val="20"/>
                <w:lang w:val="en-IE"/>
              </w:rPr>
              <w:t>environment (railway infrastructure support)</w:t>
            </w:r>
          </w:p>
        </w:tc>
        <w:tc>
          <w:tcPr>
            <w:tcW w:w="2407" w:type="dxa"/>
            <w:shd w:val="clear" w:color="auto" w:fill="C6EFCE"/>
            <w:vAlign w:val="center"/>
            <w:hideMark/>
          </w:tcPr>
          <w:p w:rsidR="00D87E44" w:rsidRDefault="00D87E44" w14:paraId="1545912B" w14:textId="77777777">
            <w:pPr>
              <w:spacing w:line="240" w:lineRule="auto"/>
              <w:jc w:val="center"/>
              <w:rPr>
                <w:rFonts w:eastAsia="Times New Roman"/>
                <w:noProof/>
                <w:color w:val="006100"/>
                <w:sz w:val="20"/>
                <w:szCs w:val="20"/>
                <w:lang w:val="en-IE"/>
              </w:rPr>
            </w:pPr>
            <w:r w:rsidRPr="18B8E0EA">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2C" w14:textId="77777777">
            <w:pPr>
              <w:spacing w:line="240" w:lineRule="auto"/>
              <w:jc w:val="center"/>
              <w:rPr>
                <w:rFonts w:eastAsia="Times New Roman"/>
                <w:noProof/>
                <w:color w:val="006100"/>
                <w:sz w:val="20"/>
                <w:szCs w:val="20"/>
              </w:rPr>
            </w:pPr>
            <w:r w:rsidRPr="00B654F6">
              <w:rPr>
                <w:rFonts w:eastAsia="Times New Roman"/>
                <w:noProof/>
                <w:color w:val="006100"/>
                <w:sz w:val="20"/>
                <w:szCs w:val="20"/>
              </w:rPr>
              <w:t>Completion of 19 additional projects from a predefined set of projects</w:t>
            </w:r>
          </w:p>
        </w:tc>
      </w:tr>
      <w:tr w:rsidRPr="00E03285" w:rsidR="00E3458A" w:rsidTr="00DA5950" w14:paraId="15459132" w14:textId="77777777">
        <w:trPr>
          <w:trHeight w:val="300"/>
        </w:trPr>
        <w:tc>
          <w:tcPr>
            <w:tcW w:w="1401" w:type="dxa"/>
            <w:shd w:val="clear" w:color="auto" w:fill="C6EFCE"/>
            <w:vAlign w:val="center"/>
            <w:hideMark/>
          </w:tcPr>
          <w:p w:rsidRPr="00E03285" w:rsidR="00D87E44" w:rsidRDefault="00D87E44" w14:paraId="1545912E"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117</w:t>
            </w:r>
          </w:p>
        </w:tc>
        <w:tc>
          <w:tcPr>
            <w:tcW w:w="3621" w:type="dxa"/>
            <w:gridSpan w:val="4"/>
            <w:shd w:val="clear" w:color="auto" w:fill="C6EFCE"/>
            <w:vAlign w:val="center"/>
            <w:hideMark/>
          </w:tcPr>
          <w:p w:rsidRPr="00E03285" w:rsidR="00D87E44" w:rsidRDefault="00D87E44" w14:paraId="1545912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2.4: Clean Mobility - Investment 2: Building infrastructure – Recharging points for private companies</w:t>
            </w:r>
          </w:p>
        </w:tc>
        <w:tc>
          <w:tcPr>
            <w:tcW w:w="2407" w:type="dxa"/>
            <w:shd w:val="clear" w:color="auto" w:fill="C6EFCE"/>
            <w:vAlign w:val="center"/>
            <w:hideMark/>
          </w:tcPr>
          <w:p w:rsidRPr="00E03285" w:rsidR="00D87E44" w:rsidRDefault="00D87E44" w14:paraId="1545913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31" w14:textId="77777777">
            <w:pPr>
              <w:spacing w:line="240" w:lineRule="auto"/>
              <w:jc w:val="center"/>
              <w:rPr>
                <w:rFonts w:eastAsia="Times New Roman"/>
                <w:noProof/>
                <w:color w:val="006100"/>
                <w:sz w:val="20"/>
                <w:szCs w:val="20"/>
              </w:rPr>
            </w:pPr>
            <w:r w:rsidRPr="00B654F6">
              <w:rPr>
                <w:rFonts w:eastAsia="Times New Roman"/>
                <w:noProof/>
                <w:color w:val="006100"/>
                <w:sz w:val="20"/>
                <w:szCs w:val="20"/>
              </w:rPr>
              <w:t xml:space="preserve">Number of </w:t>
            </w:r>
            <w:r w:rsidRPr="00B654F6">
              <w:rPr>
                <w:rFonts w:eastAsia="Times New Roman"/>
                <w:noProof/>
                <w:color w:val="006100"/>
                <w:sz w:val="20"/>
                <w:szCs w:val="20"/>
              </w:rPr>
              <w:t>recharging points for private companies</w:t>
            </w:r>
          </w:p>
        </w:tc>
      </w:tr>
      <w:tr w:rsidRPr="00E03285" w:rsidR="00E3458A" w:rsidTr="00DA5950" w14:paraId="15459137" w14:textId="77777777">
        <w:trPr>
          <w:trHeight w:val="300"/>
        </w:trPr>
        <w:tc>
          <w:tcPr>
            <w:tcW w:w="1401" w:type="dxa"/>
            <w:shd w:val="clear" w:color="auto" w:fill="C6EFCE"/>
            <w:vAlign w:val="center"/>
            <w:hideMark/>
          </w:tcPr>
          <w:p w:rsidRPr="00E03285" w:rsidR="00D87E44" w:rsidRDefault="00D87E44" w14:paraId="15459133"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118</w:t>
            </w:r>
          </w:p>
        </w:tc>
        <w:tc>
          <w:tcPr>
            <w:tcW w:w="3621" w:type="dxa"/>
            <w:gridSpan w:val="4"/>
            <w:shd w:val="clear" w:color="auto" w:fill="C6EFCE"/>
            <w:vAlign w:val="center"/>
            <w:hideMark/>
          </w:tcPr>
          <w:p w:rsidRPr="00E03285" w:rsidR="00D87E44" w:rsidRDefault="00D87E44" w14:paraId="1545913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2.4: Clean Mobility - Investment 3: Building infrastructure – Recharging points for residential buildings</w:t>
            </w:r>
          </w:p>
        </w:tc>
        <w:tc>
          <w:tcPr>
            <w:tcW w:w="2407" w:type="dxa"/>
            <w:shd w:val="clear" w:color="auto" w:fill="C6EFCE"/>
            <w:vAlign w:val="center"/>
            <w:hideMark/>
          </w:tcPr>
          <w:p w:rsidRPr="00E03285" w:rsidR="00D87E44" w:rsidRDefault="00D87E44" w14:paraId="1545913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36" w14:textId="77777777">
            <w:pPr>
              <w:spacing w:line="240" w:lineRule="auto"/>
              <w:jc w:val="center"/>
              <w:rPr>
                <w:rFonts w:eastAsia="Times New Roman"/>
                <w:noProof/>
                <w:color w:val="006100"/>
                <w:sz w:val="20"/>
                <w:szCs w:val="20"/>
              </w:rPr>
            </w:pPr>
            <w:r w:rsidRPr="00B654F6">
              <w:rPr>
                <w:rFonts w:eastAsia="Times New Roman"/>
                <w:noProof/>
                <w:color w:val="006100"/>
                <w:sz w:val="20"/>
                <w:szCs w:val="20"/>
              </w:rPr>
              <w:t>Number of recharging points for residential buildings</w:t>
            </w:r>
          </w:p>
        </w:tc>
      </w:tr>
      <w:tr w:rsidR="00E3458A" w:rsidTr="00DA5950" w14:paraId="1545913D" w14:textId="77777777">
        <w:trPr>
          <w:trHeight w:val="300"/>
        </w:trPr>
        <w:tc>
          <w:tcPr>
            <w:tcW w:w="1401" w:type="dxa"/>
            <w:shd w:val="clear" w:color="auto" w:fill="C6EFCE"/>
            <w:vAlign w:val="center"/>
            <w:hideMark/>
          </w:tcPr>
          <w:p w:rsidR="00D87E44" w:rsidRDefault="00D87E44" w14:paraId="15459138" w14:textId="77777777">
            <w:pPr>
              <w:spacing w:line="240" w:lineRule="auto"/>
              <w:jc w:val="center"/>
              <w:rPr>
                <w:rFonts w:eastAsia="Times New Roman"/>
                <w:noProof/>
                <w:color w:val="004300"/>
                <w:sz w:val="20"/>
                <w:szCs w:val="20"/>
                <w:lang w:val="en-IE"/>
              </w:rPr>
            </w:pPr>
            <w:r w:rsidRPr="10864AE9">
              <w:rPr>
                <w:rFonts w:eastAsia="Times New Roman"/>
                <w:noProof/>
                <w:color w:val="004300"/>
                <w:sz w:val="20"/>
                <w:szCs w:val="20"/>
                <w:lang w:val="en-IE"/>
              </w:rPr>
              <w:t>119</w:t>
            </w:r>
          </w:p>
        </w:tc>
        <w:tc>
          <w:tcPr>
            <w:tcW w:w="3621" w:type="dxa"/>
            <w:gridSpan w:val="4"/>
            <w:shd w:val="clear" w:color="auto" w:fill="C6EFCE"/>
            <w:vAlign w:val="center"/>
            <w:hideMark/>
          </w:tcPr>
          <w:p w:rsidR="00D87E44" w:rsidRDefault="00D87E44" w14:paraId="15459139" w14:textId="77777777">
            <w:pPr>
              <w:spacing w:line="240" w:lineRule="auto"/>
              <w:jc w:val="center"/>
              <w:rPr>
                <w:rFonts w:eastAsia="Times New Roman"/>
                <w:noProof/>
                <w:color w:val="006100"/>
                <w:sz w:val="20"/>
                <w:szCs w:val="20"/>
                <w:lang w:val="en-IE"/>
              </w:rPr>
            </w:pPr>
            <w:r w:rsidRPr="4E57C747">
              <w:rPr>
                <w:rFonts w:eastAsia="Times New Roman"/>
                <w:noProof/>
                <w:color w:val="006100"/>
                <w:sz w:val="20"/>
                <w:szCs w:val="20"/>
                <w:lang w:val="en-IE"/>
              </w:rPr>
              <w:t xml:space="preserve">C 2.4: Clean Mobility - Investment 4: </w:t>
            </w:r>
            <w:bookmarkStart w:name="_Hlk215495039" w:id="19"/>
            <w:r w:rsidRPr="4E57C747">
              <w:rPr>
                <w:rFonts w:eastAsia="Times New Roman"/>
                <w:noProof/>
                <w:color w:val="006100"/>
                <w:sz w:val="20"/>
                <w:szCs w:val="20"/>
                <w:lang w:val="en-IE"/>
              </w:rPr>
              <w:t xml:space="preserve">Aid for purchase of vehicles – </w:t>
            </w:r>
            <w:r>
              <w:rPr>
                <w:rFonts w:eastAsia="Times New Roman"/>
                <w:noProof/>
                <w:color w:val="006100"/>
                <w:sz w:val="20"/>
                <w:szCs w:val="20"/>
                <w:lang w:val="en-IE"/>
              </w:rPr>
              <w:t xml:space="preserve">zero-emission </w:t>
            </w:r>
            <w:r w:rsidRPr="4E57C747">
              <w:rPr>
                <w:rFonts w:eastAsia="Times New Roman"/>
                <w:noProof/>
                <w:color w:val="006100"/>
                <w:sz w:val="20"/>
                <w:szCs w:val="20"/>
                <w:lang w:val="en-IE"/>
              </w:rPr>
              <w:t>vehicles  for private companies</w:t>
            </w:r>
            <w:bookmarkEnd w:id="19"/>
          </w:p>
        </w:tc>
        <w:tc>
          <w:tcPr>
            <w:tcW w:w="2407" w:type="dxa"/>
            <w:shd w:val="clear" w:color="auto" w:fill="C6EFCE"/>
            <w:vAlign w:val="center"/>
            <w:hideMark/>
          </w:tcPr>
          <w:p w:rsidR="00D87E44" w:rsidRDefault="00D87E44" w14:paraId="1545913A" w14:textId="77777777">
            <w:pPr>
              <w:spacing w:line="240" w:lineRule="auto"/>
              <w:jc w:val="center"/>
              <w:rPr>
                <w:rFonts w:eastAsia="Times New Roman"/>
                <w:noProof/>
                <w:color w:val="006100"/>
                <w:sz w:val="20"/>
                <w:szCs w:val="20"/>
                <w:lang w:val="en-IE"/>
              </w:rPr>
            </w:pPr>
            <w:r w:rsidRPr="10864AE9">
              <w:rPr>
                <w:rFonts w:eastAsia="Times New Roman"/>
                <w:noProof/>
                <w:color w:val="006100"/>
                <w:sz w:val="20"/>
                <w:szCs w:val="20"/>
                <w:lang w:val="en-IE"/>
              </w:rPr>
              <w:t>Target</w:t>
            </w:r>
          </w:p>
          <w:p w:rsidR="00D87E44" w:rsidRDefault="00D87E44" w14:paraId="1545913B" w14:textId="77777777">
            <w:pPr>
              <w:spacing w:line="240" w:lineRule="auto"/>
              <w:jc w:val="center"/>
              <w:rPr>
                <w:rFonts w:eastAsia="Times New Roman"/>
                <w:noProof/>
                <w:color w:val="006100"/>
                <w:sz w:val="20"/>
                <w:szCs w:val="20"/>
                <w:lang w:val="en-IE"/>
              </w:rPr>
            </w:pPr>
          </w:p>
        </w:tc>
        <w:tc>
          <w:tcPr>
            <w:tcW w:w="3169" w:type="dxa"/>
            <w:shd w:val="clear" w:color="auto" w:fill="C6EFCE"/>
            <w:vAlign w:val="center"/>
            <w:hideMark/>
          </w:tcPr>
          <w:p w:rsidRPr="00B654F6" w:rsidR="00D87E44" w:rsidRDefault="00D87E44" w14:paraId="1545913C" w14:textId="77777777">
            <w:pPr>
              <w:spacing w:line="240" w:lineRule="auto"/>
              <w:jc w:val="center"/>
              <w:rPr>
                <w:rFonts w:eastAsia="Times New Roman"/>
                <w:noProof/>
                <w:color w:val="006100"/>
                <w:sz w:val="20"/>
                <w:szCs w:val="20"/>
              </w:rPr>
            </w:pPr>
            <w:r w:rsidRPr="4A45BCA2">
              <w:rPr>
                <w:rFonts w:eastAsia="Times New Roman"/>
                <w:noProof/>
                <w:color w:val="006100"/>
                <w:sz w:val="20"/>
                <w:szCs w:val="20"/>
              </w:rPr>
              <w:t>Number of vehicles  for private companies</w:t>
            </w:r>
          </w:p>
        </w:tc>
      </w:tr>
      <w:tr w:rsidR="50AE2040" w:rsidTr="00756143" w14:paraId="15459142" w14:textId="77777777">
        <w:trPr>
          <w:trHeight w:val="300"/>
        </w:trPr>
        <w:tc>
          <w:tcPr>
            <w:tcW w:w="1491" w:type="dxa"/>
            <w:gridSpan w:val="2"/>
            <w:shd w:val="clear" w:color="auto" w:fill="C6EFCE"/>
          </w:tcPr>
          <w:p w:rsidRPr="009E2ECA" w:rsidR="00D87E44" w:rsidP="009E2ECA" w:rsidRDefault="00D87E44" w14:paraId="1545913E" w14:textId="77777777">
            <w:pPr>
              <w:spacing w:line="240" w:lineRule="auto"/>
              <w:jc w:val="center"/>
              <w:rPr>
                <w:rFonts w:eastAsia="Times New Roman"/>
                <w:noProof/>
                <w:color w:val="006100"/>
                <w:sz w:val="20"/>
                <w:szCs w:val="20"/>
                <w:lang w:val="en-IE"/>
              </w:rPr>
            </w:pPr>
            <w:r w:rsidRPr="009E2ECA">
              <w:rPr>
                <w:rFonts w:eastAsia="Times New Roman"/>
                <w:noProof/>
                <w:color w:val="006100"/>
                <w:sz w:val="20"/>
                <w:szCs w:val="20"/>
                <w:lang w:val="en-IE"/>
              </w:rPr>
              <w:t>121</w:t>
            </w:r>
          </w:p>
        </w:tc>
        <w:tc>
          <w:tcPr>
            <w:tcW w:w="3471" w:type="dxa"/>
            <w:gridSpan w:val="2"/>
            <w:shd w:val="clear" w:color="auto" w:fill="C6EFCE"/>
          </w:tcPr>
          <w:p w:rsidR="00D87E44" w:rsidP="009E2ECA" w:rsidRDefault="00D87E44" w14:paraId="1545913F" w14:textId="77777777">
            <w:pPr>
              <w:spacing w:line="240" w:lineRule="auto"/>
              <w:jc w:val="center"/>
              <w:rPr>
                <w:rFonts w:eastAsia="Times New Roman"/>
                <w:noProof/>
                <w:color w:val="006100"/>
                <w:sz w:val="20"/>
                <w:szCs w:val="20"/>
                <w:lang w:val="en-IE"/>
              </w:rPr>
            </w:pPr>
            <w:r w:rsidRPr="4E57C747">
              <w:rPr>
                <w:rFonts w:eastAsia="Times New Roman"/>
                <w:noProof/>
                <w:color w:val="006100"/>
                <w:sz w:val="20"/>
                <w:szCs w:val="20"/>
                <w:lang w:val="en-IE"/>
              </w:rPr>
              <w:t xml:space="preserve">C 2.4: Clean Mobility - Investment 5: Aid for purchase of </w:t>
            </w:r>
            <w:r>
              <w:rPr>
                <w:rFonts w:eastAsia="Times New Roman"/>
                <w:noProof/>
                <w:color w:val="006100"/>
                <w:sz w:val="20"/>
                <w:szCs w:val="20"/>
                <w:lang w:val="en-IE"/>
              </w:rPr>
              <w:t xml:space="preserve">zero-emission </w:t>
            </w:r>
            <w:r w:rsidRPr="4E57C747">
              <w:rPr>
                <w:rFonts w:eastAsia="Times New Roman"/>
                <w:noProof/>
                <w:color w:val="006100"/>
                <w:sz w:val="20"/>
                <w:szCs w:val="20"/>
                <w:lang w:val="en-IE"/>
              </w:rPr>
              <w:t>vehicles  and infrastructure for municipalities, regions, state administration and other public entities</w:t>
            </w:r>
          </w:p>
        </w:tc>
        <w:tc>
          <w:tcPr>
            <w:tcW w:w="2467" w:type="dxa"/>
            <w:gridSpan w:val="2"/>
            <w:shd w:val="clear" w:color="auto" w:fill="C6EFCE"/>
          </w:tcPr>
          <w:p w:rsidR="00D87E44" w:rsidP="009E2ECA" w:rsidRDefault="00D87E44" w14:paraId="15459140" w14:textId="77777777">
            <w:pPr>
              <w:spacing w:line="240" w:lineRule="auto"/>
              <w:jc w:val="center"/>
              <w:rPr>
                <w:rFonts w:eastAsia="Times New Roman"/>
                <w:noProof/>
                <w:color w:val="006100"/>
                <w:sz w:val="20"/>
                <w:szCs w:val="20"/>
                <w:lang w:val="en-IE"/>
              </w:rPr>
            </w:pPr>
            <w:r w:rsidRPr="50AE2040">
              <w:rPr>
                <w:rFonts w:eastAsia="Times New Roman"/>
                <w:noProof/>
                <w:color w:val="006100"/>
                <w:sz w:val="20"/>
                <w:szCs w:val="20"/>
                <w:lang w:val="en-IE"/>
              </w:rPr>
              <w:t>Target</w:t>
            </w:r>
          </w:p>
        </w:tc>
        <w:tc>
          <w:tcPr>
            <w:tcW w:w="3169" w:type="dxa"/>
            <w:shd w:val="clear" w:color="auto" w:fill="C6EFCE"/>
          </w:tcPr>
          <w:p w:rsidR="00D87E44" w:rsidP="009E2ECA" w:rsidRDefault="00D87E44" w14:paraId="15459141" w14:textId="77777777">
            <w:pPr>
              <w:spacing w:line="240" w:lineRule="auto"/>
              <w:jc w:val="center"/>
              <w:rPr>
                <w:rFonts w:eastAsia="Times New Roman"/>
                <w:noProof/>
                <w:color w:val="006100"/>
                <w:sz w:val="20"/>
                <w:szCs w:val="20"/>
                <w:lang w:val="en-IE"/>
              </w:rPr>
            </w:pPr>
            <w:r w:rsidRPr="50AE2040">
              <w:rPr>
                <w:rFonts w:eastAsia="Times New Roman"/>
                <w:noProof/>
                <w:color w:val="006100"/>
                <w:sz w:val="20"/>
                <w:szCs w:val="20"/>
                <w:lang w:val="en-IE"/>
              </w:rPr>
              <w:t>Number of charging stations for municipalities, regions, state administration and other public entities</w:t>
            </w:r>
          </w:p>
        </w:tc>
      </w:tr>
      <w:tr w:rsidR="00D226F4" w:rsidTr="00756143" w14:paraId="15459147" w14:textId="77777777">
        <w:trPr>
          <w:trHeight w:val="300"/>
        </w:trPr>
        <w:tc>
          <w:tcPr>
            <w:tcW w:w="1491" w:type="dxa"/>
            <w:gridSpan w:val="2"/>
            <w:shd w:val="clear" w:color="auto" w:fill="C6EFCE"/>
            <w:vAlign w:val="center"/>
            <w:hideMark/>
          </w:tcPr>
          <w:p w:rsidR="00D87E44" w:rsidRDefault="00D87E44" w14:paraId="15459143"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123</w:t>
            </w:r>
          </w:p>
        </w:tc>
        <w:tc>
          <w:tcPr>
            <w:tcW w:w="3471" w:type="dxa"/>
            <w:gridSpan w:val="2"/>
            <w:shd w:val="clear" w:color="auto" w:fill="C6EFCE"/>
            <w:vAlign w:val="center"/>
            <w:hideMark/>
          </w:tcPr>
          <w:p w:rsidR="00D87E44" w:rsidRDefault="00D87E44" w14:paraId="15459144" w14:textId="77777777">
            <w:pPr>
              <w:spacing w:before="0" w:after="0" w:line="240" w:lineRule="auto"/>
              <w:jc w:val="center"/>
              <w:rPr>
                <w:noProof/>
              </w:rPr>
            </w:pPr>
            <w:r w:rsidRPr="387B5440">
              <w:rPr>
                <w:rFonts w:eastAsia="Times New Roman"/>
                <w:noProof/>
                <w:color w:val="006100"/>
                <w:sz w:val="20"/>
                <w:szCs w:val="20"/>
                <w:lang w:val="en-IE"/>
              </w:rPr>
              <w:t xml:space="preserve">C 2.5: Building Renovation and Air Protection - Reform 1:  Environmental Education and Awareness on Climate Change  </w:t>
            </w:r>
          </w:p>
        </w:tc>
        <w:tc>
          <w:tcPr>
            <w:tcW w:w="2467" w:type="dxa"/>
            <w:gridSpan w:val="2"/>
            <w:shd w:val="clear" w:color="auto" w:fill="C6EFCE"/>
            <w:vAlign w:val="center"/>
            <w:hideMark/>
          </w:tcPr>
          <w:p w:rsidR="00D87E44" w:rsidRDefault="00D87E44" w14:paraId="15459145"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69" w:type="dxa"/>
            <w:shd w:val="clear" w:color="auto" w:fill="C6EFCE"/>
            <w:vAlign w:val="center"/>
            <w:hideMark/>
          </w:tcPr>
          <w:p w:rsidR="00D87E44" w:rsidRDefault="00D87E44" w14:paraId="15459146" w14:textId="77777777">
            <w:pPr>
              <w:spacing w:before="0" w:after="0" w:line="240" w:lineRule="auto"/>
              <w:jc w:val="center"/>
              <w:rPr>
                <w:noProof/>
              </w:rPr>
            </w:pPr>
            <w:r w:rsidRPr="3EEADA77">
              <w:rPr>
                <w:rFonts w:eastAsia="Times New Roman"/>
                <w:noProof/>
                <w:color w:val="006100"/>
                <w:sz w:val="20"/>
                <w:szCs w:val="20"/>
                <w:lang w:val="en-IE"/>
              </w:rPr>
              <w:t>Environmental Education</w:t>
            </w:r>
            <w:r w:rsidRPr="387B5440">
              <w:rPr>
                <w:rFonts w:eastAsia="Times New Roman"/>
                <w:noProof/>
                <w:color w:val="006100"/>
                <w:sz w:val="20"/>
                <w:szCs w:val="20"/>
                <w:lang w:val="en-IE"/>
              </w:rPr>
              <w:t xml:space="preserve"> and </w:t>
            </w:r>
            <w:r w:rsidRPr="3EEADA77">
              <w:rPr>
                <w:rFonts w:eastAsia="Times New Roman"/>
                <w:noProof/>
                <w:color w:val="006100"/>
                <w:sz w:val="20"/>
                <w:szCs w:val="20"/>
                <w:lang w:val="en-IE"/>
              </w:rPr>
              <w:t xml:space="preserve">Awareness on Climate Change  </w:t>
            </w:r>
          </w:p>
        </w:tc>
      </w:tr>
      <w:tr w:rsidR="00D226F4" w:rsidTr="00756143" w14:paraId="1545914C" w14:textId="77777777">
        <w:trPr>
          <w:trHeight w:val="300"/>
        </w:trPr>
        <w:tc>
          <w:tcPr>
            <w:tcW w:w="1491" w:type="dxa"/>
            <w:gridSpan w:val="2"/>
            <w:shd w:val="clear" w:color="auto" w:fill="C6EFCE"/>
            <w:vAlign w:val="center"/>
            <w:hideMark/>
          </w:tcPr>
          <w:p w:rsidR="00D87E44" w:rsidRDefault="00D87E44" w14:paraId="15459148"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126</w:t>
            </w:r>
          </w:p>
        </w:tc>
        <w:tc>
          <w:tcPr>
            <w:tcW w:w="3471" w:type="dxa"/>
            <w:gridSpan w:val="2"/>
            <w:shd w:val="clear" w:color="auto" w:fill="C6EFCE"/>
            <w:vAlign w:val="center"/>
            <w:hideMark/>
          </w:tcPr>
          <w:p w:rsidR="00D87E44" w:rsidRDefault="00D87E44" w14:paraId="15459149"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 xml:space="preserve">C 2.5: Building Renovation and Air Protection - Investment 1: </w:t>
            </w:r>
            <w:r w:rsidRPr="456DE159">
              <w:rPr>
                <w:rFonts w:eastAsia="Times New Roman"/>
                <w:noProof/>
                <w:color w:val="006100"/>
                <w:sz w:val="20"/>
                <w:szCs w:val="20"/>
                <w:lang w:val="en-IE"/>
              </w:rPr>
              <w:t>Renovation and revitalisation of buildings for energy savings</w:t>
            </w:r>
          </w:p>
        </w:tc>
        <w:tc>
          <w:tcPr>
            <w:tcW w:w="2467" w:type="dxa"/>
            <w:gridSpan w:val="2"/>
            <w:shd w:val="clear" w:color="auto" w:fill="C6EFCE"/>
            <w:vAlign w:val="center"/>
            <w:hideMark/>
          </w:tcPr>
          <w:p w:rsidR="00D87E44" w:rsidRDefault="00D87E44" w14:paraId="1545914A"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Target</w:t>
            </w:r>
          </w:p>
        </w:tc>
        <w:tc>
          <w:tcPr>
            <w:tcW w:w="3169" w:type="dxa"/>
            <w:shd w:val="clear" w:color="auto" w:fill="C6EFCE"/>
            <w:vAlign w:val="center"/>
            <w:hideMark/>
          </w:tcPr>
          <w:p w:rsidR="00D87E44" w:rsidRDefault="00D87E44" w14:paraId="1545914B"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Reduction of energy consumption</w:t>
            </w:r>
            <w:r w:rsidRPr="387B5440">
              <w:rPr>
                <w:rFonts w:eastAsia="Times New Roman"/>
                <w:noProof/>
                <w:color w:val="000000" w:themeColor="text1"/>
                <w:sz w:val="20"/>
                <w:szCs w:val="20"/>
                <w:lang w:val="en-IE"/>
              </w:rPr>
              <w:t xml:space="preserve"> </w:t>
            </w:r>
          </w:p>
        </w:tc>
      </w:tr>
      <w:tr w:rsidR="00D226F4" w:rsidTr="00756143" w14:paraId="15459151" w14:textId="77777777">
        <w:trPr>
          <w:trHeight w:val="300"/>
        </w:trPr>
        <w:tc>
          <w:tcPr>
            <w:tcW w:w="1491" w:type="dxa"/>
            <w:gridSpan w:val="2"/>
            <w:shd w:val="clear" w:color="auto" w:fill="C6EFCE"/>
            <w:vAlign w:val="center"/>
            <w:hideMark/>
          </w:tcPr>
          <w:p w:rsidR="00D87E44" w:rsidRDefault="00D87E44" w14:paraId="1545914D"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129</w:t>
            </w:r>
          </w:p>
        </w:tc>
        <w:tc>
          <w:tcPr>
            <w:tcW w:w="3471" w:type="dxa"/>
            <w:gridSpan w:val="2"/>
            <w:shd w:val="clear" w:color="auto" w:fill="C6EFCE"/>
            <w:vAlign w:val="center"/>
            <w:hideMark/>
          </w:tcPr>
          <w:p w:rsidR="00D87E44" w:rsidRDefault="00D87E44" w14:paraId="1545914E"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 xml:space="preserve">C 2.5: Building Renovation and Air Protection - Investment 2: Replacement </w:t>
            </w:r>
            <w:r w:rsidRPr="456DE159">
              <w:rPr>
                <w:rFonts w:eastAsia="Times New Roman"/>
                <w:noProof/>
                <w:color w:val="006100"/>
                <w:sz w:val="20"/>
                <w:szCs w:val="20"/>
                <w:lang w:val="en-IE"/>
              </w:rPr>
              <w:lastRenderedPageBreak/>
              <w:t>of stationary sources of pollution in households with renewable energy sources</w:t>
            </w:r>
          </w:p>
        </w:tc>
        <w:tc>
          <w:tcPr>
            <w:tcW w:w="2467" w:type="dxa"/>
            <w:gridSpan w:val="2"/>
            <w:shd w:val="clear" w:color="auto" w:fill="C6EFCE"/>
            <w:vAlign w:val="center"/>
            <w:hideMark/>
          </w:tcPr>
          <w:p w:rsidR="00D87E44" w:rsidRDefault="00D87E44" w14:paraId="1545914F"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lastRenderedPageBreak/>
              <w:t>Target</w:t>
            </w:r>
          </w:p>
        </w:tc>
        <w:tc>
          <w:tcPr>
            <w:tcW w:w="3169" w:type="dxa"/>
            <w:shd w:val="clear" w:color="auto" w:fill="C6EFCE"/>
            <w:vAlign w:val="center"/>
            <w:hideMark/>
          </w:tcPr>
          <w:p w:rsidR="00D87E44" w:rsidRDefault="00D87E44" w14:paraId="15459150"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Reduction of CO2 emissions</w:t>
            </w:r>
          </w:p>
        </w:tc>
      </w:tr>
      <w:tr w:rsidR="00D226F4" w:rsidTr="00756143" w14:paraId="15459156" w14:textId="77777777">
        <w:trPr>
          <w:trHeight w:val="300"/>
        </w:trPr>
        <w:tc>
          <w:tcPr>
            <w:tcW w:w="1491" w:type="dxa"/>
            <w:gridSpan w:val="2"/>
            <w:shd w:val="clear" w:color="auto" w:fill="C6EFCE"/>
            <w:vAlign w:val="center"/>
            <w:hideMark/>
          </w:tcPr>
          <w:p w:rsidR="00D87E44" w:rsidRDefault="00D87E44" w14:paraId="15459152" w14:textId="77777777">
            <w:pPr>
              <w:spacing w:before="0" w:after="0" w:line="240" w:lineRule="auto"/>
              <w:jc w:val="center"/>
              <w:rPr>
                <w:rFonts w:eastAsia="Times New Roman"/>
                <w:noProof/>
                <w:color w:val="004300"/>
                <w:sz w:val="20"/>
                <w:szCs w:val="20"/>
                <w:lang w:val="en-IE"/>
              </w:rPr>
            </w:pPr>
            <w:r w:rsidRPr="456DE159">
              <w:rPr>
                <w:rFonts w:eastAsia="Times New Roman"/>
                <w:noProof/>
                <w:color w:val="004300"/>
                <w:sz w:val="20"/>
                <w:szCs w:val="20"/>
                <w:lang w:val="en-IE"/>
              </w:rPr>
              <w:t>162</w:t>
            </w:r>
          </w:p>
        </w:tc>
        <w:tc>
          <w:tcPr>
            <w:tcW w:w="3471" w:type="dxa"/>
            <w:gridSpan w:val="2"/>
            <w:shd w:val="clear" w:color="auto" w:fill="C6EFCE"/>
            <w:vAlign w:val="center"/>
            <w:hideMark/>
          </w:tcPr>
          <w:p w:rsidR="00D87E44" w:rsidRDefault="00D87E44" w14:paraId="15459153"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C 2.9: Promotion of Biodiversity and Fight against Drought - Investment 1: Protection against droughts and floods of the city of Brno</w:t>
            </w:r>
          </w:p>
        </w:tc>
        <w:tc>
          <w:tcPr>
            <w:tcW w:w="2467" w:type="dxa"/>
            <w:gridSpan w:val="2"/>
            <w:shd w:val="clear" w:color="auto" w:fill="C6EFCE"/>
            <w:vAlign w:val="center"/>
            <w:hideMark/>
          </w:tcPr>
          <w:p w:rsidR="00D87E44" w:rsidRDefault="00D87E44" w14:paraId="15459154"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Milestone</w:t>
            </w:r>
          </w:p>
        </w:tc>
        <w:tc>
          <w:tcPr>
            <w:tcW w:w="3169" w:type="dxa"/>
            <w:shd w:val="clear" w:color="auto" w:fill="C6EFCE"/>
            <w:vAlign w:val="center"/>
            <w:hideMark/>
          </w:tcPr>
          <w:p w:rsidR="00D87E44" w:rsidRDefault="00D87E44" w14:paraId="15459155" w14:textId="77777777">
            <w:pPr>
              <w:spacing w:before="0" w:after="0" w:line="240" w:lineRule="auto"/>
              <w:jc w:val="center"/>
              <w:rPr>
                <w:rFonts w:eastAsia="Times New Roman"/>
                <w:noProof/>
                <w:color w:val="006100"/>
                <w:sz w:val="20"/>
                <w:szCs w:val="20"/>
                <w:lang w:val="en-IE"/>
              </w:rPr>
            </w:pPr>
            <w:r w:rsidRPr="5453E344">
              <w:rPr>
                <w:rFonts w:eastAsia="Times New Roman"/>
                <w:noProof/>
                <w:color w:val="006100"/>
                <w:sz w:val="20"/>
                <w:szCs w:val="20"/>
                <w:lang w:val="en-IE"/>
              </w:rPr>
              <w:t xml:space="preserve">Handover </w:t>
            </w:r>
            <w:bookmarkStart w:name="_Hlk213800514" w:id="20"/>
            <w:r w:rsidRPr="009E2ECA">
              <w:rPr>
                <w:rFonts w:eastAsia="Times New Roman"/>
                <w:noProof/>
                <w:color w:val="006100"/>
                <w:sz w:val="20"/>
                <w:szCs w:val="20"/>
                <w:lang w:val="en-IE"/>
              </w:rPr>
              <w:t>protocols</w:t>
            </w:r>
            <w:bookmarkEnd w:id="20"/>
            <w:r w:rsidRPr="5453E344">
              <w:rPr>
                <w:rFonts w:eastAsia="Times New Roman"/>
                <w:noProof/>
                <w:color w:val="006100"/>
                <w:sz w:val="20"/>
                <w:szCs w:val="20"/>
                <w:lang w:val="en-IE"/>
              </w:rPr>
              <w:t xml:space="preserve"> for the flood protection project</w:t>
            </w:r>
          </w:p>
        </w:tc>
      </w:tr>
      <w:tr w:rsidR="00D226F4" w:rsidTr="00756143" w14:paraId="1545915B" w14:textId="77777777">
        <w:trPr>
          <w:trHeight w:val="300"/>
        </w:trPr>
        <w:tc>
          <w:tcPr>
            <w:tcW w:w="1491" w:type="dxa"/>
            <w:gridSpan w:val="2"/>
            <w:shd w:val="clear" w:color="auto" w:fill="C6EFCE"/>
            <w:vAlign w:val="center"/>
            <w:hideMark/>
          </w:tcPr>
          <w:p w:rsidR="00D87E44" w:rsidRDefault="00D87E44" w14:paraId="15459157" w14:textId="77777777">
            <w:pPr>
              <w:spacing w:before="0" w:after="0" w:line="240" w:lineRule="auto"/>
              <w:jc w:val="center"/>
              <w:rPr>
                <w:rFonts w:eastAsia="Times New Roman"/>
                <w:noProof/>
                <w:color w:val="004300"/>
                <w:sz w:val="20"/>
                <w:szCs w:val="20"/>
                <w:lang w:val="en-IE"/>
              </w:rPr>
            </w:pPr>
            <w:r w:rsidRPr="456DE159">
              <w:rPr>
                <w:rFonts w:eastAsia="Times New Roman"/>
                <w:noProof/>
                <w:color w:val="004300"/>
                <w:sz w:val="20"/>
                <w:szCs w:val="20"/>
                <w:lang w:val="en-IE"/>
              </w:rPr>
              <w:t>163</w:t>
            </w:r>
          </w:p>
        </w:tc>
        <w:tc>
          <w:tcPr>
            <w:tcW w:w="3471" w:type="dxa"/>
            <w:gridSpan w:val="2"/>
            <w:shd w:val="clear" w:color="auto" w:fill="C6EFCE"/>
            <w:vAlign w:val="center"/>
            <w:hideMark/>
          </w:tcPr>
          <w:p w:rsidR="00D87E44" w:rsidRDefault="00D87E44" w14:paraId="15459158"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C 2.9: Promotion of Biodiversity and Fight against Drought - Investment 2: Rainwater management in urban agglomerations</w:t>
            </w:r>
          </w:p>
        </w:tc>
        <w:tc>
          <w:tcPr>
            <w:tcW w:w="2467" w:type="dxa"/>
            <w:gridSpan w:val="2"/>
            <w:shd w:val="clear" w:color="auto" w:fill="C6EFCE"/>
            <w:vAlign w:val="center"/>
            <w:hideMark/>
          </w:tcPr>
          <w:p w:rsidR="00D87E44" w:rsidRDefault="00D87E44" w14:paraId="15459159"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Target</w:t>
            </w:r>
          </w:p>
        </w:tc>
        <w:tc>
          <w:tcPr>
            <w:tcW w:w="3169" w:type="dxa"/>
            <w:shd w:val="clear" w:color="auto" w:fill="C6EFCE"/>
            <w:vAlign w:val="center"/>
            <w:hideMark/>
          </w:tcPr>
          <w:p w:rsidR="00D87E44" w:rsidRDefault="00D87E44" w14:paraId="1545915A" w14:textId="77777777">
            <w:pPr>
              <w:spacing w:before="0" w:after="0" w:line="240" w:lineRule="auto"/>
              <w:jc w:val="center"/>
              <w:rPr>
                <w:rFonts w:eastAsia="Times New Roman"/>
                <w:noProof/>
                <w:color w:val="006100"/>
                <w:sz w:val="20"/>
                <w:szCs w:val="20"/>
                <w:lang w:val="en-IE"/>
              </w:rPr>
            </w:pPr>
            <w:r w:rsidRPr="6D1BE2BA">
              <w:rPr>
                <w:rFonts w:eastAsia="Times New Roman"/>
                <w:noProof/>
                <w:color w:val="006100"/>
                <w:sz w:val="20"/>
                <w:szCs w:val="20"/>
                <w:lang w:val="en-IE"/>
              </w:rPr>
              <w:t>Rainwater</w:t>
            </w:r>
            <w:r w:rsidRPr="456DE159">
              <w:rPr>
                <w:rFonts w:eastAsia="Times New Roman"/>
                <w:noProof/>
                <w:color w:val="006100"/>
                <w:sz w:val="20"/>
                <w:szCs w:val="20"/>
                <w:lang w:val="en-IE"/>
              </w:rPr>
              <w:t xml:space="preserve"> management measures in urban areas</w:t>
            </w:r>
          </w:p>
        </w:tc>
      </w:tr>
      <w:tr w:rsidR="00D226F4" w:rsidTr="00756143" w14:paraId="15459160" w14:textId="77777777">
        <w:trPr>
          <w:trHeight w:val="300"/>
        </w:trPr>
        <w:tc>
          <w:tcPr>
            <w:tcW w:w="1491" w:type="dxa"/>
            <w:gridSpan w:val="2"/>
            <w:shd w:val="clear" w:color="auto" w:fill="C6EFCE"/>
            <w:vAlign w:val="center"/>
            <w:hideMark/>
          </w:tcPr>
          <w:p w:rsidR="00D87E44" w:rsidRDefault="00D87E44" w14:paraId="1545915C" w14:textId="77777777">
            <w:pPr>
              <w:spacing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262</w:t>
            </w:r>
          </w:p>
        </w:tc>
        <w:tc>
          <w:tcPr>
            <w:tcW w:w="3471" w:type="dxa"/>
            <w:gridSpan w:val="2"/>
            <w:shd w:val="clear" w:color="auto" w:fill="C6EFCE"/>
            <w:vAlign w:val="center"/>
            <w:hideMark/>
          </w:tcPr>
          <w:p w:rsidR="00D87E44" w:rsidRDefault="00D87E44" w14:paraId="1545915D" w14:textId="77777777">
            <w:pPr>
              <w:spacing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C 2.9: Promotion of Biodiversity and Fight against Drought - Reform 2: Establishment of landscape policy and planning</w:t>
            </w:r>
          </w:p>
        </w:tc>
        <w:tc>
          <w:tcPr>
            <w:tcW w:w="2467" w:type="dxa"/>
            <w:gridSpan w:val="2"/>
            <w:shd w:val="clear" w:color="auto" w:fill="C6EFCE"/>
            <w:vAlign w:val="center"/>
            <w:hideMark/>
          </w:tcPr>
          <w:p w:rsidR="00D87E44" w:rsidRDefault="00D87E44" w14:paraId="1545915E" w14:textId="77777777">
            <w:pPr>
              <w:spacing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Milestone</w:t>
            </w:r>
          </w:p>
        </w:tc>
        <w:tc>
          <w:tcPr>
            <w:tcW w:w="3169" w:type="dxa"/>
            <w:shd w:val="clear" w:color="auto" w:fill="C6EFCE"/>
            <w:vAlign w:val="center"/>
            <w:hideMark/>
          </w:tcPr>
          <w:p w:rsidR="00D87E44" w:rsidRDefault="00D87E44" w14:paraId="1545915F" w14:textId="77777777">
            <w:pPr>
              <w:spacing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Adoption of an integrated landscape policy and planning</w:t>
            </w:r>
          </w:p>
        </w:tc>
      </w:tr>
      <w:tr w:rsidR="00E3458A" w:rsidTr="009F54AF" w14:paraId="15459165" w14:textId="77777777">
        <w:trPr>
          <w:trHeight w:val="300"/>
        </w:trPr>
        <w:tc>
          <w:tcPr>
            <w:tcW w:w="1560" w:type="dxa"/>
            <w:gridSpan w:val="3"/>
            <w:shd w:val="clear" w:color="auto" w:fill="C6EFCE"/>
            <w:vAlign w:val="center"/>
            <w:hideMark/>
          </w:tcPr>
          <w:p w:rsidR="00D87E44" w:rsidRDefault="00D87E44" w14:paraId="15459161" w14:textId="77777777">
            <w:pPr>
              <w:spacing w:line="240" w:lineRule="auto"/>
              <w:jc w:val="center"/>
              <w:rPr>
                <w:rFonts w:eastAsia="Times New Roman"/>
                <w:noProof/>
                <w:color w:val="004300"/>
                <w:sz w:val="20"/>
                <w:szCs w:val="20"/>
                <w:lang w:val="en-IE"/>
              </w:rPr>
            </w:pPr>
            <w:r w:rsidRPr="7E02DA80">
              <w:rPr>
                <w:rFonts w:eastAsia="Times New Roman"/>
                <w:noProof/>
                <w:color w:val="004300"/>
                <w:sz w:val="20"/>
                <w:szCs w:val="20"/>
                <w:lang w:val="en-IE"/>
              </w:rPr>
              <w:t>216</w:t>
            </w:r>
          </w:p>
        </w:tc>
        <w:tc>
          <w:tcPr>
            <w:tcW w:w="3462" w:type="dxa"/>
            <w:gridSpan w:val="2"/>
            <w:shd w:val="clear" w:color="auto" w:fill="C6EFCE"/>
            <w:vAlign w:val="center"/>
            <w:hideMark/>
          </w:tcPr>
          <w:p w:rsidR="00D87E44" w:rsidRDefault="00D87E44" w14:paraId="15459162" w14:textId="77777777">
            <w:pPr>
              <w:spacing w:line="240" w:lineRule="auto"/>
              <w:jc w:val="center"/>
              <w:rPr>
                <w:rFonts w:eastAsia="Times New Roman"/>
                <w:noProof/>
                <w:color w:val="006100"/>
                <w:sz w:val="20"/>
                <w:szCs w:val="20"/>
                <w:lang w:val="en-IE"/>
              </w:rPr>
            </w:pPr>
            <w:r w:rsidRPr="7E02DA80">
              <w:rPr>
                <w:rFonts w:eastAsia="Times New Roman"/>
                <w:noProof/>
                <w:color w:val="006100"/>
                <w:sz w:val="20"/>
                <w:szCs w:val="20"/>
                <w:lang w:val="en-IE"/>
              </w:rPr>
              <w:t>C 4.4: Enhancing the Efficiency of Public Administration - Reform 1: Increase efficiency, pro-client orientation and use of the principles of evidence-based decision-making in public administration</w:t>
            </w:r>
          </w:p>
        </w:tc>
        <w:tc>
          <w:tcPr>
            <w:tcW w:w="2407" w:type="dxa"/>
            <w:shd w:val="clear" w:color="auto" w:fill="C6EFCE"/>
            <w:vAlign w:val="center"/>
            <w:hideMark/>
          </w:tcPr>
          <w:p w:rsidR="00D87E44" w:rsidRDefault="00D87E44" w14:paraId="15459163" w14:textId="77777777">
            <w:pPr>
              <w:spacing w:line="240" w:lineRule="auto"/>
              <w:jc w:val="center"/>
              <w:rPr>
                <w:rFonts w:eastAsia="Times New Roman"/>
                <w:noProof/>
                <w:color w:val="006100"/>
                <w:sz w:val="20"/>
                <w:szCs w:val="20"/>
                <w:lang w:val="en-IE"/>
              </w:rPr>
            </w:pPr>
            <w:r w:rsidRPr="1C1BB6D6">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64" w14:textId="77777777">
            <w:pPr>
              <w:spacing w:line="240" w:lineRule="auto"/>
              <w:jc w:val="center"/>
              <w:rPr>
                <w:rFonts w:eastAsia="Times New Roman"/>
                <w:noProof/>
                <w:color w:val="006100"/>
                <w:sz w:val="20"/>
                <w:szCs w:val="20"/>
              </w:rPr>
            </w:pPr>
            <w:r w:rsidRPr="38BAD67F">
              <w:rPr>
                <w:rFonts w:eastAsia="Times New Roman"/>
                <w:noProof/>
                <w:color w:val="006100"/>
                <w:sz w:val="20"/>
                <w:szCs w:val="20"/>
              </w:rPr>
              <w:t>Training on client-oriented approaches for staff of public authorities</w:t>
            </w:r>
          </w:p>
        </w:tc>
      </w:tr>
      <w:tr w:rsidR="00E3458A" w:rsidTr="009F54AF" w14:paraId="1545916A" w14:textId="77777777">
        <w:trPr>
          <w:trHeight w:val="300"/>
        </w:trPr>
        <w:tc>
          <w:tcPr>
            <w:tcW w:w="1560" w:type="dxa"/>
            <w:gridSpan w:val="3"/>
            <w:shd w:val="clear" w:color="auto" w:fill="C6EFCE"/>
            <w:vAlign w:val="center"/>
            <w:hideMark/>
          </w:tcPr>
          <w:p w:rsidR="00D87E44" w:rsidRDefault="00D87E44" w14:paraId="15459166" w14:textId="77777777">
            <w:pPr>
              <w:spacing w:line="240" w:lineRule="auto"/>
              <w:jc w:val="center"/>
              <w:rPr>
                <w:rFonts w:eastAsia="Times New Roman"/>
                <w:noProof/>
                <w:color w:val="004300"/>
                <w:sz w:val="20"/>
                <w:szCs w:val="20"/>
                <w:lang w:val="en-IE"/>
              </w:rPr>
            </w:pPr>
            <w:r w:rsidRPr="74E84841">
              <w:rPr>
                <w:rFonts w:eastAsia="Times New Roman"/>
                <w:noProof/>
                <w:color w:val="004300"/>
                <w:sz w:val="20"/>
                <w:szCs w:val="20"/>
                <w:lang w:val="en-IE"/>
              </w:rPr>
              <w:t>263</w:t>
            </w:r>
          </w:p>
        </w:tc>
        <w:tc>
          <w:tcPr>
            <w:tcW w:w="3462" w:type="dxa"/>
            <w:gridSpan w:val="2"/>
            <w:shd w:val="clear" w:color="auto" w:fill="C6EFCE"/>
            <w:vAlign w:val="center"/>
            <w:hideMark/>
          </w:tcPr>
          <w:p w:rsidR="00D87E44" w:rsidRDefault="00D87E44" w14:paraId="15459167" w14:textId="77777777">
            <w:pPr>
              <w:spacing w:line="240" w:lineRule="auto"/>
              <w:jc w:val="center"/>
              <w:rPr>
                <w:rFonts w:eastAsia="Times New Roman"/>
                <w:noProof/>
                <w:color w:val="006100"/>
                <w:sz w:val="20"/>
                <w:szCs w:val="20"/>
                <w:lang w:val="en-IE"/>
              </w:rPr>
            </w:pPr>
            <w:r w:rsidRPr="16615135">
              <w:rPr>
                <w:rFonts w:eastAsia="Times New Roman"/>
                <w:noProof/>
                <w:color w:val="006100"/>
                <w:sz w:val="20"/>
                <w:szCs w:val="20"/>
                <w:lang w:val="en-IE"/>
              </w:rPr>
              <w:t xml:space="preserve">C 2.10 Affordable Housing - Reform 1: </w:t>
            </w:r>
            <w:r w:rsidRPr="68976C44">
              <w:rPr>
                <w:rFonts w:eastAsia="Times New Roman"/>
                <w:noProof/>
                <w:color w:val="006100"/>
                <w:sz w:val="20"/>
                <w:szCs w:val="20"/>
                <w:lang w:val="en-IE"/>
              </w:rPr>
              <w:t xml:space="preserve">Legal act </w:t>
            </w:r>
            <w:r w:rsidRPr="01593CEA">
              <w:rPr>
                <w:rFonts w:eastAsia="Times New Roman"/>
                <w:noProof/>
                <w:color w:val="006100"/>
                <w:sz w:val="20"/>
                <w:szCs w:val="20"/>
                <w:lang w:val="en-IE"/>
              </w:rPr>
              <w:t>on</w:t>
            </w:r>
            <w:r w:rsidRPr="16615135">
              <w:rPr>
                <w:rFonts w:eastAsia="Times New Roman"/>
                <w:noProof/>
                <w:color w:val="006100"/>
                <w:sz w:val="20"/>
                <w:szCs w:val="20"/>
                <w:lang w:val="en-IE"/>
              </w:rPr>
              <w:t xml:space="preserve"> affordable housing</w:t>
            </w:r>
          </w:p>
        </w:tc>
        <w:tc>
          <w:tcPr>
            <w:tcW w:w="2407" w:type="dxa"/>
            <w:shd w:val="clear" w:color="auto" w:fill="C6EFCE"/>
            <w:vAlign w:val="center"/>
            <w:hideMark/>
          </w:tcPr>
          <w:p w:rsidR="00D87E44" w:rsidRDefault="00D87E44" w14:paraId="15459168" w14:textId="77777777">
            <w:pPr>
              <w:spacing w:line="240" w:lineRule="auto"/>
              <w:jc w:val="center"/>
              <w:rPr>
                <w:rFonts w:eastAsia="Times New Roman"/>
                <w:noProof/>
                <w:color w:val="006100"/>
                <w:sz w:val="20"/>
                <w:szCs w:val="20"/>
                <w:lang w:val="en-IE"/>
              </w:rPr>
            </w:pPr>
            <w:r w:rsidRPr="74E84841">
              <w:rPr>
                <w:rFonts w:eastAsia="Times New Roman"/>
                <w:noProof/>
                <w:color w:val="006100"/>
                <w:sz w:val="20"/>
                <w:szCs w:val="20"/>
                <w:lang w:val="en-IE"/>
              </w:rPr>
              <w:t>Milestone</w:t>
            </w:r>
          </w:p>
        </w:tc>
        <w:tc>
          <w:tcPr>
            <w:tcW w:w="3169" w:type="dxa"/>
            <w:shd w:val="clear" w:color="auto" w:fill="C6EFCE"/>
            <w:vAlign w:val="center"/>
            <w:hideMark/>
          </w:tcPr>
          <w:p w:rsidRPr="00B654F6" w:rsidR="00D87E44" w:rsidRDefault="00D87E44" w14:paraId="15459169" w14:textId="77777777">
            <w:pPr>
              <w:spacing w:line="240" w:lineRule="auto"/>
              <w:jc w:val="center"/>
              <w:rPr>
                <w:rFonts w:eastAsia="Times New Roman"/>
                <w:noProof/>
                <w:color w:val="006100"/>
                <w:sz w:val="20"/>
                <w:szCs w:val="20"/>
              </w:rPr>
            </w:pPr>
            <w:r w:rsidRPr="68976C44">
              <w:rPr>
                <w:rFonts w:eastAsia="Times New Roman"/>
                <w:noProof/>
                <w:color w:val="006100"/>
                <w:sz w:val="20"/>
                <w:szCs w:val="20"/>
              </w:rPr>
              <w:t xml:space="preserve">Legal act </w:t>
            </w:r>
            <w:r w:rsidRPr="01593CEA">
              <w:rPr>
                <w:rFonts w:eastAsia="Times New Roman"/>
                <w:noProof/>
                <w:color w:val="006100"/>
                <w:sz w:val="20"/>
                <w:szCs w:val="20"/>
              </w:rPr>
              <w:t>on affordable housing</w:t>
            </w:r>
          </w:p>
        </w:tc>
      </w:tr>
      <w:tr w:rsidR="00D226F4" w:rsidTr="009F54AF" w14:paraId="1545916F" w14:textId="77777777">
        <w:trPr>
          <w:trHeight w:val="300"/>
        </w:trPr>
        <w:tc>
          <w:tcPr>
            <w:tcW w:w="1560" w:type="dxa"/>
            <w:gridSpan w:val="3"/>
            <w:shd w:val="clear" w:color="auto" w:fill="C6EFCE"/>
            <w:vAlign w:val="center"/>
            <w:hideMark/>
          </w:tcPr>
          <w:p w:rsidR="00D87E44" w:rsidRDefault="00D87E44" w14:paraId="1545916B"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177</w:t>
            </w:r>
          </w:p>
        </w:tc>
        <w:tc>
          <w:tcPr>
            <w:tcW w:w="3462" w:type="dxa"/>
            <w:gridSpan w:val="2"/>
            <w:shd w:val="clear" w:color="auto" w:fill="C6EFCE"/>
            <w:vAlign w:val="center"/>
            <w:hideMark/>
          </w:tcPr>
          <w:p w:rsidR="00D87E44" w:rsidRDefault="00D87E44" w14:paraId="1545916C"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C 3.2: Adaptation of School Programmes - Reform 1: Transformation of universities to adapt to new forms of learning and changing needs of the labour market</w:t>
            </w:r>
          </w:p>
        </w:tc>
        <w:tc>
          <w:tcPr>
            <w:tcW w:w="2407" w:type="dxa"/>
            <w:shd w:val="clear" w:color="auto" w:fill="C6EFCE"/>
            <w:vAlign w:val="center"/>
            <w:hideMark/>
          </w:tcPr>
          <w:p w:rsidR="00D87E44" w:rsidRDefault="00D87E44" w14:paraId="1545916D"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Target</w:t>
            </w:r>
          </w:p>
        </w:tc>
        <w:tc>
          <w:tcPr>
            <w:tcW w:w="3169" w:type="dxa"/>
            <w:shd w:val="clear" w:color="auto" w:fill="C6EFCE"/>
            <w:vAlign w:val="center"/>
            <w:hideMark/>
          </w:tcPr>
          <w:p w:rsidR="00D87E44" w:rsidRDefault="00D87E44" w14:paraId="1545916E"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Number of new accredited study programmes</w:t>
            </w:r>
          </w:p>
        </w:tc>
      </w:tr>
      <w:tr w:rsidRPr="00E03285" w:rsidR="00D226F4" w:rsidDel="009903E5" w:rsidTr="009F54AF" w14:paraId="15459174" w14:textId="77777777">
        <w:trPr>
          <w:trHeight w:val="300"/>
        </w:trPr>
        <w:tc>
          <w:tcPr>
            <w:tcW w:w="1560" w:type="dxa"/>
            <w:gridSpan w:val="3"/>
            <w:shd w:val="clear" w:color="auto" w:fill="C6EFCE"/>
            <w:vAlign w:val="center"/>
          </w:tcPr>
          <w:p w:rsidRPr="51876688" w:rsidR="00D87E44" w:rsidDel="009903E5" w:rsidRDefault="00D87E44" w14:paraId="15459170" w14:textId="77777777">
            <w:pPr>
              <w:spacing w:line="240" w:lineRule="auto"/>
              <w:jc w:val="center"/>
              <w:rPr>
                <w:rFonts w:eastAsia="Times New Roman"/>
                <w:noProof/>
                <w:color w:val="004300"/>
                <w:sz w:val="20"/>
                <w:szCs w:val="20"/>
                <w:lang w:val="en-IE"/>
              </w:rPr>
            </w:pPr>
            <w:r w:rsidRPr="00E03285">
              <w:rPr>
                <w:rFonts w:eastAsia="Times New Roman"/>
                <w:noProof/>
                <w:color w:val="006100"/>
                <w:sz w:val="20"/>
                <w:szCs w:val="20"/>
                <w:lang w:val="en-IE"/>
              </w:rPr>
              <w:t>227</w:t>
            </w:r>
          </w:p>
        </w:tc>
        <w:tc>
          <w:tcPr>
            <w:tcW w:w="3462" w:type="dxa"/>
            <w:gridSpan w:val="2"/>
            <w:shd w:val="clear" w:color="auto" w:fill="C6EFCE"/>
            <w:vAlign w:val="center"/>
          </w:tcPr>
          <w:p w:rsidRPr="00CB1536" w:rsidR="00D87E44" w:rsidDel="009903E5" w:rsidRDefault="00D87E44" w14:paraId="15459171"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5.2: Support for Research and Development in Companies and Introduction of Innovations into Business Practice - Investment 1: Supporting the uptake of innovation in business practice</w:t>
            </w:r>
          </w:p>
        </w:tc>
        <w:tc>
          <w:tcPr>
            <w:tcW w:w="2407" w:type="dxa"/>
            <w:shd w:val="clear" w:color="auto" w:fill="C6EFCE"/>
            <w:vAlign w:val="center"/>
          </w:tcPr>
          <w:p w:rsidRPr="0A1F58C1" w:rsidR="00D87E44" w:rsidDel="009903E5" w:rsidRDefault="00D87E44" w14:paraId="1545917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69" w:type="dxa"/>
            <w:shd w:val="clear" w:color="auto" w:fill="C6EFCE"/>
            <w:vAlign w:val="center"/>
          </w:tcPr>
          <w:p w:rsidRPr="00B654F6" w:rsidR="00D87E44" w:rsidDel="009903E5" w:rsidP="003A550A" w:rsidRDefault="00D87E44" w14:paraId="15459173" w14:textId="77777777">
            <w:pPr>
              <w:spacing w:line="240" w:lineRule="auto"/>
              <w:jc w:val="center"/>
              <w:rPr>
                <w:rFonts w:eastAsia="Times New Roman"/>
                <w:noProof/>
                <w:color w:val="006100"/>
                <w:sz w:val="20"/>
                <w:szCs w:val="20"/>
              </w:rPr>
            </w:pPr>
            <w:r>
              <w:rPr>
                <w:rFonts w:eastAsia="Times New Roman"/>
                <w:noProof/>
                <w:color w:val="006100"/>
                <w:sz w:val="20"/>
                <w:szCs w:val="20"/>
                <w:lang w:val="en-IE"/>
              </w:rPr>
              <w:t>Funds disbursed</w:t>
            </w:r>
          </w:p>
        </w:tc>
      </w:tr>
      <w:tr w:rsidRPr="00E03285" w:rsidR="00E3458A" w:rsidDel="009903E5" w:rsidTr="009F54AF" w14:paraId="15459179" w14:textId="77777777">
        <w:trPr>
          <w:trHeight w:val="300"/>
        </w:trPr>
        <w:tc>
          <w:tcPr>
            <w:tcW w:w="1560" w:type="dxa"/>
            <w:gridSpan w:val="3"/>
            <w:shd w:val="clear" w:color="auto" w:fill="C6EFCE"/>
            <w:vAlign w:val="center"/>
          </w:tcPr>
          <w:p w:rsidRPr="00FF1320" w:rsidR="00D87E44" w:rsidRDefault="00D87E44" w14:paraId="15459175" w14:textId="77777777">
            <w:pPr>
              <w:spacing w:line="240" w:lineRule="auto"/>
              <w:jc w:val="center"/>
              <w:rPr>
                <w:color w:val="006100"/>
                <w:sz w:val="20"/>
                <w:lang w:val="en-IE"/>
              </w:rPr>
            </w:pPr>
            <w:r w:rsidRPr="00E03285">
              <w:rPr>
                <w:rFonts w:eastAsia="Times New Roman"/>
                <w:noProof/>
                <w:color w:val="006100"/>
                <w:sz w:val="20"/>
                <w:szCs w:val="20"/>
                <w:lang w:val="en-IE"/>
              </w:rPr>
              <w:t>291</w:t>
            </w:r>
          </w:p>
        </w:tc>
        <w:tc>
          <w:tcPr>
            <w:tcW w:w="3462" w:type="dxa"/>
            <w:gridSpan w:val="2"/>
            <w:shd w:val="clear" w:color="auto" w:fill="C6EFCE"/>
            <w:vAlign w:val="center"/>
          </w:tcPr>
          <w:p w:rsidRPr="00E03285" w:rsidR="00D87E44" w:rsidRDefault="00D87E44" w14:paraId="1545917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5.2: Support for Research and </w:t>
            </w:r>
            <w:r w:rsidRPr="00E03285">
              <w:rPr>
                <w:rFonts w:eastAsia="Times New Roman"/>
                <w:noProof/>
                <w:color w:val="006100"/>
                <w:sz w:val="20"/>
                <w:szCs w:val="20"/>
                <w:lang w:val="en-IE"/>
              </w:rPr>
              <w:t>Development in Companies and Introduction of Innovations into Business Practice - Investment 3: Aid for research and development in the environmental field</w:t>
            </w:r>
          </w:p>
        </w:tc>
        <w:tc>
          <w:tcPr>
            <w:tcW w:w="2407" w:type="dxa"/>
            <w:shd w:val="clear" w:color="auto" w:fill="C6EFCE"/>
            <w:vAlign w:val="center"/>
          </w:tcPr>
          <w:p w:rsidRPr="00E03285" w:rsidR="00D87E44" w:rsidRDefault="00D87E44" w14:paraId="15459177"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69" w:type="dxa"/>
            <w:shd w:val="clear" w:color="auto" w:fill="C6EFCE"/>
            <w:vAlign w:val="center"/>
          </w:tcPr>
          <w:p w:rsidRPr="00FF1320" w:rsidR="00D87E44" w:rsidRDefault="00D87E44" w14:paraId="15459178" w14:textId="77777777">
            <w:pPr>
              <w:spacing w:line="240" w:lineRule="auto"/>
              <w:jc w:val="center"/>
              <w:rPr>
                <w:color w:val="006100"/>
                <w:sz w:val="20"/>
                <w:lang w:val="en-IE"/>
              </w:rPr>
            </w:pPr>
            <w:r>
              <w:rPr>
                <w:rFonts w:eastAsia="Times New Roman"/>
                <w:noProof/>
                <w:color w:val="006100"/>
                <w:sz w:val="20"/>
                <w:szCs w:val="20"/>
                <w:lang w:val="en-IE"/>
              </w:rPr>
              <w:t>Funds disbursed</w:t>
            </w:r>
          </w:p>
        </w:tc>
      </w:tr>
      <w:tr w:rsidRPr="00E03285" w:rsidR="00E3458A" w:rsidTr="009F54AF" w14:paraId="1545917E" w14:textId="77777777">
        <w:trPr>
          <w:trHeight w:val="300"/>
        </w:trPr>
        <w:tc>
          <w:tcPr>
            <w:tcW w:w="1560" w:type="dxa"/>
            <w:gridSpan w:val="3"/>
            <w:shd w:val="clear" w:color="auto" w:fill="C6EFCE"/>
            <w:vAlign w:val="center"/>
            <w:hideMark/>
          </w:tcPr>
          <w:p w:rsidRPr="00E03285" w:rsidR="00D87E44" w:rsidRDefault="00D87E44" w14:paraId="1545917A"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298</w:t>
            </w:r>
          </w:p>
        </w:tc>
        <w:tc>
          <w:tcPr>
            <w:tcW w:w="3462" w:type="dxa"/>
            <w:gridSpan w:val="2"/>
            <w:shd w:val="clear" w:color="auto" w:fill="C6EFCE"/>
            <w:vAlign w:val="center"/>
            <w:hideMark/>
          </w:tcPr>
          <w:p w:rsidRPr="00CB1536" w:rsidR="00D87E44" w:rsidRDefault="00D87E44" w14:paraId="1545917B" w14:textId="77777777">
            <w:pPr>
              <w:spacing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 xml:space="preserve">C 5.3: A </w:t>
            </w:r>
            <w:r>
              <w:rPr>
                <w:rFonts w:eastAsia="Times New Roman"/>
                <w:noProof/>
                <w:color w:val="006100"/>
                <w:sz w:val="20"/>
                <w:szCs w:val="20"/>
                <w:lang w:val="en-IE"/>
              </w:rPr>
              <w:t>S</w:t>
            </w:r>
            <w:r w:rsidRPr="00CB1536">
              <w:rPr>
                <w:rFonts w:eastAsia="Times New Roman"/>
                <w:noProof/>
                <w:color w:val="006100"/>
                <w:sz w:val="20"/>
                <w:szCs w:val="20"/>
                <w:lang w:val="en-IE"/>
              </w:rPr>
              <w:t xml:space="preserve">trategically </w:t>
            </w:r>
            <w:r>
              <w:rPr>
                <w:rFonts w:eastAsia="Times New Roman"/>
                <w:noProof/>
                <w:color w:val="006100"/>
                <w:sz w:val="20"/>
                <w:szCs w:val="20"/>
                <w:lang w:val="en-IE"/>
              </w:rPr>
              <w:t>M</w:t>
            </w:r>
            <w:r w:rsidRPr="00CB1536">
              <w:rPr>
                <w:rFonts w:eastAsia="Times New Roman"/>
                <w:noProof/>
                <w:color w:val="006100"/>
                <w:sz w:val="20"/>
                <w:szCs w:val="20"/>
                <w:lang w:val="en-IE"/>
              </w:rPr>
              <w:t xml:space="preserve">anaged and </w:t>
            </w:r>
            <w:r>
              <w:rPr>
                <w:rFonts w:eastAsia="Times New Roman"/>
                <w:noProof/>
                <w:color w:val="006100"/>
                <w:sz w:val="20"/>
                <w:szCs w:val="20"/>
                <w:lang w:val="en-IE"/>
              </w:rPr>
              <w:t>I</w:t>
            </w:r>
            <w:r w:rsidRPr="00CB1536">
              <w:rPr>
                <w:rFonts w:eastAsia="Times New Roman"/>
                <w:noProof/>
                <w:color w:val="006100"/>
                <w:sz w:val="20"/>
                <w:szCs w:val="20"/>
                <w:lang w:val="en-IE"/>
              </w:rPr>
              <w:t xml:space="preserve">nternationally </w:t>
            </w:r>
            <w:r>
              <w:rPr>
                <w:rFonts w:eastAsia="Times New Roman"/>
                <w:noProof/>
                <w:color w:val="006100"/>
                <w:sz w:val="20"/>
                <w:szCs w:val="20"/>
                <w:lang w:val="en-IE"/>
              </w:rPr>
              <w:t>C</w:t>
            </w:r>
            <w:r w:rsidRPr="00CB1536">
              <w:rPr>
                <w:rFonts w:eastAsia="Times New Roman"/>
                <w:noProof/>
                <w:color w:val="006100"/>
                <w:sz w:val="20"/>
                <w:szCs w:val="20"/>
                <w:lang w:val="en-IE"/>
              </w:rPr>
              <w:t xml:space="preserve">ompetitive </w:t>
            </w:r>
            <w:r w:rsidRPr="00CB1536">
              <w:rPr>
                <w:rFonts w:eastAsia="Times New Roman"/>
                <w:noProof/>
                <w:color w:val="006100"/>
                <w:sz w:val="20"/>
                <w:szCs w:val="20"/>
                <w:lang w:val="en-IE"/>
              </w:rPr>
              <w:t>R&amp;D&amp;I Ecosystem - Reform 1:  A strategically managed and internationally competitive R &amp; D &amp; I ecosystem</w:t>
            </w:r>
          </w:p>
        </w:tc>
        <w:tc>
          <w:tcPr>
            <w:tcW w:w="2407" w:type="dxa"/>
            <w:shd w:val="clear" w:color="auto" w:fill="C6EFCE"/>
            <w:vAlign w:val="center"/>
            <w:hideMark/>
          </w:tcPr>
          <w:p w:rsidRPr="00CB1536" w:rsidR="00D87E44" w:rsidRDefault="00D87E44" w14:paraId="1545917C" w14:textId="77777777">
            <w:pPr>
              <w:spacing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Milestone</w:t>
            </w:r>
          </w:p>
        </w:tc>
        <w:tc>
          <w:tcPr>
            <w:tcW w:w="3169" w:type="dxa"/>
            <w:shd w:val="clear" w:color="auto" w:fill="C6EFCE"/>
            <w:vAlign w:val="center"/>
            <w:hideMark/>
          </w:tcPr>
          <w:p w:rsidRPr="00B654F6" w:rsidR="00D87E44" w:rsidRDefault="00D87E44" w14:paraId="1545917D" w14:textId="77777777">
            <w:pPr>
              <w:spacing w:line="240" w:lineRule="auto"/>
              <w:jc w:val="center"/>
              <w:rPr>
                <w:rFonts w:eastAsia="Times New Roman"/>
                <w:noProof/>
                <w:color w:val="006100"/>
                <w:sz w:val="20"/>
                <w:szCs w:val="20"/>
              </w:rPr>
            </w:pPr>
            <w:r w:rsidRPr="4A45BCA2">
              <w:rPr>
                <w:rFonts w:eastAsia="Times New Roman"/>
                <w:noProof/>
                <w:color w:val="006100"/>
                <w:sz w:val="20"/>
                <w:szCs w:val="20"/>
              </w:rPr>
              <w:t>Adoption of government resolutions and of methodological guideline</w:t>
            </w:r>
          </w:p>
        </w:tc>
      </w:tr>
      <w:tr w:rsidRPr="00E03285" w:rsidR="00E3458A" w:rsidTr="009F54AF" w14:paraId="15459183" w14:textId="77777777">
        <w:trPr>
          <w:trHeight w:val="300"/>
        </w:trPr>
        <w:tc>
          <w:tcPr>
            <w:tcW w:w="1560" w:type="dxa"/>
            <w:gridSpan w:val="3"/>
            <w:shd w:val="clear" w:color="auto" w:fill="C6EFCE"/>
            <w:vAlign w:val="center"/>
          </w:tcPr>
          <w:p w:rsidRPr="00E03285" w:rsidR="00D87E44" w:rsidRDefault="00D87E44" w14:paraId="1545917F" w14:textId="77777777">
            <w:pPr>
              <w:spacing w:line="240" w:lineRule="auto"/>
              <w:jc w:val="center"/>
              <w:rPr>
                <w:rFonts w:eastAsia="Times New Roman"/>
                <w:noProof/>
                <w:color w:val="004300"/>
                <w:sz w:val="20"/>
                <w:szCs w:val="20"/>
                <w:lang w:val="en-IE"/>
              </w:rPr>
            </w:pPr>
            <w:r>
              <w:rPr>
                <w:rFonts w:eastAsia="Times New Roman"/>
                <w:noProof/>
                <w:color w:val="004300"/>
                <w:sz w:val="20"/>
                <w:szCs w:val="20"/>
                <w:lang w:val="en-IE"/>
              </w:rPr>
              <w:t>349</w:t>
            </w:r>
          </w:p>
        </w:tc>
        <w:tc>
          <w:tcPr>
            <w:tcW w:w="3462" w:type="dxa"/>
            <w:gridSpan w:val="2"/>
            <w:shd w:val="clear" w:color="auto" w:fill="C6EFCE"/>
            <w:vAlign w:val="center"/>
          </w:tcPr>
          <w:p w:rsidRPr="00E03285" w:rsidR="00D87E44" w:rsidRDefault="00D87E44" w14:paraId="15459180"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C 7.1: Renewable Energy and Electricity Infrastructure - Reform 2: Accelerating deployment of renewables </w:t>
            </w:r>
          </w:p>
        </w:tc>
        <w:tc>
          <w:tcPr>
            <w:tcW w:w="2407" w:type="dxa"/>
            <w:shd w:val="clear" w:color="auto" w:fill="C6EFCE"/>
            <w:vAlign w:val="center"/>
          </w:tcPr>
          <w:p w:rsidRPr="00E03285" w:rsidR="00D87E44" w:rsidRDefault="00D87E44" w14:paraId="15459181"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Milestone</w:t>
            </w:r>
          </w:p>
        </w:tc>
        <w:tc>
          <w:tcPr>
            <w:tcW w:w="3169" w:type="dxa"/>
            <w:shd w:val="clear" w:color="auto" w:fill="C6EFCE"/>
            <w:vAlign w:val="center"/>
          </w:tcPr>
          <w:p w:rsidRPr="00B654F6" w:rsidR="00D87E44" w:rsidRDefault="00D87E44" w14:paraId="15459182" w14:textId="77777777">
            <w:pPr>
              <w:spacing w:line="240" w:lineRule="auto"/>
              <w:jc w:val="center"/>
              <w:rPr>
                <w:rFonts w:eastAsia="Times New Roman"/>
                <w:noProof/>
                <w:color w:val="006100"/>
                <w:sz w:val="20"/>
                <w:szCs w:val="20"/>
              </w:rPr>
            </w:pPr>
            <w:r>
              <w:rPr>
                <w:rFonts w:eastAsia="Times New Roman"/>
                <w:noProof/>
                <w:color w:val="006100"/>
                <w:sz w:val="20"/>
                <w:szCs w:val="20"/>
              </w:rPr>
              <w:t>Entry into force of amended legislation</w:t>
            </w:r>
          </w:p>
        </w:tc>
      </w:tr>
      <w:tr w:rsidRPr="00E03285" w:rsidR="00E3458A" w:rsidTr="009F54AF" w14:paraId="15459188" w14:textId="77777777">
        <w:trPr>
          <w:trHeight w:val="300"/>
        </w:trPr>
        <w:tc>
          <w:tcPr>
            <w:tcW w:w="1560" w:type="dxa"/>
            <w:gridSpan w:val="3"/>
            <w:shd w:val="clear" w:color="auto" w:fill="C6EFCE"/>
            <w:vAlign w:val="center"/>
            <w:hideMark/>
          </w:tcPr>
          <w:p w:rsidRPr="00E03285" w:rsidR="00D87E44" w:rsidRDefault="00D87E44" w14:paraId="15459184"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lastRenderedPageBreak/>
              <w:t>320</w:t>
            </w:r>
          </w:p>
        </w:tc>
        <w:tc>
          <w:tcPr>
            <w:tcW w:w="3462" w:type="dxa"/>
            <w:gridSpan w:val="2"/>
            <w:shd w:val="clear" w:color="auto" w:fill="C6EFCE"/>
            <w:vAlign w:val="center"/>
            <w:hideMark/>
          </w:tcPr>
          <w:p w:rsidRPr="00E03285" w:rsidR="00D87E44" w:rsidRDefault="00D87E44" w14:paraId="1545918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7.3: Comprehensive </w:t>
            </w:r>
            <w:r>
              <w:rPr>
                <w:rFonts w:eastAsia="Times New Roman"/>
                <w:noProof/>
                <w:color w:val="006100"/>
                <w:sz w:val="20"/>
                <w:szCs w:val="20"/>
                <w:lang w:val="en-IE"/>
              </w:rPr>
              <w:t>R</w:t>
            </w:r>
            <w:r w:rsidRPr="00E03285">
              <w:rPr>
                <w:rFonts w:eastAsia="Times New Roman"/>
                <w:noProof/>
                <w:color w:val="006100"/>
                <w:sz w:val="20"/>
                <w:szCs w:val="20"/>
                <w:lang w:val="en-IE"/>
              </w:rPr>
              <w:t xml:space="preserve">eform of the Renovation Wave Advice in the Czech Republic (REPOWER EU) - Reform 2: Data and methodological guidance and trainings for the advisory system  </w:t>
            </w:r>
          </w:p>
        </w:tc>
        <w:tc>
          <w:tcPr>
            <w:tcW w:w="2407" w:type="dxa"/>
            <w:shd w:val="clear" w:color="auto" w:fill="C6EFCE"/>
            <w:vAlign w:val="center"/>
            <w:hideMark/>
          </w:tcPr>
          <w:p w:rsidRPr="00E03285" w:rsidR="00D87E44" w:rsidRDefault="00D87E44" w14:paraId="1545918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69" w:type="dxa"/>
            <w:shd w:val="clear" w:color="auto" w:fill="C6EFCE"/>
            <w:vAlign w:val="center"/>
            <w:hideMark/>
          </w:tcPr>
          <w:p w:rsidRPr="00B654F6" w:rsidR="00D87E44" w:rsidRDefault="00D87E44" w14:paraId="15459187" w14:textId="77777777">
            <w:pPr>
              <w:spacing w:line="240" w:lineRule="auto"/>
              <w:jc w:val="center"/>
              <w:rPr>
                <w:rFonts w:eastAsia="Times New Roman"/>
                <w:noProof/>
                <w:color w:val="006100"/>
                <w:sz w:val="20"/>
                <w:szCs w:val="20"/>
              </w:rPr>
            </w:pPr>
            <w:r w:rsidRPr="4A45BCA2">
              <w:rPr>
                <w:rFonts w:eastAsia="Times New Roman"/>
                <w:noProof/>
                <w:color w:val="006100"/>
                <w:sz w:val="20"/>
                <w:szCs w:val="20"/>
              </w:rPr>
              <w:t xml:space="preserve"> Calculation tool and methodological guidance prepared</w:t>
            </w:r>
          </w:p>
        </w:tc>
      </w:tr>
      <w:tr w:rsidRPr="00E03285" w:rsidR="00E3458A" w:rsidTr="009F54AF" w14:paraId="1545918D" w14:textId="77777777">
        <w:trPr>
          <w:trHeight w:val="300"/>
        </w:trPr>
        <w:tc>
          <w:tcPr>
            <w:tcW w:w="1560" w:type="dxa"/>
            <w:gridSpan w:val="3"/>
            <w:shd w:val="clear" w:color="auto" w:fill="C6EFCE"/>
            <w:vAlign w:val="center"/>
            <w:hideMark/>
          </w:tcPr>
          <w:p w:rsidRPr="00E03285" w:rsidR="00D87E44" w:rsidRDefault="00D87E44" w14:paraId="15459189"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321</w:t>
            </w:r>
          </w:p>
        </w:tc>
        <w:tc>
          <w:tcPr>
            <w:tcW w:w="3462" w:type="dxa"/>
            <w:gridSpan w:val="2"/>
            <w:shd w:val="clear" w:color="auto" w:fill="C6EFCE"/>
            <w:vAlign w:val="center"/>
            <w:hideMark/>
          </w:tcPr>
          <w:p w:rsidRPr="00E03285" w:rsidR="00D87E44" w:rsidRDefault="00D87E44" w14:paraId="1545918A"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7.3: Comprehensive </w:t>
            </w:r>
            <w:r>
              <w:rPr>
                <w:rFonts w:eastAsia="Times New Roman"/>
                <w:noProof/>
                <w:color w:val="006100"/>
                <w:sz w:val="20"/>
                <w:szCs w:val="20"/>
                <w:lang w:val="en-IE"/>
              </w:rPr>
              <w:t>R</w:t>
            </w:r>
            <w:r w:rsidRPr="00E03285">
              <w:rPr>
                <w:rFonts w:eastAsia="Times New Roman"/>
                <w:noProof/>
                <w:color w:val="006100"/>
                <w:sz w:val="20"/>
                <w:szCs w:val="20"/>
                <w:lang w:val="en-IE"/>
              </w:rPr>
              <w:t xml:space="preserve">eform of the Renovation Wave Advice in the Czech Republic (REPOWER EU) - Reform 2: Data and methodological guidance and trainings for the advisory system  </w:t>
            </w:r>
          </w:p>
        </w:tc>
        <w:tc>
          <w:tcPr>
            <w:tcW w:w="2407" w:type="dxa"/>
            <w:shd w:val="clear" w:color="auto" w:fill="C6EFCE"/>
            <w:vAlign w:val="center"/>
            <w:hideMark/>
          </w:tcPr>
          <w:p w:rsidRPr="00E03285" w:rsidR="00D87E44" w:rsidRDefault="00D87E44" w14:paraId="1545918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69" w:type="dxa"/>
            <w:shd w:val="clear" w:color="auto" w:fill="C6EFCE"/>
            <w:vAlign w:val="center"/>
            <w:hideMark/>
          </w:tcPr>
          <w:p w:rsidRPr="00B654F6" w:rsidR="00D87E44" w:rsidRDefault="00D87E44" w14:paraId="1545918C" w14:textId="77777777">
            <w:pPr>
              <w:spacing w:line="240" w:lineRule="auto"/>
              <w:jc w:val="center"/>
              <w:rPr>
                <w:rFonts w:eastAsia="Times New Roman"/>
                <w:noProof/>
                <w:color w:val="006100"/>
                <w:sz w:val="20"/>
                <w:szCs w:val="20"/>
              </w:rPr>
            </w:pPr>
            <w:r w:rsidRPr="00B654F6">
              <w:rPr>
                <w:rFonts w:eastAsia="Times New Roman"/>
                <w:noProof/>
                <w:color w:val="006100"/>
                <w:sz w:val="20"/>
                <w:szCs w:val="20"/>
              </w:rPr>
              <w:t xml:space="preserve">Number of </w:t>
            </w:r>
            <w:r>
              <w:rPr>
                <w:rFonts w:eastAsia="Times New Roman"/>
                <w:noProof/>
                <w:color w:val="006100"/>
                <w:sz w:val="20"/>
                <w:szCs w:val="20"/>
              </w:rPr>
              <w:t>trained professionals</w:t>
            </w:r>
          </w:p>
        </w:tc>
      </w:tr>
      <w:tr w:rsidRPr="00E03285" w:rsidR="00E3458A" w:rsidDel="009903E5" w:rsidTr="009F54AF" w14:paraId="15459193" w14:textId="77777777">
        <w:trPr>
          <w:trHeight w:val="300"/>
        </w:trPr>
        <w:tc>
          <w:tcPr>
            <w:tcW w:w="1560" w:type="dxa"/>
            <w:gridSpan w:val="3"/>
            <w:shd w:val="clear" w:color="auto" w:fill="C6EFCE"/>
            <w:vAlign w:val="center"/>
            <w:hideMark/>
          </w:tcPr>
          <w:p w:rsidRPr="00E03285" w:rsidR="00D87E44" w:rsidDel="009903E5" w:rsidRDefault="00D87E44" w14:paraId="1545918E" w14:textId="77777777">
            <w:pPr>
              <w:spacing w:line="240" w:lineRule="auto"/>
              <w:jc w:val="center"/>
              <w:rPr>
                <w:rFonts w:eastAsia="Times New Roman"/>
                <w:noProof/>
                <w:color w:val="004300"/>
                <w:sz w:val="20"/>
                <w:szCs w:val="20"/>
                <w:lang w:val="en-IE"/>
              </w:rPr>
            </w:pPr>
            <w:r w:rsidRPr="456DE159">
              <w:rPr>
                <w:rFonts w:eastAsia="Times New Roman"/>
                <w:noProof/>
                <w:color w:val="004300"/>
                <w:sz w:val="20"/>
                <w:szCs w:val="20"/>
                <w:lang w:val="en-IE"/>
              </w:rPr>
              <w:t>335</w:t>
            </w:r>
          </w:p>
        </w:tc>
        <w:tc>
          <w:tcPr>
            <w:tcW w:w="3462" w:type="dxa"/>
            <w:gridSpan w:val="2"/>
            <w:shd w:val="clear" w:color="auto" w:fill="C6EFCE"/>
            <w:vAlign w:val="center"/>
            <w:hideMark/>
          </w:tcPr>
          <w:p w:rsidRPr="00E03285" w:rsidR="00D87E44" w:rsidDel="009903E5" w:rsidRDefault="00D87E44" w14:paraId="1545918F" w14:textId="77777777">
            <w:pPr>
              <w:spacing w:before="0" w:after="0" w:line="240" w:lineRule="auto"/>
              <w:jc w:val="center"/>
              <w:rPr>
                <w:rFonts w:eastAsia="Times New Roman"/>
                <w:noProof/>
                <w:color w:val="006100"/>
                <w:sz w:val="20"/>
                <w:szCs w:val="20"/>
              </w:rPr>
            </w:pPr>
            <w:r w:rsidRPr="456DE159">
              <w:rPr>
                <w:rFonts w:eastAsia="Times New Roman"/>
                <w:noProof/>
                <w:color w:val="006100"/>
                <w:sz w:val="20"/>
                <w:szCs w:val="20"/>
              </w:rPr>
              <w:t xml:space="preserve">C 7.5 Decarbonisation of Road Transport </w:t>
            </w:r>
            <w:r w:rsidRPr="456DE159">
              <w:rPr>
                <w:rFonts w:eastAsia="Times New Roman"/>
                <w:noProof/>
                <w:color w:val="006100"/>
                <w:sz w:val="20"/>
                <w:szCs w:val="20"/>
                <w:lang w:val="en-IE"/>
              </w:rPr>
              <w:t xml:space="preserve">(REPowerEU) </w:t>
            </w:r>
            <w:r w:rsidRPr="456DE159">
              <w:rPr>
                <w:rFonts w:eastAsia="Times New Roman"/>
                <w:noProof/>
                <w:color w:val="006100"/>
                <w:sz w:val="20"/>
                <w:szCs w:val="20"/>
              </w:rPr>
              <w:t>-</w:t>
            </w:r>
          </w:p>
          <w:p w:rsidRPr="00E03285" w:rsidR="00D87E44" w:rsidDel="009903E5" w:rsidRDefault="00D87E44" w14:paraId="15459190" w14:textId="77777777">
            <w:pPr>
              <w:spacing w:before="0" w:after="0" w:line="240" w:lineRule="auto"/>
              <w:jc w:val="center"/>
              <w:rPr>
                <w:rFonts w:eastAsia="Times New Roman"/>
                <w:noProof/>
                <w:color w:val="006100"/>
                <w:sz w:val="20"/>
                <w:szCs w:val="20"/>
              </w:rPr>
            </w:pPr>
            <w:r w:rsidRPr="456DE159">
              <w:rPr>
                <w:rFonts w:eastAsia="Times New Roman"/>
                <w:noProof/>
                <w:color w:val="006100"/>
                <w:sz w:val="20"/>
                <w:szCs w:val="20"/>
              </w:rPr>
              <w:t>Reform 4: Enabling conditions for zero-emission alternative fuels infrastructure</w:t>
            </w:r>
          </w:p>
        </w:tc>
        <w:tc>
          <w:tcPr>
            <w:tcW w:w="2407" w:type="dxa"/>
            <w:shd w:val="clear" w:color="auto" w:fill="C6EFCE"/>
            <w:vAlign w:val="center"/>
            <w:hideMark/>
          </w:tcPr>
          <w:p w:rsidRPr="00CB1536" w:rsidR="00D87E44" w:rsidDel="009903E5" w:rsidRDefault="00D87E44" w14:paraId="15459191" w14:textId="77777777">
            <w:pPr>
              <w:spacing w:line="240" w:lineRule="auto"/>
              <w:jc w:val="center"/>
              <w:rPr>
                <w:rFonts w:eastAsia="Times New Roman"/>
                <w:noProof/>
                <w:color w:val="006100"/>
                <w:sz w:val="20"/>
                <w:szCs w:val="20"/>
              </w:rPr>
            </w:pPr>
            <w:r w:rsidRPr="456DE159">
              <w:rPr>
                <w:rFonts w:eastAsia="Times New Roman"/>
                <w:noProof/>
                <w:color w:val="006100"/>
                <w:sz w:val="20"/>
                <w:szCs w:val="20"/>
              </w:rPr>
              <w:t>Milestone</w:t>
            </w:r>
          </w:p>
        </w:tc>
        <w:tc>
          <w:tcPr>
            <w:tcW w:w="3169" w:type="dxa"/>
            <w:shd w:val="clear" w:color="auto" w:fill="C6EFCE"/>
            <w:vAlign w:val="center"/>
            <w:hideMark/>
          </w:tcPr>
          <w:p w:rsidRPr="00CB1536" w:rsidR="00D87E44" w:rsidDel="009903E5" w:rsidRDefault="00D87E44" w14:paraId="15459192" w14:textId="77777777">
            <w:pPr>
              <w:spacing w:line="240" w:lineRule="auto"/>
              <w:jc w:val="center"/>
              <w:rPr>
                <w:rFonts w:eastAsia="Times New Roman"/>
                <w:noProof/>
                <w:color w:val="006100"/>
                <w:sz w:val="20"/>
                <w:szCs w:val="20"/>
              </w:rPr>
            </w:pPr>
            <w:r w:rsidRPr="456DE159">
              <w:rPr>
                <w:rFonts w:eastAsia="Times New Roman"/>
                <w:noProof/>
                <w:color w:val="006100"/>
                <w:sz w:val="20"/>
                <w:szCs w:val="20"/>
              </w:rPr>
              <w:t>Preferential treatment for registration of fuel distributors authorized to sell hydrogen</w:t>
            </w:r>
          </w:p>
        </w:tc>
      </w:tr>
      <w:tr w:rsidRPr="00E03285" w:rsidR="00D226F4" w:rsidDel="009903E5" w:rsidTr="009F54AF" w14:paraId="15459198" w14:textId="77777777">
        <w:trPr>
          <w:trHeight w:val="300"/>
        </w:trPr>
        <w:tc>
          <w:tcPr>
            <w:tcW w:w="1560" w:type="dxa"/>
            <w:gridSpan w:val="3"/>
            <w:shd w:val="clear" w:color="auto" w:fill="C6EFCE"/>
            <w:vAlign w:val="center"/>
          </w:tcPr>
          <w:p w:rsidRPr="00E03285" w:rsidR="00D87E44" w:rsidDel="009903E5" w:rsidRDefault="00D87E44" w14:paraId="15459194" w14:textId="77777777">
            <w:pPr>
              <w:spacing w:line="240" w:lineRule="auto"/>
              <w:jc w:val="center"/>
              <w:rPr>
                <w:rFonts w:eastAsia="Times New Roman"/>
                <w:noProof/>
                <w:color w:val="004300"/>
                <w:sz w:val="20"/>
                <w:szCs w:val="20"/>
                <w:lang w:val="en-IE"/>
              </w:rPr>
            </w:pPr>
            <w:r w:rsidRPr="00E03285">
              <w:rPr>
                <w:rFonts w:eastAsia="Times New Roman"/>
                <w:noProof/>
                <w:color w:val="006100"/>
                <w:sz w:val="20"/>
                <w:szCs w:val="20"/>
                <w:lang w:val="en-IE"/>
              </w:rPr>
              <w:t>330</w:t>
            </w:r>
          </w:p>
        </w:tc>
        <w:tc>
          <w:tcPr>
            <w:tcW w:w="3462" w:type="dxa"/>
            <w:gridSpan w:val="2"/>
            <w:shd w:val="clear" w:color="auto" w:fill="C6EFCE"/>
            <w:vAlign w:val="center"/>
          </w:tcPr>
          <w:p w:rsidRPr="00E03285" w:rsidR="00D87E44" w:rsidDel="009903E5" w:rsidRDefault="00D87E44" w14:paraId="15459195"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lang w:val="en-IE"/>
              </w:rPr>
              <w:t xml:space="preserve">C 7.5 </w:t>
            </w:r>
            <w:r w:rsidRPr="00E03285">
              <w:rPr>
                <w:rFonts w:eastAsia="Times New Roman"/>
                <w:noProof/>
                <w:color w:val="006100"/>
                <w:sz w:val="20"/>
                <w:szCs w:val="20"/>
                <w:lang w:val="en-IE"/>
              </w:rPr>
              <w:t>Decarbonisation of Road Transport (REPowerEU) - Reform 1: National Action Plan for Clean Mobility and deployment targets for zero-emission mobility</w:t>
            </w:r>
          </w:p>
        </w:tc>
        <w:tc>
          <w:tcPr>
            <w:tcW w:w="2407" w:type="dxa"/>
            <w:shd w:val="clear" w:color="auto" w:fill="C6EFCE"/>
            <w:vAlign w:val="center"/>
          </w:tcPr>
          <w:p w:rsidRPr="00CB1536" w:rsidR="00D87E44" w:rsidDel="009903E5" w:rsidRDefault="00D87E44" w14:paraId="15459196" w14:textId="77777777">
            <w:pPr>
              <w:spacing w:line="240" w:lineRule="auto"/>
              <w:jc w:val="center"/>
              <w:rPr>
                <w:rFonts w:eastAsia="Times New Roman"/>
                <w:noProof/>
                <w:color w:val="006100"/>
                <w:sz w:val="20"/>
                <w:szCs w:val="20"/>
              </w:rPr>
            </w:pPr>
            <w:r w:rsidRPr="00E03285">
              <w:rPr>
                <w:rFonts w:eastAsia="Times New Roman"/>
                <w:noProof/>
                <w:color w:val="006100"/>
                <w:sz w:val="20"/>
                <w:szCs w:val="20"/>
                <w:lang w:val="en-IE"/>
              </w:rPr>
              <w:t>Target</w:t>
            </w:r>
          </w:p>
        </w:tc>
        <w:tc>
          <w:tcPr>
            <w:tcW w:w="3169" w:type="dxa"/>
            <w:shd w:val="clear" w:color="auto" w:fill="C6EFCE"/>
            <w:vAlign w:val="center"/>
          </w:tcPr>
          <w:p w:rsidRPr="00CB1536" w:rsidR="00D87E44" w:rsidDel="009903E5" w:rsidRDefault="00D87E44" w14:paraId="15459197" w14:textId="77777777">
            <w:pPr>
              <w:spacing w:line="240" w:lineRule="auto"/>
              <w:jc w:val="center"/>
              <w:rPr>
                <w:rFonts w:eastAsia="Times New Roman"/>
                <w:noProof/>
                <w:color w:val="006100"/>
                <w:sz w:val="20"/>
                <w:szCs w:val="20"/>
              </w:rPr>
            </w:pPr>
            <w:r w:rsidRPr="00E03285">
              <w:rPr>
                <w:rFonts w:eastAsia="Times New Roman"/>
                <w:noProof/>
                <w:color w:val="006100"/>
                <w:sz w:val="20"/>
                <w:szCs w:val="20"/>
                <w:lang w:val="en-IE"/>
              </w:rPr>
              <w:t>Increasing the number of zero-emission vehicles registered</w:t>
            </w:r>
          </w:p>
        </w:tc>
      </w:tr>
      <w:tr w:rsidRPr="00E03285" w:rsidR="00D226F4" w:rsidDel="009903E5" w:rsidTr="009F54AF" w14:paraId="1545919D" w14:textId="77777777">
        <w:trPr>
          <w:trHeight w:val="300"/>
        </w:trPr>
        <w:tc>
          <w:tcPr>
            <w:tcW w:w="1560" w:type="dxa"/>
            <w:gridSpan w:val="3"/>
            <w:shd w:val="clear" w:color="auto" w:fill="C6EFCE"/>
            <w:vAlign w:val="center"/>
          </w:tcPr>
          <w:p w:rsidRPr="00E03285" w:rsidR="00D87E44" w:rsidRDefault="00D87E44" w14:paraId="15459199" w14:textId="77777777">
            <w:pPr>
              <w:spacing w:line="240" w:lineRule="auto"/>
              <w:jc w:val="center"/>
              <w:rPr>
                <w:rFonts w:eastAsia="Times New Roman"/>
                <w:noProof/>
                <w:color w:val="006100"/>
                <w:sz w:val="20"/>
                <w:szCs w:val="20"/>
                <w:lang w:val="en-IE"/>
              </w:rPr>
            </w:pPr>
            <w:r w:rsidRPr="00E03285">
              <w:rPr>
                <w:rFonts w:eastAsia="Times New Roman"/>
                <w:noProof/>
                <w:color w:val="004300"/>
                <w:sz w:val="20"/>
                <w:szCs w:val="20"/>
                <w:lang w:val="en-IE"/>
              </w:rPr>
              <w:t>334</w:t>
            </w:r>
          </w:p>
        </w:tc>
        <w:tc>
          <w:tcPr>
            <w:tcW w:w="3462" w:type="dxa"/>
            <w:gridSpan w:val="2"/>
            <w:shd w:val="clear" w:color="auto" w:fill="C6EFCE"/>
            <w:vAlign w:val="center"/>
          </w:tcPr>
          <w:p w:rsidRPr="00E03285" w:rsidR="00D87E44" w:rsidRDefault="00D87E44" w14:paraId="1545919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7.5 Decarbonisation of Road Transport (REPowerEU) - Reform 3: Improving the regulatory framework for renewable hydrogen</w:t>
            </w:r>
          </w:p>
        </w:tc>
        <w:tc>
          <w:tcPr>
            <w:tcW w:w="2407" w:type="dxa"/>
            <w:shd w:val="clear" w:color="auto" w:fill="C6EFCE"/>
            <w:vAlign w:val="center"/>
          </w:tcPr>
          <w:p w:rsidRPr="00E03285" w:rsidR="00D87E44" w:rsidRDefault="00D87E44" w14:paraId="1545919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69" w:type="dxa"/>
            <w:shd w:val="clear" w:color="auto" w:fill="C6EFCE"/>
            <w:vAlign w:val="center"/>
          </w:tcPr>
          <w:p w:rsidRPr="00E03285" w:rsidR="00D87E44" w:rsidRDefault="00D87E44" w14:paraId="1545919C"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Legislation supporting the </w:t>
            </w:r>
            <w:r w:rsidRPr="00EF08DC">
              <w:rPr>
                <w:rFonts w:eastAsia="Times New Roman"/>
                <w:noProof/>
                <w:color w:val="006100"/>
                <w:sz w:val="20"/>
                <w:szCs w:val="20"/>
                <w:lang w:val="en-IE"/>
              </w:rPr>
              <w:t>uptake of hydrogen</w:t>
            </w:r>
          </w:p>
        </w:tc>
      </w:tr>
      <w:tr w:rsidRPr="00E03285" w:rsidR="00E3458A" w:rsidTr="009F54AF" w14:paraId="154591A2" w14:textId="77777777">
        <w:trPr>
          <w:trHeight w:val="300"/>
        </w:trPr>
        <w:tc>
          <w:tcPr>
            <w:tcW w:w="1560" w:type="dxa"/>
            <w:gridSpan w:val="3"/>
            <w:shd w:val="clear" w:color="auto" w:fill="C6EFCE"/>
            <w:vAlign w:val="center"/>
          </w:tcPr>
          <w:p w:rsidRPr="034F58E5" w:rsidR="00D87E44" w:rsidRDefault="00D87E44" w14:paraId="1545919E" w14:textId="77777777">
            <w:pPr>
              <w:spacing w:line="240" w:lineRule="auto"/>
              <w:jc w:val="center"/>
              <w:rPr>
                <w:rFonts w:eastAsia="Times New Roman"/>
                <w:noProof/>
                <w:color w:val="004300"/>
                <w:sz w:val="20"/>
                <w:szCs w:val="20"/>
                <w:lang w:val="en-IE"/>
              </w:rPr>
            </w:pPr>
            <w:r>
              <w:rPr>
                <w:rFonts w:eastAsia="Times New Roman"/>
                <w:noProof/>
                <w:color w:val="004300"/>
                <w:sz w:val="20"/>
                <w:szCs w:val="20"/>
                <w:lang w:val="en-IE"/>
              </w:rPr>
              <w:t>338</w:t>
            </w:r>
          </w:p>
        </w:tc>
        <w:tc>
          <w:tcPr>
            <w:tcW w:w="3462" w:type="dxa"/>
            <w:gridSpan w:val="2"/>
            <w:shd w:val="clear" w:color="auto" w:fill="C6EFCE"/>
            <w:vAlign w:val="center"/>
          </w:tcPr>
          <w:p w:rsidRPr="06F32C9C" w:rsidR="00D87E44" w:rsidRDefault="00D87E44" w14:paraId="1545919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7.5 Decarbonisation of Road Transport (REPowerEU) - Investment 1: Scaled up measure: Aid for purchase of vehicles – </w:t>
            </w:r>
            <w:r>
              <w:rPr>
                <w:rFonts w:eastAsia="Times New Roman"/>
                <w:noProof/>
                <w:color w:val="006100"/>
                <w:sz w:val="20"/>
                <w:szCs w:val="20"/>
                <w:lang w:val="en-IE"/>
              </w:rPr>
              <w:t xml:space="preserve">zero-emission </w:t>
            </w:r>
            <w:r w:rsidRPr="00E03285">
              <w:rPr>
                <w:rFonts w:eastAsia="Times New Roman"/>
                <w:noProof/>
                <w:color w:val="006100"/>
                <w:sz w:val="20"/>
                <w:szCs w:val="20"/>
                <w:lang w:val="en-IE"/>
              </w:rPr>
              <w:t>for private companies</w:t>
            </w:r>
          </w:p>
        </w:tc>
        <w:tc>
          <w:tcPr>
            <w:tcW w:w="2407" w:type="dxa"/>
            <w:shd w:val="clear" w:color="auto" w:fill="C6EFCE"/>
            <w:vAlign w:val="center"/>
          </w:tcPr>
          <w:p w:rsidRPr="00E03285" w:rsidR="00D87E44" w:rsidRDefault="00D87E44" w14:paraId="154591A0"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Target</w:t>
            </w:r>
          </w:p>
        </w:tc>
        <w:tc>
          <w:tcPr>
            <w:tcW w:w="3169" w:type="dxa"/>
            <w:shd w:val="clear" w:color="auto" w:fill="C6EFCE"/>
            <w:vAlign w:val="center"/>
          </w:tcPr>
          <w:p w:rsidRPr="00E03285" w:rsidR="00D87E44" w:rsidRDefault="00D87E44" w14:paraId="154591A1" w14:textId="77777777">
            <w:pPr>
              <w:spacing w:line="240" w:lineRule="auto"/>
              <w:jc w:val="center"/>
              <w:rPr>
                <w:rFonts w:eastAsia="Times New Roman"/>
                <w:noProof/>
                <w:color w:val="004300"/>
                <w:sz w:val="20"/>
                <w:szCs w:val="20"/>
                <w:lang w:val="en-IE"/>
              </w:rPr>
            </w:pPr>
            <w:r w:rsidRPr="00B654F6">
              <w:rPr>
                <w:rFonts w:eastAsia="Times New Roman"/>
                <w:noProof/>
                <w:color w:val="006100"/>
                <w:sz w:val="20"/>
                <w:szCs w:val="20"/>
              </w:rPr>
              <w:t>Scale-up of target 119 of Component 2.4</w:t>
            </w:r>
          </w:p>
        </w:tc>
      </w:tr>
      <w:tr w:rsidRPr="00E03285" w:rsidR="00E3458A" w:rsidTr="009F54AF" w14:paraId="154591A7" w14:textId="77777777">
        <w:trPr>
          <w:trHeight w:val="300"/>
        </w:trPr>
        <w:tc>
          <w:tcPr>
            <w:tcW w:w="1560" w:type="dxa"/>
            <w:gridSpan w:val="3"/>
            <w:shd w:val="clear" w:color="auto" w:fill="C6EFCE"/>
            <w:vAlign w:val="center"/>
          </w:tcPr>
          <w:p w:rsidRPr="00E03285" w:rsidR="00D87E44" w:rsidRDefault="00D87E44" w14:paraId="154591A3" w14:textId="77777777">
            <w:pPr>
              <w:spacing w:before="0" w:after="0" w:line="240" w:lineRule="auto"/>
              <w:jc w:val="center"/>
              <w:rPr>
                <w:rFonts w:eastAsia="Times New Roman"/>
                <w:noProof/>
                <w:color w:val="004300"/>
                <w:sz w:val="20"/>
                <w:szCs w:val="20"/>
                <w:lang w:val="en-IE"/>
              </w:rPr>
            </w:pPr>
          </w:p>
        </w:tc>
        <w:tc>
          <w:tcPr>
            <w:tcW w:w="3462" w:type="dxa"/>
            <w:gridSpan w:val="2"/>
            <w:shd w:val="clear" w:color="auto" w:fill="C6EFCE"/>
            <w:vAlign w:val="center"/>
          </w:tcPr>
          <w:p w:rsidRPr="00E03285" w:rsidR="00D87E44" w:rsidRDefault="00D87E44" w14:paraId="154591A4" w14:textId="77777777">
            <w:pPr>
              <w:spacing w:before="0" w:after="0" w:line="240" w:lineRule="auto"/>
              <w:jc w:val="center"/>
              <w:rPr>
                <w:rFonts w:eastAsia="Times New Roman"/>
                <w:noProof/>
                <w:color w:val="006100"/>
                <w:sz w:val="20"/>
                <w:szCs w:val="20"/>
                <w:lang w:val="en-IE"/>
              </w:rPr>
            </w:pPr>
          </w:p>
        </w:tc>
        <w:tc>
          <w:tcPr>
            <w:tcW w:w="2407" w:type="dxa"/>
            <w:shd w:val="clear" w:color="auto" w:fill="C6EFCE"/>
            <w:vAlign w:val="center"/>
            <w:hideMark/>
          </w:tcPr>
          <w:p w:rsidRPr="00E03285" w:rsidR="00D87E44" w:rsidRDefault="00D87E44" w14:paraId="154591A5" w14:textId="77777777">
            <w:pPr>
              <w:spacing w:before="0" w:after="0" w:line="240" w:lineRule="auto"/>
              <w:jc w:val="center"/>
              <w:rPr>
                <w:rFonts w:eastAsia="Times New Roman"/>
                <w:b/>
                <w:noProof/>
                <w:color w:val="006100"/>
                <w:sz w:val="20"/>
                <w:szCs w:val="20"/>
                <w:lang w:val="en-IE"/>
              </w:rPr>
            </w:pPr>
            <w:r w:rsidRPr="00E03285">
              <w:rPr>
                <w:rFonts w:eastAsia="Times New Roman"/>
                <w:b/>
                <w:noProof/>
                <w:color w:val="006100"/>
                <w:sz w:val="20"/>
                <w:szCs w:val="20"/>
                <w:lang w:val="en-IE"/>
              </w:rPr>
              <w:t>Instalment Amount</w:t>
            </w:r>
          </w:p>
        </w:tc>
        <w:tc>
          <w:tcPr>
            <w:tcW w:w="3169" w:type="dxa"/>
            <w:shd w:val="clear" w:color="auto" w:fill="C6EFCE"/>
            <w:vAlign w:val="center"/>
            <w:hideMark/>
          </w:tcPr>
          <w:p w:rsidRPr="00FF1320" w:rsidR="00D87E44" w:rsidRDefault="00D87E44" w14:paraId="154591A6" w14:textId="77777777">
            <w:pPr>
              <w:spacing w:line="240" w:lineRule="auto"/>
              <w:jc w:val="center"/>
              <w:rPr>
                <w:b/>
                <w:color w:val="006100"/>
                <w:sz w:val="20"/>
              </w:rPr>
            </w:pPr>
            <w:r w:rsidRPr="29C93A69">
              <w:rPr>
                <w:rFonts w:eastAsia="Times New Roman"/>
                <w:b/>
                <w:bCs/>
                <w:noProof/>
                <w:color w:val="006100"/>
                <w:sz w:val="20"/>
                <w:szCs w:val="20"/>
              </w:rPr>
              <w:t>EUR</w:t>
            </w:r>
            <w:r>
              <w:rPr>
                <w:rFonts w:eastAsia="Times New Roman"/>
                <w:b/>
                <w:bCs/>
                <w:noProof/>
                <w:color w:val="006100"/>
                <w:sz w:val="20"/>
                <w:szCs w:val="20"/>
              </w:rPr>
              <w:t xml:space="preserve"> </w:t>
            </w:r>
            <w:r w:rsidRPr="50A0F14C">
              <w:rPr>
                <w:rFonts w:eastAsia="Times New Roman"/>
                <w:b/>
                <w:bCs/>
                <w:noProof/>
                <w:color w:val="006100"/>
                <w:sz w:val="20"/>
                <w:szCs w:val="20"/>
              </w:rPr>
              <w:t>703</w:t>
            </w:r>
            <w:r>
              <w:rPr>
                <w:rFonts w:eastAsia="Times New Roman"/>
                <w:b/>
                <w:bCs/>
                <w:noProof/>
                <w:color w:val="006100"/>
                <w:sz w:val="20"/>
                <w:szCs w:val="20"/>
              </w:rPr>
              <w:t> </w:t>
            </w:r>
            <w:r w:rsidRPr="50A0F14C">
              <w:rPr>
                <w:rFonts w:eastAsia="Times New Roman"/>
                <w:b/>
                <w:bCs/>
                <w:noProof/>
                <w:color w:val="006100"/>
                <w:sz w:val="20"/>
                <w:szCs w:val="20"/>
              </w:rPr>
              <w:t>960</w:t>
            </w:r>
            <w:r>
              <w:rPr>
                <w:rFonts w:eastAsia="Times New Roman"/>
                <w:b/>
                <w:bCs/>
                <w:noProof/>
                <w:color w:val="006100"/>
                <w:sz w:val="20"/>
                <w:szCs w:val="20"/>
              </w:rPr>
              <w:t> </w:t>
            </w:r>
            <w:r w:rsidRPr="50A0F14C">
              <w:rPr>
                <w:rFonts w:eastAsia="Times New Roman"/>
                <w:b/>
                <w:bCs/>
                <w:noProof/>
                <w:color w:val="006100"/>
                <w:sz w:val="20"/>
                <w:szCs w:val="20"/>
              </w:rPr>
              <w:t>539</w:t>
            </w:r>
          </w:p>
        </w:tc>
      </w:tr>
    </w:tbl>
    <w:p w:rsidRPr="00E03285" w:rsidR="00D87E44" w:rsidP="00D226F4" w:rsidRDefault="00D87E44" w14:paraId="154591A8" w14:textId="77777777">
      <w:pPr>
        <w:spacing w:line="240" w:lineRule="auto"/>
        <w:ind w:left="850"/>
        <w:jc w:val="both"/>
        <w:rPr>
          <w:noProof/>
          <w:lang w:val="en-IE"/>
        </w:rPr>
      </w:pPr>
    </w:p>
    <w:p w:rsidRPr="00E03285" w:rsidR="00D87E44" w:rsidP="00D226F4" w:rsidRDefault="00D87E44" w14:paraId="154591A9" w14:textId="77777777">
      <w:pPr>
        <w:pStyle w:val="NumPar2"/>
        <w:numPr>
          <w:ilvl w:val="1"/>
          <w:numId w:val="89"/>
        </w:numPr>
        <w:rPr>
          <w:noProof/>
          <w:lang w:val="en-IE"/>
        </w:rPr>
      </w:pPr>
      <w:r w:rsidRPr="00E03285">
        <w:rPr>
          <w:noProof/>
          <w:lang w:val="en-IE"/>
        </w:rPr>
        <w:t xml:space="preserve">Eighth Instalment (non-repayable support): </w:t>
      </w:r>
    </w:p>
    <w:tbl>
      <w:tblPr>
        <w:tblW w:w="10514"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99"/>
        <w:gridCol w:w="3317"/>
        <w:gridCol w:w="2325"/>
        <w:gridCol w:w="3107"/>
        <w:gridCol w:w="66"/>
      </w:tblGrid>
      <w:tr w:rsidRPr="00E03285" w:rsidR="00E3458A" w:rsidTr="004A6335" w14:paraId="154591AE" w14:textId="77777777">
        <w:trPr>
          <w:trHeight w:val="822"/>
          <w:tblHeader/>
        </w:trPr>
        <w:tc>
          <w:tcPr>
            <w:tcW w:w="1699" w:type="dxa"/>
            <w:shd w:val="clear" w:color="auto" w:fill="BDD7EE"/>
            <w:vAlign w:val="center"/>
            <w:hideMark/>
          </w:tcPr>
          <w:p w:rsidRPr="00E03285" w:rsidR="00D87E44" w:rsidRDefault="00D87E44" w14:paraId="154591AA" w14:textId="77777777">
            <w:pPr>
              <w:spacing w:before="0" w:after="0" w:line="240" w:lineRule="auto"/>
              <w:jc w:val="center"/>
              <w:rPr>
                <w:b/>
                <w:color w:val="000000"/>
                <w:lang w:val="en-IE"/>
              </w:rPr>
            </w:pPr>
            <w:r w:rsidRPr="00FF1320">
              <w:rPr>
                <w:b/>
                <w:color w:val="000000"/>
                <w:lang w:val="en-IE"/>
              </w:rPr>
              <w:t>Sequential Number</w:t>
            </w:r>
          </w:p>
        </w:tc>
        <w:tc>
          <w:tcPr>
            <w:tcW w:w="3317" w:type="dxa"/>
            <w:shd w:val="clear" w:color="auto" w:fill="BDD7EE"/>
            <w:vAlign w:val="center"/>
            <w:hideMark/>
          </w:tcPr>
          <w:p w:rsidRPr="00E03285" w:rsidR="00D87E44" w:rsidRDefault="00D87E44" w14:paraId="154591AB" w14:textId="77777777">
            <w:pPr>
              <w:spacing w:before="0" w:after="0" w:line="240" w:lineRule="auto"/>
              <w:jc w:val="center"/>
              <w:rPr>
                <w:b/>
                <w:color w:val="000000"/>
                <w:lang w:val="en-IE"/>
              </w:rPr>
            </w:pPr>
            <w:r w:rsidRPr="00FF1320">
              <w:rPr>
                <w:b/>
                <w:color w:val="000000"/>
                <w:lang w:val="en-IE"/>
              </w:rPr>
              <w:t>Related Measure (Reform or Investment)</w:t>
            </w:r>
          </w:p>
        </w:tc>
        <w:tc>
          <w:tcPr>
            <w:tcW w:w="2325" w:type="dxa"/>
            <w:shd w:val="clear" w:color="auto" w:fill="BDD7EE"/>
            <w:vAlign w:val="center"/>
            <w:hideMark/>
          </w:tcPr>
          <w:p w:rsidRPr="00E03285" w:rsidR="00D87E44" w:rsidRDefault="00D87E44" w14:paraId="154591AC" w14:textId="77777777">
            <w:pPr>
              <w:spacing w:before="0" w:after="0" w:line="240" w:lineRule="auto"/>
              <w:jc w:val="center"/>
              <w:rPr>
                <w:b/>
                <w:color w:val="000000"/>
                <w:lang w:val="en-IE"/>
              </w:rPr>
            </w:pPr>
            <w:r w:rsidRPr="00FF1320">
              <w:rPr>
                <w:b/>
                <w:color w:val="000000"/>
                <w:lang w:val="en-IE"/>
              </w:rPr>
              <w:t>Milestone / Target</w:t>
            </w:r>
          </w:p>
        </w:tc>
        <w:tc>
          <w:tcPr>
            <w:tcW w:w="3173" w:type="dxa"/>
            <w:gridSpan w:val="2"/>
            <w:shd w:val="clear" w:color="auto" w:fill="BDD7EE"/>
            <w:vAlign w:val="center"/>
            <w:hideMark/>
          </w:tcPr>
          <w:p w:rsidRPr="00E03285" w:rsidR="00D87E44" w:rsidRDefault="00D87E44" w14:paraId="154591AD" w14:textId="77777777">
            <w:pPr>
              <w:spacing w:before="0" w:after="0" w:line="240" w:lineRule="auto"/>
              <w:jc w:val="center"/>
              <w:rPr>
                <w:b/>
                <w:color w:val="000000"/>
                <w:lang w:val="en-IE"/>
              </w:rPr>
            </w:pPr>
            <w:r w:rsidRPr="00FF1320">
              <w:rPr>
                <w:b/>
                <w:color w:val="000000"/>
                <w:lang w:val="en-IE"/>
              </w:rPr>
              <w:t>Name</w:t>
            </w:r>
          </w:p>
        </w:tc>
      </w:tr>
      <w:tr w:rsidRPr="00E03285" w:rsidR="00D226F4" w:rsidTr="004A6335" w14:paraId="154591B3" w14:textId="77777777">
        <w:trPr>
          <w:trHeight w:val="300"/>
        </w:trPr>
        <w:tc>
          <w:tcPr>
            <w:tcW w:w="1699" w:type="dxa"/>
            <w:shd w:val="clear" w:color="auto" w:fill="C6EFCE"/>
            <w:vAlign w:val="center"/>
            <w:hideMark/>
          </w:tcPr>
          <w:p w:rsidRPr="00E03285" w:rsidR="00D87E44" w:rsidRDefault="00D87E44" w14:paraId="154591A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4</w:t>
            </w:r>
          </w:p>
        </w:tc>
        <w:tc>
          <w:tcPr>
            <w:tcW w:w="3317" w:type="dxa"/>
            <w:shd w:val="clear" w:color="auto" w:fill="C6EFCE"/>
            <w:vAlign w:val="center"/>
            <w:hideMark/>
          </w:tcPr>
          <w:p w:rsidRPr="00E03285" w:rsidR="00D87E44" w:rsidRDefault="00D87E44" w14:paraId="154591B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1.1: Digital </w:t>
            </w:r>
            <w:r>
              <w:rPr>
                <w:rFonts w:eastAsia="Times New Roman"/>
                <w:noProof/>
                <w:color w:val="006100"/>
                <w:sz w:val="20"/>
                <w:szCs w:val="20"/>
                <w:lang w:val="en-IE"/>
              </w:rPr>
              <w:t>S</w:t>
            </w:r>
            <w:r w:rsidRPr="00E03285">
              <w:rPr>
                <w:rFonts w:eastAsia="Times New Roman"/>
                <w:noProof/>
                <w:color w:val="006100"/>
                <w:sz w:val="20"/>
                <w:szCs w:val="20"/>
                <w:lang w:val="en-IE"/>
              </w:rPr>
              <w:t xml:space="preserve">ervices to </w:t>
            </w:r>
            <w:r>
              <w:rPr>
                <w:rFonts w:eastAsia="Times New Roman"/>
                <w:noProof/>
                <w:color w:val="006100"/>
                <w:sz w:val="20"/>
                <w:szCs w:val="20"/>
                <w:lang w:val="en-IE"/>
              </w:rPr>
              <w:t>C</w:t>
            </w:r>
            <w:r w:rsidRPr="00E03285">
              <w:rPr>
                <w:rFonts w:eastAsia="Times New Roman"/>
                <w:noProof/>
                <w:color w:val="006100"/>
                <w:sz w:val="20"/>
                <w:szCs w:val="20"/>
                <w:lang w:val="en-IE"/>
              </w:rPr>
              <w:t xml:space="preserve">itizens and </w:t>
            </w:r>
            <w:r>
              <w:rPr>
                <w:rFonts w:eastAsia="Times New Roman"/>
                <w:noProof/>
                <w:color w:val="006100"/>
                <w:sz w:val="20"/>
                <w:szCs w:val="20"/>
                <w:lang w:val="en-IE"/>
              </w:rPr>
              <w:t>B</w:t>
            </w:r>
            <w:r w:rsidRPr="00E03285">
              <w:rPr>
                <w:rFonts w:eastAsia="Times New Roman"/>
                <w:noProof/>
                <w:color w:val="006100"/>
                <w:sz w:val="20"/>
                <w:szCs w:val="20"/>
                <w:lang w:val="en-IE"/>
              </w:rPr>
              <w:t>usinesses - Reform 2: eHealth services</w:t>
            </w:r>
          </w:p>
        </w:tc>
        <w:tc>
          <w:tcPr>
            <w:tcW w:w="2325" w:type="dxa"/>
            <w:shd w:val="clear" w:color="auto" w:fill="C6EFCE"/>
            <w:vAlign w:val="center"/>
            <w:hideMark/>
          </w:tcPr>
          <w:p w:rsidRPr="00E03285" w:rsidR="00D87E44" w:rsidRDefault="00D87E44" w14:paraId="154591B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hideMark/>
          </w:tcPr>
          <w:p w:rsidRPr="00E03285" w:rsidR="00D87E44" w:rsidRDefault="00D87E44" w14:paraId="154591B2"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Acceptance of projects </w:t>
            </w:r>
            <w:r w:rsidRPr="387B5440">
              <w:rPr>
                <w:rFonts w:eastAsia="Times New Roman"/>
                <w:noProof/>
                <w:color w:val="006100"/>
                <w:sz w:val="20"/>
                <w:szCs w:val="20"/>
                <w:lang w:val="en-IE"/>
              </w:rPr>
              <w:t>delivering new telemedicine and eHealth services</w:t>
            </w:r>
          </w:p>
        </w:tc>
      </w:tr>
      <w:tr w:rsidRPr="00E03285" w:rsidR="00D226F4" w:rsidTr="004A6335" w14:paraId="154591B8" w14:textId="77777777">
        <w:trPr>
          <w:trHeight w:val="300"/>
        </w:trPr>
        <w:tc>
          <w:tcPr>
            <w:tcW w:w="1699" w:type="dxa"/>
            <w:shd w:val="clear" w:color="auto" w:fill="C6EFCE"/>
            <w:vAlign w:val="center"/>
            <w:hideMark/>
          </w:tcPr>
          <w:p w:rsidRPr="00E03285" w:rsidR="00D87E44" w:rsidRDefault="00D87E44" w14:paraId="154591B4"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6</w:t>
            </w:r>
          </w:p>
        </w:tc>
        <w:tc>
          <w:tcPr>
            <w:tcW w:w="3317" w:type="dxa"/>
            <w:shd w:val="clear" w:color="auto" w:fill="C6EFCE"/>
            <w:vAlign w:val="center"/>
            <w:hideMark/>
          </w:tcPr>
          <w:p w:rsidRPr="00E03285" w:rsidR="00D87E44" w:rsidRDefault="00D87E44" w14:paraId="154591B5"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1.1: Digital Services to Citizens and Businesses - Reform 2: eHealth services</w:t>
            </w:r>
          </w:p>
        </w:tc>
        <w:tc>
          <w:tcPr>
            <w:tcW w:w="2325" w:type="dxa"/>
            <w:shd w:val="clear" w:color="auto" w:fill="C6EFCE"/>
            <w:vAlign w:val="center"/>
            <w:hideMark/>
          </w:tcPr>
          <w:p w:rsidRPr="00E03285" w:rsidR="00D87E44" w:rsidRDefault="00D87E44" w14:paraId="154591B6"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73" w:type="dxa"/>
            <w:gridSpan w:val="2"/>
            <w:shd w:val="clear" w:color="auto" w:fill="C6EFCE"/>
            <w:vAlign w:val="center"/>
            <w:hideMark/>
          </w:tcPr>
          <w:p w:rsidRPr="00E03285" w:rsidR="00D87E44" w:rsidRDefault="00D87E44" w14:paraId="154591B7"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Connection of healthcare providers to the interoperability system </w:t>
            </w:r>
          </w:p>
        </w:tc>
      </w:tr>
      <w:tr w:rsidRPr="00E03285" w:rsidR="004A6335" w:rsidTr="004A6335" w14:paraId="154591BD" w14:textId="77777777">
        <w:trPr>
          <w:trHeight w:val="300"/>
        </w:trPr>
        <w:tc>
          <w:tcPr>
            <w:tcW w:w="1699" w:type="dxa"/>
            <w:shd w:val="clear" w:color="auto" w:fill="C6EFCE"/>
            <w:vAlign w:val="center"/>
          </w:tcPr>
          <w:p w:rsidRPr="387B5440" w:rsidR="00D87E44" w:rsidP="004A6335" w:rsidRDefault="00D87E44" w14:paraId="154591B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10</w:t>
            </w:r>
          </w:p>
        </w:tc>
        <w:tc>
          <w:tcPr>
            <w:tcW w:w="3317" w:type="dxa"/>
            <w:shd w:val="clear" w:color="auto" w:fill="C6EFCE"/>
            <w:vAlign w:val="center"/>
          </w:tcPr>
          <w:p w:rsidRPr="387B5440" w:rsidR="00D87E44" w:rsidP="004A6335" w:rsidRDefault="00D87E44" w14:paraId="154591B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1.1: Digital </w:t>
            </w:r>
            <w:r>
              <w:rPr>
                <w:rFonts w:eastAsia="Times New Roman"/>
                <w:noProof/>
                <w:color w:val="006100"/>
                <w:sz w:val="20"/>
                <w:szCs w:val="20"/>
                <w:lang w:val="en-IE"/>
              </w:rPr>
              <w:t>S</w:t>
            </w:r>
            <w:r w:rsidRPr="00E03285">
              <w:rPr>
                <w:rFonts w:eastAsia="Times New Roman"/>
                <w:noProof/>
                <w:color w:val="006100"/>
                <w:sz w:val="20"/>
                <w:szCs w:val="20"/>
                <w:lang w:val="en-IE"/>
              </w:rPr>
              <w:t xml:space="preserve">ervices to </w:t>
            </w:r>
            <w:r>
              <w:rPr>
                <w:rFonts w:eastAsia="Times New Roman"/>
                <w:noProof/>
                <w:color w:val="006100"/>
                <w:sz w:val="20"/>
                <w:szCs w:val="20"/>
                <w:lang w:val="en-IE"/>
              </w:rPr>
              <w:t>C</w:t>
            </w:r>
            <w:r w:rsidRPr="00E03285">
              <w:rPr>
                <w:rFonts w:eastAsia="Times New Roman"/>
                <w:noProof/>
                <w:color w:val="006100"/>
                <w:sz w:val="20"/>
                <w:szCs w:val="20"/>
                <w:lang w:val="en-IE"/>
              </w:rPr>
              <w:t xml:space="preserve">itizens and </w:t>
            </w:r>
            <w:r>
              <w:rPr>
                <w:rFonts w:eastAsia="Times New Roman"/>
                <w:noProof/>
                <w:color w:val="006100"/>
                <w:sz w:val="20"/>
                <w:szCs w:val="20"/>
                <w:lang w:val="en-IE"/>
              </w:rPr>
              <w:t>B</w:t>
            </w:r>
            <w:r w:rsidRPr="00E03285">
              <w:rPr>
                <w:rFonts w:eastAsia="Times New Roman"/>
                <w:noProof/>
                <w:color w:val="006100"/>
                <w:sz w:val="20"/>
                <w:szCs w:val="20"/>
                <w:lang w:val="en-IE"/>
              </w:rPr>
              <w:t>usinesses - Investment 1: Digital services for end users</w:t>
            </w:r>
          </w:p>
        </w:tc>
        <w:tc>
          <w:tcPr>
            <w:tcW w:w="2325" w:type="dxa"/>
            <w:shd w:val="clear" w:color="auto" w:fill="C6EFCE"/>
            <w:vAlign w:val="center"/>
          </w:tcPr>
          <w:p w:rsidRPr="387B5440" w:rsidR="00D87E44" w:rsidP="004A6335" w:rsidRDefault="00D87E44" w14:paraId="154591B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tcPr>
          <w:p w:rsidRPr="387B5440" w:rsidR="00D87E44" w:rsidP="004A6335" w:rsidRDefault="00D87E44" w14:paraId="154591BC"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Accepted digitalisation projects</w:t>
            </w:r>
          </w:p>
        </w:tc>
      </w:tr>
      <w:tr w:rsidRPr="00E03285" w:rsidR="00D226F4" w:rsidTr="004A6335" w14:paraId="154591C2" w14:textId="77777777">
        <w:trPr>
          <w:trHeight w:val="300"/>
        </w:trPr>
        <w:tc>
          <w:tcPr>
            <w:tcW w:w="1699" w:type="dxa"/>
            <w:shd w:val="clear" w:color="auto" w:fill="C6EFCE"/>
            <w:vAlign w:val="center"/>
            <w:hideMark/>
          </w:tcPr>
          <w:p w:rsidRPr="00E03285" w:rsidR="00D87E44" w:rsidRDefault="00D87E44" w14:paraId="154591BE"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19</w:t>
            </w:r>
          </w:p>
        </w:tc>
        <w:tc>
          <w:tcPr>
            <w:tcW w:w="3317" w:type="dxa"/>
            <w:shd w:val="clear" w:color="auto" w:fill="C6EFCE"/>
            <w:vAlign w:val="center"/>
            <w:hideMark/>
          </w:tcPr>
          <w:p w:rsidRPr="00E03285" w:rsidR="00D87E44" w:rsidRDefault="00D87E44" w14:paraId="154591B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1.2: Digital </w:t>
            </w:r>
            <w:r w:rsidRPr="00CB1536">
              <w:rPr>
                <w:rFonts w:eastAsia="Times New Roman"/>
                <w:noProof/>
                <w:color w:val="006100"/>
                <w:sz w:val="20"/>
                <w:szCs w:val="20"/>
                <w:lang w:val="en-IE"/>
              </w:rPr>
              <w:t xml:space="preserve">Public </w:t>
            </w:r>
            <w:r w:rsidRPr="00CB1536">
              <w:rPr>
                <w:rFonts w:eastAsia="Times New Roman"/>
                <w:noProof/>
                <w:color w:val="006100"/>
                <w:sz w:val="20"/>
                <w:szCs w:val="20"/>
                <w:lang w:val="en-IE"/>
              </w:rPr>
              <w:t>Administration Systems - Investment 1:</w:t>
            </w:r>
            <w:r w:rsidRPr="008B61DC">
              <w:rPr>
                <w:noProof/>
              </w:rPr>
              <w:br/>
            </w:r>
            <w:r w:rsidRPr="00CB1536">
              <w:rPr>
                <w:rFonts w:eastAsia="Times New Roman"/>
                <w:noProof/>
                <w:color w:val="006100"/>
                <w:sz w:val="20"/>
                <w:szCs w:val="20"/>
                <w:lang w:val="en-IE"/>
              </w:rPr>
              <w:t>Development and improving individual information systems</w:t>
            </w:r>
          </w:p>
        </w:tc>
        <w:tc>
          <w:tcPr>
            <w:tcW w:w="2325" w:type="dxa"/>
            <w:shd w:val="clear" w:color="auto" w:fill="C6EFCE"/>
            <w:vAlign w:val="center"/>
            <w:hideMark/>
          </w:tcPr>
          <w:p w:rsidRPr="00E03285" w:rsidR="00D87E44" w:rsidRDefault="00D87E44" w14:paraId="154591C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hideMark/>
          </w:tcPr>
          <w:p w:rsidRPr="00E03285" w:rsidR="00D87E44" w:rsidRDefault="00D87E44" w14:paraId="154591C1"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New or upgraded information systems</w:t>
            </w:r>
          </w:p>
        </w:tc>
      </w:tr>
      <w:tr w:rsidRPr="00E03285" w:rsidR="00D226F4" w:rsidTr="004A6335" w14:paraId="154591C7" w14:textId="77777777">
        <w:trPr>
          <w:trHeight w:val="300"/>
        </w:trPr>
        <w:tc>
          <w:tcPr>
            <w:tcW w:w="1699" w:type="dxa"/>
            <w:shd w:val="clear" w:color="auto" w:fill="C6EFCE"/>
            <w:vAlign w:val="center"/>
            <w:hideMark/>
          </w:tcPr>
          <w:p w:rsidRPr="00E03285" w:rsidR="00D87E44" w:rsidRDefault="00D87E44" w14:paraId="154591C3"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lastRenderedPageBreak/>
              <w:t>24</w:t>
            </w:r>
          </w:p>
        </w:tc>
        <w:tc>
          <w:tcPr>
            <w:tcW w:w="3317" w:type="dxa"/>
            <w:shd w:val="clear" w:color="auto" w:fill="C6EFCE"/>
            <w:vAlign w:val="center"/>
            <w:hideMark/>
          </w:tcPr>
          <w:p w:rsidRPr="00E03285" w:rsidR="00D87E44" w:rsidRDefault="00D87E44" w14:paraId="154591C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1.2: Digital Public Administration Systems - Investment 3:</w:t>
            </w:r>
            <w:r w:rsidRPr="00E03285">
              <w:rPr>
                <w:rFonts w:eastAsia="Times New Roman"/>
                <w:noProof/>
                <w:color w:val="006100"/>
                <w:sz w:val="20"/>
                <w:szCs w:val="20"/>
                <w:lang w:val="en-IE"/>
              </w:rPr>
              <w:br/>
              <w:t>Cybersecurity</w:t>
            </w:r>
          </w:p>
        </w:tc>
        <w:tc>
          <w:tcPr>
            <w:tcW w:w="2325" w:type="dxa"/>
            <w:shd w:val="clear" w:color="auto" w:fill="C6EFCE"/>
            <w:vAlign w:val="center"/>
            <w:hideMark/>
          </w:tcPr>
          <w:p w:rsidRPr="00E03285" w:rsidR="00D87E44" w:rsidRDefault="00D87E44" w14:paraId="154591C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hideMark/>
          </w:tcPr>
          <w:p w:rsidRPr="00E03285" w:rsidR="00D87E44" w:rsidRDefault="00D87E44" w14:paraId="154591C6" w14:textId="77777777">
            <w:pPr>
              <w:spacing w:before="0" w:after="0" w:line="240" w:lineRule="auto"/>
              <w:jc w:val="center"/>
              <w:rPr>
                <w:noProof/>
              </w:rPr>
            </w:pPr>
            <w:r w:rsidRPr="387B5440">
              <w:rPr>
                <w:rFonts w:eastAsia="Times New Roman"/>
                <w:noProof/>
                <w:color w:val="006100"/>
                <w:sz w:val="20"/>
                <w:szCs w:val="20"/>
                <w:lang w:val="en-IE"/>
              </w:rPr>
              <w:t xml:space="preserve">Number of </w:t>
            </w:r>
            <w:r>
              <w:rPr>
                <w:rFonts w:eastAsia="Times New Roman"/>
                <w:noProof/>
                <w:color w:val="006100"/>
                <w:sz w:val="20"/>
                <w:szCs w:val="20"/>
                <w:lang w:val="en-IE"/>
              </w:rPr>
              <w:t xml:space="preserve">cybersecurity </w:t>
            </w:r>
            <w:r w:rsidRPr="387B5440">
              <w:rPr>
                <w:rFonts w:eastAsia="Times New Roman"/>
                <w:noProof/>
                <w:color w:val="006100"/>
                <w:sz w:val="20"/>
                <w:szCs w:val="20"/>
                <w:lang w:val="en-IE"/>
              </w:rPr>
              <w:t xml:space="preserve">projects </w:t>
            </w:r>
            <w:r>
              <w:rPr>
                <w:rFonts w:eastAsia="Times New Roman"/>
                <w:noProof/>
                <w:color w:val="006100"/>
                <w:sz w:val="20"/>
                <w:szCs w:val="20"/>
                <w:lang w:val="en-IE"/>
              </w:rPr>
              <w:t>accepted</w:t>
            </w:r>
          </w:p>
        </w:tc>
      </w:tr>
      <w:tr w:rsidRPr="00E03285" w:rsidR="00D226F4" w:rsidTr="004A6335" w14:paraId="154591CC" w14:textId="77777777">
        <w:trPr>
          <w:trHeight w:val="300"/>
        </w:trPr>
        <w:tc>
          <w:tcPr>
            <w:tcW w:w="1699" w:type="dxa"/>
            <w:shd w:val="clear" w:color="auto" w:fill="C6EFCE"/>
            <w:vAlign w:val="center"/>
            <w:hideMark/>
          </w:tcPr>
          <w:p w:rsidRPr="00E03285" w:rsidR="00D87E44" w:rsidRDefault="00D87E44" w14:paraId="154591C8"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28</w:t>
            </w:r>
          </w:p>
        </w:tc>
        <w:tc>
          <w:tcPr>
            <w:tcW w:w="3317" w:type="dxa"/>
            <w:shd w:val="clear" w:color="auto" w:fill="C6EFCE"/>
            <w:vAlign w:val="center"/>
            <w:hideMark/>
          </w:tcPr>
          <w:p w:rsidRPr="00E03285" w:rsidR="00D87E44" w:rsidRDefault="00D87E44" w14:paraId="154591C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1.2: Digital Public Administration Systems - Reform 2:</w:t>
            </w:r>
            <w:r w:rsidRPr="00E03285">
              <w:rPr>
                <w:rFonts w:eastAsia="Times New Roman"/>
                <w:noProof/>
                <w:color w:val="006100"/>
                <w:sz w:val="20"/>
                <w:szCs w:val="20"/>
                <w:lang w:val="en-IE"/>
              </w:rPr>
              <w:br/>
              <w:t>Development of systems supporting eHealth</w:t>
            </w:r>
          </w:p>
        </w:tc>
        <w:tc>
          <w:tcPr>
            <w:tcW w:w="2325" w:type="dxa"/>
            <w:shd w:val="clear" w:color="auto" w:fill="C6EFCE"/>
            <w:vAlign w:val="center"/>
            <w:hideMark/>
          </w:tcPr>
          <w:p w:rsidRPr="00E03285" w:rsidR="00D87E44" w:rsidRDefault="00D87E44" w14:paraId="154591C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73" w:type="dxa"/>
            <w:gridSpan w:val="2"/>
            <w:shd w:val="clear" w:color="auto" w:fill="C6EFCE"/>
            <w:vAlign w:val="center"/>
            <w:hideMark/>
          </w:tcPr>
          <w:p w:rsidRPr="00E03285" w:rsidR="00D87E44" w:rsidRDefault="00D87E44" w14:paraId="154591CB"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Acceptance of eHealth projects</w:t>
            </w:r>
          </w:p>
        </w:tc>
      </w:tr>
      <w:tr w:rsidRPr="00E03285" w:rsidR="00D226F4" w:rsidTr="004A6335" w14:paraId="154591D1" w14:textId="77777777">
        <w:trPr>
          <w:trHeight w:val="300"/>
        </w:trPr>
        <w:tc>
          <w:tcPr>
            <w:tcW w:w="1699" w:type="dxa"/>
            <w:shd w:val="clear" w:color="auto" w:fill="C6EFCE"/>
            <w:vAlign w:val="center"/>
            <w:hideMark/>
          </w:tcPr>
          <w:p w:rsidRPr="00E03285" w:rsidR="00D87E44" w:rsidRDefault="00D87E44" w14:paraId="154591CD"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33</w:t>
            </w:r>
          </w:p>
        </w:tc>
        <w:tc>
          <w:tcPr>
            <w:tcW w:w="3317" w:type="dxa"/>
            <w:shd w:val="clear" w:color="auto" w:fill="C6EFCE"/>
            <w:vAlign w:val="center"/>
            <w:hideMark/>
          </w:tcPr>
          <w:p w:rsidRPr="00E03285" w:rsidR="00D87E44" w:rsidRDefault="00D87E44" w14:paraId="154591C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Reform 1: Improving the environment for the deployment of electronic communications networks</w:t>
            </w:r>
          </w:p>
        </w:tc>
        <w:tc>
          <w:tcPr>
            <w:tcW w:w="2325" w:type="dxa"/>
            <w:shd w:val="clear" w:color="auto" w:fill="C6EFCE"/>
            <w:vAlign w:val="center"/>
            <w:hideMark/>
          </w:tcPr>
          <w:p w:rsidRPr="00E03285" w:rsidR="00D87E44" w:rsidRDefault="00D87E44" w14:paraId="154591CF" w14:textId="77777777">
            <w:pPr>
              <w:spacing w:before="0" w:after="0" w:line="240" w:lineRule="auto"/>
              <w:jc w:val="center"/>
              <w:rPr>
                <w:rFonts w:eastAsia="Times New Roman"/>
                <w:noProof/>
                <w:color w:val="006100"/>
                <w:sz w:val="20"/>
                <w:szCs w:val="20"/>
                <w:lang w:val="en-IE"/>
              </w:rPr>
            </w:pPr>
            <w:r w:rsidRPr="7E74530C">
              <w:rPr>
                <w:rFonts w:eastAsia="Times New Roman"/>
                <w:noProof/>
                <w:color w:val="006100"/>
                <w:sz w:val="20"/>
                <w:szCs w:val="20"/>
                <w:lang w:val="en-IE"/>
              </w:rPr>
              <w:t>Milestone</w:t>
            </w:r>
          </w:p>
        </w:tc>
        <w:tc>
          <w:tcPr>
            <w:tcW w:w="3173" w:type="dxa"/>
            <w:gridSpan w:val="2"/>
            <w:shd w:val="clear" w:color="auto" w:fill="C6EFCE"/>
            <w:vAlign w:val="center"/>
            <w:hideMark/>
          </w:tcPr>
          <w:p w:rsidRPr="00BC0B43" w:rsidR="00D87E44" w:rsidRDefault="00D87E44" w14:paraId="154591D0" w14:textId="77777777">
            <w:pPr>
              <w:spacing w:before="0" w:after="0" w:line="240" w:lineRule="auto"/>
              <w:jc w:val="center"/>
              <w:rPr>
                <w:rFonts w:eastAsia="Times New Roman"/>
                <w:noProof/>
                <w:color w:val="006100"/>
                <w:sz w:val="20"/>
                <w:szCs w:val="20"/>
                <w:lang w:val="en-IE"/>
              </w:rPr>
            </w:pPr>
            <w:r w:rsidRPr="7E74530C">
              <w:rPr>
                <w:rFonts w:eastAsia="Times New Roman"/>
                <w:noProof/>
                <w:color w:val="006100"/>
                <w:sz w:val="20"/>
                <w:szCs w:val="20"/>
                <w:lang w:val="en-IE"/>
              </w:rPr>
              <w:t>Data for technical maps</w:t>
            </w:r>
          </w:p>
        </w:tc>
      </w:tr>
      <w:tr w:rsidRPr="00E03285" w:rsidR="00D226F4" w:rsidTr="004A6335" w14:paraId="154591D6" w14:textId="77777777">
        <w:trPr>
          <w:trHeight w:val="300"/>
        </w:trPr>
        <w:tc>
          <w:tcPr>
            <w:tcW w:w="1699" w:type="dxa"/>
            <w:shd w:val="clear" w:color="auto" w:fill="C6EFCE"/>
            <w:vAlign w:val="center"/>
            <w:hideMark/>
          </w:tcPr>
          <w:p w:rsidRPr="00E03285" w:rsidR="00D87E44" w:rsidRDefault="00D87E44" w14:paraId="154591D2"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46</w:t>
            </w:r>
          </w:p>
        </w:tc>
        <w:tc>
          <w:tcPr>
            <w:tcW w:w="3317" w:type="dxa"/>
            <w:shd w:val="clear" w:color="auto" w:fill="C6EFCE"/>
            <w:vAlign w:val="center"/>
            <w:hideMark/>
          </w:tcPr>
          <w:p w:rsidRPr="00E03285" w:rsidR="00D87E44" w:rsidRDefault="00D87E44" w14:paraId="154591D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4: Scientific research activities related to the development of 5G networks and services</w:t>
            </w:r>
          </w:p>
        </w:tc>
        <w:tc>
          <w:tcPr>
            <w:tcW w:w="2325" w:type="dxa"/>
            <w:shd w:val="clear" w:color="auto" w:fill="C6EFCE"/>
            <w:vAlign w:val="center"/>
            <w:hideMark/>
          </w:tcPr>
          <w:p w:rsidRPr="00E03285" w:rsidR="00D87E44" w:rsidRDefault="00D87E44" w14:paraId="154591D4" w14:textId="77777777">
            <w:pPr>
              <w:spacing w:before="0" w:after="0" w:line="240" w:lineRule="auto"/>
              <w:jc w:val="center"/>
              <w:rPr>
                <w:rFonts w:eastAsia="Times New Roman"/>
                <w:noProof/>
                <w:color w:val="006100"/>
                <w:sz w:val="20"/>
                <w:szCs w:val="20"/>
                <w:lang w:val="en-IE"/>
              </w:rPr>
            </w:pPr>
            <w:r w:rsidRPr="70DE5D6B">
              <w:rPr>
                <w:rFonts w:eastAsia="Times New Roman"/>
                <w:noProof/>
                <w:color w:val="006100"/>
                <w:sz w:val="20"/>
                <w:szCs w:val="20"/>
                <w:lang w:val="en-IE"/>
              </w:rPr>
              <w:t>Milestone</w:t>
            </w:r>
          </w:p>
        </w:tc>
        <w:tc>
          <w:tcPr>
            <w:tcW w:w="3173" w:type="dxa"/>
            <w:gridSpan w:val="2"/>
            <w:shd w:val="clear" w:color="auto" w:fill="C6EFCE"/>
            <w:vAlign w:val="center"/>
            <w:hideMark/>
          </w:tcPr>
          <w:p w:rsidRPr="00BC0B43" w:rsidR="00D87E44" w:rsidRDefault="00D87E44" w14:paraId="154591D5" w14:textId="77777777">
            <w:pPr>
              <w:spacing w:before="0" w:after="0" w:line="240" w:lineRule="auto"/>
              <w:jc w:val="center"/>
              <w:rPr>
                <w:rFonts w:eastAsia="Times New Roman"/>
                <w:noProof/>
                <w:color w:val="006100"/>
                <w:sz w:val="20"/>
                <w:szCs w:val="20"/>
                <w:lang w:val="en-IE"/>
              </w:rPr>
            </w:pPr>
            <w:r w:rsidRPr="70DE5D6B">
              <w:rPr>
                <w:rFonts w:eastAsia="Times New Roman"/>
                <w:noProof/>
                <w:color w:val="006100"/>
                <w:sz w:val="20"/>
                <w:szCs w:val="20"/>
                <w:lang w:val="en-IE"/>
              </w:rPr>
              <w:t>Project</w:t>
            </w:r>
            <w:r>
              <w:rPr>
                <w:rFonts w:eastAsia="Times New Roman"/>
                <w:noProof/>
                <w:color w:val="006100"/>
                <w:sz w:val="20"/>
                <w:szCs w:val="20"/>
                <w:lang w:val="en-IE"/>
              </w:rPr>
              <w:t>s</w:t>
            </w:r>
            <w:r w:rsidRPr="70DE5D6B">
              <w:rPr>
                <w:rFonts w:eastAsia="Times New Roman"/>
                <w:noProof/>
                <w:color w:val="006100"/>
                <w:sz w:val="20"/>
                <w:szCs w:val="20"/>
                <w:lang w:val="en-IE"/>
              </w:rPr>
              <w:t xml:space="preserve"> related to 5G networks</w:t>
            </w:r>
          </w:p>
        </w:tc>
      </w:tr>
      <w:tr w:rsidRPr="00E03285" w:rsidR="00D226F4" w:rsidTr="004A6335" w14:paraId="154591DB" w14:textId="77777777">
        <w:trPr>
          <w:trHeight w:val="300"/>
        </w:trPr>
        <w:tc>
          <w:tcPr>
            <w:tcW w:w="1699" w:type="dxa"/>
            <w:shd w:val="clear" w:color="auto" w:fill="C6EFCE"/>
            <w:vAlign w:val="center"/>
            <w:hideMark/>
          </w:tcPr>
          <w:p w:rsidRPr="00E03285" w:rsidR="00D87E44" w:rsidRDefault="00D87E44" w14:paraId="154591D7"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52</w:t>
            </w:r>
          </w:p>
        </w:tc>
        <w:tc>
          <w:tcPr>
            <w:tcW w:w="3317" w:type="dxa"/>
            <w:shd w:val="clear" w:color="auto" w:fill="C6EFCE"/>
            <w:vAlign w:val="center"/>
            <w:hideMark/>
          </w:tcPr>
          <w:p w:rsidRPr="00E03285" w:rsidR="00D87E44" w:rsidRDefault="00D87E44" w14:paraId="154591D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1.4: Digital Economy and Society, Innovative Start-Ups and New </w:t>
            </w:r>
            <w:r w:rsidRPr="00E03285">
              <w:rPr>
                <w:rFonts w:eastAsia="Times New Roman"/>
                <w:noProof/>
                <w:color w:val="006100"/>
                <w:sz w:val="20"/>
                <w:szCs w:val="20"/>
                <w:lang w:val="en-IE"/>
              </w:rPr>
              <w:t>Technology - Investment 2: European Digital Media Observatory Hub (EDMO)</w:t>
            </w:r>
          </w:p>
        </w:tc>
        <w:tc>
          <w:tcPr>
            <w:tcW w:w="2325" w:type="dxa"/>
            <w:shd w:val="clear" w:color="auto" w:fill="C6EFCE"/>
            <w:vAlign w:val="center"/>
            <w:hideMark/>
          </w:tcPr>
          <w:p w:rsidRPr="00E03285" w:rsidR="00D87E44" w:rsidRDefault="00D87E44" w14:paraId="154591D9" w14:textId="77777777">
            <w:pPr>
              <w:spacing w:before="0" w:after="0" w:line="240" w:lineRule="auto"/>
              <w:jc w:val="center"/>
              <w:rPr>
                <w:rFonts w:eastAsia="Times New Roman"/>
                <w:noProof/>
                <w:color w:val="006100"/>
                <w:sz w:val="20"/>
                <w:szCs w:val="20"/>
                <w:lang w:val="en-IE"/>
              </w:rPr>
            </w:pPr>
            <w:r w:rsidRPr="68698044">
              <w:rPr>
                <w:rFonts w:eastAsia="Times New Roman"/>
                <w:noProof/>
                <w:color w:val="006100"/>
                <w:sz w:val="20"/>
                <w:szCs w:val="20"/>
                <w:lang w:val="en-IE"/>
              </w:rPr>
              <w:t>Milestone</w:t>
            </w:r>
          </w:p>
        </w:tc>
        <w:tc>
          <w:tcPr>
            <w:tcW w:w="3173" w:type="dxa"/>
            <w:gridSpan w:val="2"/>
            <w:shd w:val="clear" w:color="auto" w:fill="C6EFCE"/>
            <w:vAlign w:val="center"/>
            <w:hideMark/>
          </w:tcPr>
          <w:p w:rsidRPr="00BC0B43" w:rsidR="00D87E44" w:rsidRDefault="00D87E44" w14:paraId="154591DA" w14:textId="77777777">
            <w:pPr>
              <w:spacing w:before="0" w:after="0" w:line="240" w:lineRule="auto"/>
              <w:jc w:val="center"/>
              <w:rPr>
                <w:rFonts w:eastAsia="Times New Roman"/>
                <w:noProof/>
                <w:color w:val="006100"/>
                <w:sz w:val="20"/>
                <w:szCs w:val="20"/>
                <w:lang w:val="en-IE"/>
              </w:rPr>
            </w:pPr>
            <w:r w:rsidRPr="00BC0B43">
              <w:rPr>
                <w:rFonts w:eastAsia="Times New Roman"/>
                <w:noProof/>
                <w:color w:val="006100"/>
                <w:sz w:val="20"/>
                <w:szCs w:val="20"/>
                <w:lang w:val="en-IE"/>
              </w:rPr>
              <w:t>Publication of research results by CEDMO</w:t>
            </w:r>
          </w:p>
        </w:tc>
      </w:tr>
      <w:tr w:rsidRPr="00E03285" w:rsidR="00D226F4" w:rsidTr="004A6335" w14:paraId="154591E0" w14:textId="77777777">
        <w:trPr>
          <w:trHeight w:val="300"/>
        </w:trPr>
        <w:tc>
          <w:tcPr>
            <w:tcW w:w="1699" w:type="dxa"/>
            <w:shd w:val="clear" w:color="auto" w:fill="C6EFCE"/>
            <w:vAlign w:val="center"/>
            <w:hideMark/>
          </w:tcPr>
          <w:p w:rsidRPr="00E03285" w:rsidR="00D87E44" w:rsidRDefault="00D87E44" w14:paraId="154591DC"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58</w:t>
            </w:r>
          </w:p>
        </w:tc>
        <w:tc>
          <w:tcPr>
            <w:tcW w:w="3317" w:type="dxa"/>
            <w:shd w:val="clear" w:color="auto" w:fill="C6EFCE"/>
            <w:vAlign w:val="center"/>
            <w:hideMark/>
          </w:tcPr>
          <w:p w:rsidRPr="00E03285" w:rsidR="00D87E44" w:rsidRDefault="00D87E44" w14:paraId="154591D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1.4: Digital Economy and Society, Innovative Start-Ups and New Technology - Investment 6: Demonstrative application projects for cities and industrial areas</w:t>
            </w:r>
          </w:p>
        </w:tc>
        <w:tc>
          <w:tcPr>
            <w:tcW w:w="2325" w:type="dxa"/>
            <w:shd w:val="clear" w:color="auto" w:fill="C6EFCE"/>
            <w:vAlign w:val="center"/>
            <w:hideMark/>
          </w:tcPr>
          <w:p w:rsidRPr="00E03285" w:rsidR="00D87E44" w:rsidRDefault="00D87E44" w14:paraId="154591D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hideMark/>
          </w:tcPr>
          <w:p w:rsidRPr="00BC0B43" w:rsidR="00D87E44" w:rsidRDefault="00D87E44" w14:paraId="154591DF" w14:textId="77777777">
            <w:pPr>
              <w:spacing w:before="0" w:after="0" w:line="240" w:lineRule="auto"/>
              <w:jc w:val="center"/>
              <w:rPr>
                <w:rFonts w:eastAsia="Times New Roman"/>
                <w:noProof/>
                <w:color w:val="006100"/>
                <w:sz w:val="20"/>
                <w:szCs w:val="20"/>
                <w:lang w:val="en-IE"/>
              </w:rPr>
            </w:pPr>
            <w:r w:rsidRPr="323C630B">
              <w:rPr>
                <w:rFonts w:eastAsia="Times New Roman"/>
                <w:noProof/>
                <w:color w:val="006100"/>
                <w:sz w:val="20"/>
                <w:szCs w:val="20"/>
                <w:lang w:val="en-IE"/>
              </w:rPr>
              <w:t>Use</w:t>
            </w:r>
            <w:r w:rsidRPr="00BC0B43">
              <w:rPr>
                <w:rFonts w:eastAsia="Times New Roman"/>
                <w:noProof/>
                <w:color w:val="006100"/>
                <w:sz w:val="20"/>
                <w:szCs w:val="20"/>
                <w:lang w:val="en-IE"/>
              </w:rPr>
              <w:t xml:space="preserve"> cases for </w:t>
            </w:r>
            <w:r w:rsidRPr="323C630B">
              <w:rPr>
                <w:rFonts w:eastAsia="Times New Roman"/>
                <w:noProof/>
                <w:color w:val="006100"/>
                <w:sz w:val="20"/>
                <w:szCs w:val="20"/>
                <w:lang w:val="en-IE"/>
              </w:rPr>
              <w:t xml:space="preserve">municipalities and industry </w:t>
            </w:r>
          </w:p>
        </w:tc>
      </w:tr>
      <w:tr w:rsidRPr="00E03285" w:rsidR="00D226F4" w:rsidTr="004A6335" w14:paraId="154591E5" w14:textId="77777777">
        <w:trPr>
          <w:trHeight w:val="300"/>
        </w:trPr>
        <w:tc>
          <w:tcPr>
            <w:tcW w:w="1699" w:type="dxa"/>
            <w:shd w:val="clear" w:color="auto" w:fill="C6EFCE"/>
            <w:vAlign w:val="center"/>
            <w:hideMark/>
          </w:tcPr>
          <w:p w:rsidRPr="00E03285" w:rsidR="00D87E44" w:rsidRDefault="00D87E44" w14:paraId="154591E1"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63</w:t>
            </w:r>
          </w:p>
        </w:tc>
        <w:tc>
          <w:tcPr>
            <w:tcW w:w="3317" w:type="dxa"/>
            <w:shd w:val="clear" w:color="auto" w:fill="C6EFCE"/>
            <w:vAlign w:val="center"/>
            <w:hideMark/>
          </w:tcPr>
          <w:p w:rsidRPr="00E03285" w:rsidR="00D87E44" w:rsidRDefault="00D87E44" w14:paraId="154591E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1.4: Digital Economy and Society, Innovative Start-Ups and New Technology - Investment 10: Internationalisation of </w:t>
            </w:r>
            <w:r w:rsidRPr="2CC7F31C">
              <w:rPr>
                <w:rFonts w:eastAsia="Times New Roman"/>
                <w:noProof/>
                <w:color w:val="006100"/>
                <w:sz w:val="20"/>
                <w:szCs w:val="20"/>
                <w:lang w:val="en-IE"/>
              </w:rPr>
              <w:t>businesses</w:t>
            </w:r>
          </w:p>
        </w:tc>
        <w:tc>
          <w:tcPr>
            <w:tcW w:w="2325" w:type="dxa"/>
            <w:shd w:val="clear" w:color="auto" w:fill="C6EFCE"/>
            <w:vAlign w:val="center"/>
            <w:hideMark/>
          </w:tcPr>
          <w:p w:rsidRPr="00E03285" w:rsidR="00D87E44" w:rsidRDefault="00D87E44" w14:paraId="154591E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73" w:type="dxa"/>
            <w:gridSpan w:val="2"/>
            <w:shd w:val="clear" w:color="auto" w:fill="C6EFCE"/>
            <w:vAlign w:val="center"/>
            <w:hideMark/>
          </w:tcPr>
          <w:p w:rsidRPr="00BC0B43" w:rsidR="00D87E44" w:rsidRDefault="00D87E44" w14:paraId="154591E4"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Support to businesses </w:t>
            </w:r>
          </w:p>
        </w:tc>
      </w:tr>
      <w:tr w:rsidR="00D226F4" w:rsidTr="004A6335" w14:paraId="154591EA" w14:textId="77777777">
        <w:trPr>
          <w:trHeight w:val="300"/>
        </w:trPr>
        <w:tc>
          <w:tcPr>
            <w:tcW w:w="1699" w:type="dxa"/>
            <w:shd w:val="clear" w:color="auto" w:fill="C6EFCE"/>
            <w:vAlign w:val="center"/>
          </w:tcPr>
          <w:p w:rsidR="00D87E44" w:rsidRDefault="00D87E44" w14:paraId="154591E6" w14:textId="77777777">
            <w:pPr>
              <w:spacing w:line="240" w:lineRule="auto"/>
              <w:jc w:val="center"/>
              <w:rPr>
                <w:rFonts w:eastAsia="Times New Roman"/>
                <w:noProof/>
                <w:color w:val="004300"/>
                <w:sz w:val="20"/>
                <w:szCs w:val="20"/>
                <w:lang w:val="en-IE"/>
              </w:rPr>
            </w:pPr>
            <w:r w:rsidRPr="40100C7B">
              <w:rPr>
                <w:rFonts w:eastAsia="Times New Roman"/>
                <w:noProof/>
                <w:color w:val="004300"/>
                <w:sz w:val="20"/>
                <w:szCs w:val="20"/>
                <w:lang w:val="en-IE"/>
              </w:rPr>
              <w:t>65</w:t>
            </w:r>
          </w:p>
        </w:tc>
        <w:tc>
          <w:tcPr>
            <w:tcW w:w="3317" w:type="dxa"/>
            <w:shd w:val="clear" w:color="auto" w:fill="C6EFCE"/>
            <w:vAlign w:val="center"/>
          </w:tcPr>
          <w:p w:rsidR="00D87E44" w:rsidRDefault="00D87E44" w14:paraId="154591E7" w14:textId="77777777">
            <w:pPr>
              <w:spacing w:line="240" w:lineRule="auto"/>
              <w:jc w:val="center"/>
              <w:rPr>
                <w:rFonts w:eastAsia="Times New Roman"/>
                <w:noProof/>
                <w:color w:val="006100"/>
                <w:sz w:val="20"/>
                <w:szCs w:val="20"/>
                <w:lang w:val="en-IE"/>
              </w:rPr>
            </w:pPr>
            <w:r w:rsidRPr="01BE5C9E">
              <w:rPr>
                <w:rFonts w:eastAsia="Times New Roman"/>
                <w:noProof/>
                <w:color w:val="006100"/>
                <w:sz w:val="20"/>
                <w:szCs w:val="20"/>
                <w:lang w:val="en-IE"/>
              </w:rPr>
              <w:t>C 1.4: Digital Economy and Society, Innovative Start-Ups and New Technology - Investment 11: Digital regulatory sandbox in line with EU priorities</w:t>
            </w:r>
          </w:p>
        </w:tc>
        <w:tc>
          <w:tcPr>
            <w:tcW w:w="2325" w:type="dxa"/>
            <w:shd w:val="clear" w:color="auto" w:fill="C6EFCE"/>
            <w:vAlign w:val="center"/>
          </w:tcPr>
          <w:p w:rsidR="00D87E44" w:rsidRDefault="00D87E44" w14:paraId="154591E8" w14:textId="77777777">
            <w:pPr>
              <w:spacing w:line="240" w:lineRule="auto"/>
              <w:jc w:val="center"/>
              <w:rPr>
                <w:rFonts w:eastAsia="Times New Roman"/>
                <w:noProof/>
                <w:color w:val="006100"/>
                <w:sz w:val="20"/>
                <w:szCs w:val="20"/>
                <w:lang w:val="en-IE"/>
              </w:rPr>
            </w:pPr>
            <w:r w:rsidRPr="01BE5C9E">
              <w:rPr>
                <w:rFonts w:eastAsia="Times New Roman"/>
                <w:noProof/>
                <w:color w:val="006100"/>
                <w:sz w:val="20"/>
                <w:szCs w:val="20"/>
                <w:lang w:val="en-IE"/>
              </w:rPr>
              <w:t>Target</w:t>
            </w:r>
          </w:p>
        </w:tc>
        <w:tc>
          <w:tcPr>
            <w:tcW w:w="3173" w:type="dxa"/>
            <w:gridSpan w:val="2"/>
            <w:shd w:val="clear" w:color="auto" w:fill="C6EFCE"/>
            <w:vAlign w:val="center"/>
          </w:tcPr>
          <w:p w:rsidRPr="00BC0B43" w:rsidR="00D87E44" w:rsidRDefault="00D87E44" w14:paraId="154591E9" w14:textId="77777777">
            <w:pPr>
              <w:spacing w:before="0" w:after="0" w:line="240" w:lineRule="auto"/>
              <w:jc w:val="center"/>
              <w:rPr>
                <w:rFonts w:eastAsia="Times New Roman"/>
                <w:noProof/>
                <w:color w:val="006100"/>
                <w:sz w:val="20"/>
                <w:szCs w:val="20"/>
                <w:lang w:val="en-IE"/>
              </w:rPr>
            </w:pPr>
            <w:r w:rsidRPr="77931D31">
              <w:rPr>
                <w:rFonts w:eastAsia="Times New Roman"/>
                <w:noProof/>
                <w:color w:val="006100"/>
                <w:sz w:val="20"/>
                <w:szCs w:val="20"/>
                <w:lang w:val="en-IE"/>
              </w:rPr>
              <w:t>Companies participating in</w:t>
            </w:r>
            <w:r w:rsidRPr="00BC0B43">
              <w:rPr>
                <w:rFonts w:eastAsia="Times New Roman"/>
                <w:noProof/>
                <w:color w:val="006100"/>
                <w:sz w:val="20"/>
                <w:szCs w:val="20"/>
                <w:lang w:val="en-IE"/>
              </w:rPr>
              <w:t xml:space="preserve"> the sandbox</w:t>
            </w:r>
          </w:p>
        </w:tc>
      </w:tr>
      <w:tr w:rsidR="00D226F4" w:rsidTr="004A6335" w14:paraId="154591EF" w14:textId="77777777">
        <w:trPr>
          <w:trHeight w:val="300"/>
        </w:trPr>
        <w:tc>
          <w:tcPr>
            <w:tcW w:w="1699" w:type="dxa"/>
            <w:shd w:val="clear" w:color="auto" w:fill="C6EFCE"/>
            <w:vAlign w:val="center"/>
            <w:hideMark/>
          </w:tcPr>
          <w:p w:rsidR="00D87E44" w:rsidRDefault="00D87E44" w14:paraId="154591EB" w14:textId="77777777">
            <w:pPr>
              <w:spacing w:before="0" w:after="0" w:line="240" w:lineRule="auto"/>
              <w:jc w:val="center"/>
              <w:rPr>
                <w:rFonts w:eastAsia="Times New Roman"/>
                <w:noProof/>
                <w:color w:val="004300"/>
                <w:sz w:val="20"/>
                <w:szCs w:val="20"/>
                <w:lang w:val="en-IE"/>
              </w:rPr>
            </w:pPr>
            <w:r w:rsidRPr="387B5440">
              <w:rPr>
                <w:rFonts w:eastAsia="Times New Roman"/>
                <w:noProof/>
                <w:color w:val="004300"/>
                <w:sz w:val="20"/>
                <w:szCs w:val="20"/>
                <w:lang w:val="en-IE"/>
              </w:rPr>
              <w:t>74</w:t>
            </w:r>
          </w:p>
        </w:tc>
        <w:tc>
          <w:tcPr>
            <w:tcW w:w="3317" w:type="dxa"/>
            <w:shd w:val="clear" w:color="auto" w:fill="C6EFCE"/>
            <w:vAlign w:val="center"/>
            <w:hideMark/>
          </w:tcPr>
          <w:p w:rsidR="00D87E44" w:rsidRDefault="00D87E44" w14:paraId="154591EC"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1.6: Acceleration and Digitalisation of the Building Process - Reform 1: Implementation of the new construction law and zoning law into practice</w:t>
            </w:r>
          </w:p>
        </w:tc>
        <w:tc>
          <w:tcPr>
            <w:tcW w:w="2325" w:type="dxa"/>
            <w:shd w:val="clear" w:color="auto" w:fill="C6EFCE"/>
            <w:vAlign w:val="center"/>
            <w:hideMark/>
          </w:tcPr>
          <w:p w:rsidR="00D87E44" w:rsidRDefault="00D87E44" w14:paraId="154591ED"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73" w:type="dxa"/>
            <w:gridSpan w:val="2"/>
            <w:shd w:val="clear" w:color="auto" w:fill="C6EFCE"/>
            <w:vAlign w:val="center"/>
            <w:hideMark/>
          </w:tcPr>
          <w:p w:rsidR="00D87E44" w:rsidRDefault="00D87E44" w14:paraId="154591EE"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Percentage of permitting procedures closed</w:t>
            </w:r>
          </w:p>
        </w:tc>
      </w:tr>
      <w:tr w:rsidRPr="00E03285" w:rsidR="00E3458A" w:rsidTr="004A6335" w14:paraId="154591F4" w14:textId="77777777">
        <w:trPr>
          <w:gridAfter w:val="1"/>
          <w:wAfter w:w="66" w:type="dxa"/>
          <w:trHeight w:val="300"/>
        </w:trPr>
        <w:tc>
          <w:tcPr>
            <w:tcW w:w="1699" w:type="dxa"/>
            <w:shd w:val="clear" w:color="auto" w:fill="C6EFCE"/>
            <w:vAlign w:val="center"/>
            <w:hideMark/>
          </w:tcPr>
          <w:p w:rsidRPr="00E03285" w:rsidR="00D87E44" w:rsidRDefault="00D87E44" w14:paraId="154591F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77</w:t>
            </w:r>
          </w:p>
        </w:tc>
        <w:tc>
          <w:tcPr>
            <w:tcW w:w="3317" w:type="dxa"/>
            <w:shd w:val="clear" w:color="auto" w:fill="C6EFCE"/>
            <w:vAlign w:val="center"/>
            <w:hideMark/>
          </w:tcPr>
          <w:p w:rsidRPr="00CB1536" w:rsidR="00D87E44" w:rsidRDefault="00D87E44" w14:paraId="154591F1" w14:textId="77777777">
            <w:pPr>
              <w:spacing w:before="0" w:after="0" w:line="240" w:lineRule="auto"/>
              <w:jc w:val="center"/>
              <w:rPr>
                <w:rFonts w:eastAsia="Times New Roman"/>
                <w:noProof/>
                <w:color w:val="006100"/>
                <w:sz w:val="20"/>
                <w:szCs w:val="20"/>
                <w:lang w:val="en-IE"/>
              </w:rPr>
            </w:pPr>
            <w:r w:rsidRPr="00CB1536">
              <w:rPr>
                <w:rFonts w:eastAsia="Times New Roman"/>
                <w:noProof/>
                <w:color w:val="006100"/>
                <w:sz w:val="20"/>
                <w:szCs w:val="20"/>
                <w:lang w:val="en-IE"/>
              </w:rPr>
              <w:t xml:space="preserve">C 1.6: Acceleration and Digitalisation of the </w:t>
            </w:r>
            <w:r w:rsidRPr="00CB1536">
              <w:rPr>
                <w:rFonts w:eastAsia="Times New Roman"/>
                <w:noProof/>
                <w:color w:val="006100"/>
                <w:sz w:val="20"/>
                <w:szCs w:val="20"/>
                <w:lang w:val="en-IE"/>
              </w:rPr>
              <w:t>Building Process - Investment 1: Reaping the  benefits of digitising</w:t>
            </w:r>
            <w:r>
              <w:rPr>
                <w:rFonts w:eastAsia="Times New Roman"/>
                <w:noProof/>
                <w:color w:val="006100"/>
                <w:sz w:val="20"/>
                <w:szCs w:val="20"/>
                <w:lang w:val="en-IE"/>
              </w:rPr>
              <w:t xml:space="preserve"> </w:t>
            </w:r>
            <w:r w:rsidRPr="00AB38C2">
              <w:rPr>
                <w:rFonts w:eastAsia="Times New Roman"/>
                <w:noProof/>
                <w:color w:val="006100"/>
                <w:sz w:val="20"/>
                <w:szCs w:val="20"/>
                <w:lang w:val="en-IE"/>
              </w:rPr>
              <w:t>in the area of spatial planning and construction policy</w:t>
            </w:r>
          </w:p>
        </w:tc>
        <w:tc>
          <w:tcPr>
            <w:tcW w:w="2325" w:type="dxa"/>
            <w:shd w:val="clear" w:color="auto" w:fill="C6EFCE"/>
            <w:vAlign w:val="center"/>
            <w:hideMark/>
          </w:tcPr>
          <w:p w:rsidRPr="00CB1536" w:rsidR="00D87E44" w:rsidRDefault="00D87E44" w14:paraId="154591F2" w14:textId="77777777">
            <w:pPr>
              <w:spacing w:before="0" w:after="0" w:line="240" w:lineRule="auto"/>
              <w:jc w:val="center"/>
              <w:rPr>
                <w:rFonts w:eastAsia="Times New Roman"/>
                <w:noProof/>
                <w:color w:val="006100"/>
                <w:sz w:val="20"/>
                <w:szCs w:val="20"/>
                <w:lang w:val="en-IE"/>
              </w:rPr>
            </w:pPr>
            <w:r w:rsidRPr="00B70716">
              <w:rPr>
                <w:noProof/>
                <w:color w:val="006100"/>
                <w:sz w:val="20"/>
                <w:lang w:val="en-IE"/>
              </w:rPr>
              <w:t>Target</w:t>
            </w:r>
          </w:p>
        </w:tc>
        <w:tc>
          <w:tcPr>
            <w:tcW w:w="3107" w:type="dxa"/>
            <w:shd w:val="clear" w:color="auto" w:fill="C6EFCE"/>
            <w:vAlign w:val="center"/>
            <w:hideMark/>
          </w:tcPr>
          <w:p w:rsidRPr="00CB1536" w:rsidR="00D87E44" w:rsidRDefault="00D87E44" w14:paraId="154591F3" w14:textId="77777777">
            <w:pPr>
              <w:spacing w:before="0" w:after="0" w:line="240" w:lineRule="auto"/>
              <w:jc w:val="center"/>
              <w:rPr>
                <w:rFonts w:eastAsia="Times New Roman"/>
                <w:noProof/>
                <w:color w:val="006100"/>
                <w:sz w:val="20"/>
                <w:szCs w:val="20"/>
                <w:lang w:val="en-IE"/>
              </w:rPr>
            </w:pPr>
            <w:r w:rsidRPr="00AB38C2">
              <w:rPr>
                <w:rFonts w:eastAsia="Times New Roman"/>
                <w:noProof/>
                <w:color w:val="006100"/>
                <w:sz w:val="20"/>
                <w:szCs w:val="20"/>
                <w:lang w:val="en-IE"/>
              </w:rPr>
              <w:t>New or upgraded IT systems in the are</w:t>
            </w:r>
            <w:r>
              <w:rPr>
                <w:rFonts w:eastAsia="Times New Roman"/>
                <w:noProof/>
                <w:color w:val="006100"/>
                <w:sz w:val="20"/>
                <w:szCs w:val="20"/>
                <w:lang w:val="en-IE"/>
              </w:rPr>
              <w:t>a</w:t>
            </w:r>
            <w:r w:rsidRPr="00AB38C2">
              <w:rPr>
                <w:rFonts w:eastAsia="Times New Roman"/>
                <w:noProof/>
                <w:color w:val="006100"/>
                <w:sz w:val="20"/>
                <w:szCs w:val="20"/>
                <w:lang w:val="en-IE"/>
              </w:rPr>
              <w:t xml:space="preserve"> of spatial planning or building permitting process</w:t>
            </w:r>
          </w:p>
        </w:tc>
      </w:tr>
      <w:tr w:rsidR="00E3458A" w:rsidTr="004A6335" w14:paraId="154591F9" w14:textId="77777777">
        <w:trPr>
          <w:gridAfter w:val="1"/>
          <w:wAfter w:w="66" w:type="dxa"/>
          <w:trHeight w:val="300"/>
        </w:trPr>
        <w:tc>
          <w:tcPr>
            <w:tcW w:w="1699" w:type="dxa"/>
            <w:shd w:val="clear" w:color="auto" w:fill="C6EFCE"/>
            <w:vAlign w:val="center"/>
            <w:hideMark/>
          </w:tcPr>
          <w:p w:rsidR="00D87E44" w:rsidRDefault="00D87E44" w14:paraId="154591F5"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114</w:t>
            </w:r>
          </w:p>
        </w:tc>
        <w:tc>
          <w:tcPr>
            <w:tcW w:w="3317" w:type="dxa"/>
            <w:shd w:val="clear" w:color="auto" w:fill="C6EFCE"/>
            <w:vAlign w:val="center"/>
            <w:hideMark/>
          </w:tcPr>
          <w:p w:rsidR="00D87E44" w:rsidRDefault="00D87E44" w14:paraId="154591F6"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C 2.3: Transition to </w:t>
            </w:r>
            <w:r w:rsidRPr="387B5440">
              <w:rPr>
                <w:rFonts w:eastAsia="Times New Roman"/>
                <w:noProof/>
                <w:color w:val="006100"/>
                <w:sz w:val="20"/>
                <w:szCs w:val="20"/>
                <w:lang w:val="en-IE"/>
              </w:rPr>
              <w:t>Cleaner Energy Sources - Investment 2: Modernisation of distribution of heat in district heating systems</w:t>
            </w:r>
          </w:p>
        </w:tc>
        <w:tc>
          <w:tcPr>
            <w:tcW w:w="2325" w:type="dxa"/>
            <w:shd w:val="clear" w:color="auto" w:fill="C6EFCE"/>
            <w:vAlign w:val="center"/>
            <w:hideMark/>
          </w:tcPr>
          <w:p w:rsidR="00D87E44" w:rsidRDefault="00D87E44" w14:paraId="154591F7"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07" w:type="dxa"/>
            <w:shd w:val="clear" w:color="auto" w:fill="C6EFCE"/>
            <w:vAlign w:val="center"/>
            <w:hideMark/>
          </w:tcPr>
          <w:p w:rsidR="00D87E44" w:rsidRDefault="00D87E44" w14:paraId="154591F8" w14:textId="77777777">
            <w:pPr>
              <w:spacing w:before="0" w:after="0" w:line="240" w:lineRule="auto"/>
              <w:jc w:val="center"/>
              <w:rPr>
                <w:rFonts w:eastAsia="Times New Roman"/>
                <w:noProof/>
                <w:color w:val="006100"/>
                <w:sz w:val="20"/>
                <w:szCs w:val="20"/>
                <w:lang w:val="en-IE"/>
              </w:rPr>
            </w:pPr>
            <w:r w:rsidRPr="02E698F5">
              <w:rPr>
                <w:rFonts w:eastAsia="Times New Roman"/>
                <w:noProof/>
                <w:color w:val="006100"/>
                <w:sz w:val="20"/>
                <w:szCs w:val="20"/>
                <w:lang w:val="en-IE"/>
              </w:rPr>
              <w:t>Estimated primary</w:t>
            </w:r>
            <w:r w:rsidRPr="387B5440">
              <w:rPr>
                <w:rFonts w:eastAsia="Times New Roman"/>
                <w:noProof/>
                <w:color w:val="006100"/>
                <w:sz w:val="20"/>
                <w:szCs w:val="20"/>
                <w:lang w:val="en-IE"/>
              </w:rPr>
              <w:t xml:space="preserve"> energy savings </w:t>
            </w:r>
          </w:p>
        </w:tc>
      </w:tr>
      <w:tr w:rsidRPr="00E03285" w:rsidR="00E3458A" w:rsidTr="004A6335" w14:paraId="154591FE" w14:textId="77777777">
        <w:trPr>
          <w:gridAfter w:val="1"/>
          <w:wAfter w:w="66" w:type="dxa"/>
          <w:trHeight w:val="300"/>
        </w:trPr>
        <w:tc>
          <w:tcPr>
            <w:tcW w:w="1699" w:type="dxa"/>
            <w:shd w:val="clear" w:color="auto" w:fill="C6EFCE"/>
            <w:vAlign w:val="center"/>
            <w:hideMark/>
          </w:tcPr>
          <w:p w:rsidRPr="00E03285" w:rsidR="00D87E44" w:rsidRDefault="00D87E44" w14:paraId="154591FA"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115</w:t>
            </w:r>
          </w:p>
        </w:tc>
        <w:tc>
          <w:tcPr>
            <w:tcW w:w="3317" w:type="dxa"/>
            <w:shd w:val="clear" w:color="auto" w:fill="C6EFCE"/>
            <w:vAlign w:val="center"/>
            <w:hideMark/>
          </w:tcPr>
          <w:p w:rsidRPr="00E03285" w:rsidR="00D87E44" w:rsidRDefault="00D87E44" w14:paraId="154591F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2.4: Clean Mobility - Investment 1: Building infrastructure for public transport in the city of Prague</w:t>
            </w:r>
          </w:p>
        </w:tc>
        <w:tc>
          <w:tcPr>
            <w:tcW w:w="2325" w:type="dxa"/>
            <w:shd w:val="clear" w:color="auto" w:fill="C6EFCE"/>
            <w:vAlign w:val="center"/>
            <w:hideMark/>
          </w:tcPr>
          <w:p w:rsidRPr="00E03285" w:rsidR="00D87E44" w:rsidRDefault="00D87E44" w14:paraId="154591F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4B6232" w:rsidR="00D87E44" w:rsidRDefault="00D87E44" w14:paraId="154591FD" w14:textId="77777777">
            <w:pPr>
              <w:spacing w:before="0" w:after="0" w:line="240" w:lineRule="auto"/>
              <w:jc w:val="center"/>
              <w:rPr>
                <w:rFonts w:eastAsia="Times New Roman"/>
                <w:noProof/>
                <w:color w:val="006100"/>
                <w:sz w:val="20"/>
                <w:szCs w:val="20"/>
                <w:lang w:val="en-IE"/>
              </w:rPr>
            </w:pPr>
            <w:r w:rsidRPr="004B6232">
              <w:rPr>
                <w:rFonts w:eastAsia="Times New Roman"/>
                <w:noProof/>
                <w:color w:val="006100"/>
                <w:sz w:val="20"/>
                <w:szCs w:val="20"/>
                <w:lang w:val="en-IE"/>
              </w:rPr>
              <w:t>Number of recharging points for the city of Prague</w:t>
            </w:r>
          </w:p>
        </w:tc>
      </w:tr>
      <w:tr w:rsidR="00E3458A" w:rsidTr="004A6335" w14:paraId="15459203" w14:textId="77777777">
        <w:trPr>
          <w:gridAfter w:val="1"/>
          <w:wAfter w:w="66" w:type="dxa"/>
          <w:trHeight w:val="300"/>
        </w:trPr>
        <w:tc>
          <w:tcPr>
            <w:tcW w:w="1699" w:type="dxa"/>
            <w:shd w:val="clear" w:color="auto" w:fill="C6EFCE"/>
            <w:vAlign w:val="center"/>
            <w:hideMark/>
          </w:tcPr>
          <w:p w:rsidRPr="00FF1320" w:rsidR="00D87E44" w:rsidRDefault="00D87E44" w14:paraId="154591FF" w14:textId="77777777">
            <w:pPr>
              <w:spacing w:before="0" w:after="0" w:line="240" w:lineRule="auto"/>
              <w:jc w:val="center"/>
              <w:rPr>
                <w:color w:val="006100"/>
                <w:sz w:val="20"/>
                <w:lang w:val="en-IE"/>
              </w:rPr>
            </w:pPr>
            <w:r w:rsidRPr="00FF1320">
              <w:rPr>
                <w:color w:val="006100"/>
                <w:sz w:val="20"/>
                <w:lang w:val="en-IE"/>
              </w:rPr>
              <w:t>12</w:t>
            </w:r>
            <w:r w:rsidRPr="387B5440">
              <w:rPr>
                <w:rFonts w:eastAsia="Times New Roman"/>
                <w:noProof/>
                <w:color w:val="006100"/>
                <w:sz w:val="20"/>
                <w:szCs w:val="20"/>
                <w:lang w:val="en-IE"/>
              </w:rPr>
              <w:t>2</w:t>
            </w:r>
          </w:p>
        </w:tc>
        <w:tc>
          <w:tcPr>
            <w:tcW w:w="3317" w:type="dxa"/>
            <w:shd w:val="clear" w:color="auto" w:fill="C6EFCE"/>
            <w:vAlign w:val="center"/>
            <w:hideMark/>
          </w:tcPr>
          <w:p w:rsidR="00D87E44" w:rsidRDefault="00D87E44" w14:paraId="15459200" w14:textId="77777777">
            <w:pPr>
              <w:spacing w:before="0" w:after="0" w:line="240" w:lineRule="auto"/>
              <w:jc w:val="center"/>
              <w:rPr>
                <w:rFonts w:eastAsia="Times New Roman"/>
                <w:noProof/>
                <w:color w:val="006100"/>
                <w:sz w:val="20"/>
                <w:szCs w:val="20"/>
                <w:lang w:val="en-IE"/>
              </w:rPr>
            </w:pPr>
            <w:r w:rsidRPr="29C93A69">
              <w:rPr>
                <w:rFonts w:eastAsia="Times New Roman"/>
                <w:noProof/>
                <w:color w:val="006100"/>
                <w:sz w:val="20"/>
                <w:szCs w:val="20"/>
                <w:lang w:val="en-IE"/>
              </w:rPr>
              <w:t xml:space="preserve">C 2.4: Clean Mobility - Investment 6: Aid for purchase of vehicles (battery trolleybuses and low-floor tramways) </w:t>
            </w:r>
            <w:r w:rsidRPr="29C93A69">
              <w:rPr>
                <w:rFonts w:eastAsia="Times New Roman"/>
                <w:noProof/>
                <w:color w:val="006100"/>
                <w:sz w:val="20"/>
                <w:szCs w:val="20"/>
                <w:lang w:val="en-IE"/>
              </w:rPr>
              <w:lastRenderedPageBreak/>
              <w:t>for public transport in the city of Prague</w:t>
            </w:r>
          </w:p>
        </w:tc>
        <w:tc>
          <w:tcPr>
            <w:tcW w:w="2325" w:type="dxa"/>
            <w:shd w:val="clear" w:color="auto" w:fill="C6EFCE"/>
            <w:vAlign w:val="center"/>
            <w:hideMark/>
          </w:tcPr>
          <w:p w:rsidR="00D87E44" w:rsidRDefault="00D87E44" w14:paraId="15459201" w14:textId="77777777">
            <w:pPr>
              <w:spacing w:before="0" w:after="0" w:line="240" w:lineRule="auto"/>
              <w:jc w:val="center"/>
              <w:rPr>
                <w:rFonts w:eastAsia="Times New Roman"/>
                <w:noProof/>
                <w:color w:val="006100"/>
                <w:sz w:val="20"/>
                <w:szCs w:val="20"/>
                <w:lang w:val="en-IE"/>
              </w:rPr>
            </w:pPr>
            <w:r w:rsidRPr="29C93A69">
              <w:rPr>
                <w:rFonts w:eastAsia="Times New Roman"/>
                <w:noProof/>
                <w:color w:val="006100"/>
                <w:sz w:val="20"/>
                <w:szCs w:val="20"/>
                <w:lang w:val="en-IE"/>
              </w:rPr>
              <w:lastRenderedPageBreak/>
              <w:t>Target</w:t>
            </w:r>
          </w:p>
        </w:tc>
        <w:tc>
          <w:tcPr>
            <w:tcW w:w="3107" w:type="dxa"/>
            <w:shd w:val="clear" w:color="auto" w:fill="C6EFCE"/>
            <w:vAlign w:val="center"/>
            <w:hideMark/>
          </w:tcPr>
          <w:p w:rsidR="00D87E44" w:rsidRDefault="00D87E44" w14:paraId="15459202" w14:textId="77777777">
            <w:pPr>
              <w:spacing w:before="0" w:after="0" w:line="240" w:lineRule="auto"/>
              <w:jc w:val="center"/>
              <w:rPr>
                <w:rFonts w:eastAsia="Times New Roman"/>
                <w:noProof/>
                <w:color w:val="006100"/>
                <w:sz w:val="20"/>
                <w:szCs w:val="20"/>
                <w:lang w:val="en-IE"/>
              </w:rPr>
            </w:pPr>
            <w:r w:rsidRPr="29C93A69">
              <w:rPr>
                <w:rFonts w:eastAsia="Times New Roman"/>
                <w:noProof/>
                <w:color w:val="006100"/>
                <w:sz w:val="20"/>
                <w:szCs w:val="20"/>
                <w:lang w:val="en-IE"/>
              </w:rPr>
              <w:t xml:space="preserve">Number of vehicles </w:t>
            </w:r>
            <w:r w:rsidRPr="29C93A69">
              <w:rPr>
                <w:rFonts w:eastAsia="Times New Roman"/>
                <w:noProof/>
                <w:color w:val="006100"/>
                <w:sz w:val="20"/>
                <w:szCs w:val="20"/>
                <w:lang w:val="en-IE"/>
              </w:rPr>
              <w:t>(trolleybuses and  trams)</w:t>
            </w:r>
          </w:p>
        </w:tc>
      </w:tr>
      <w:tr w:rsidRPr="00E03285" w:rsidR="00E3458A" w:rsidTr="004A6335" w14:paraId="15459208" w14:textId="77777777">
        <w:trPr>
          <w:gridAfter w:val="1"/>
          <w:wAfter w:w="66" w:type="dxa"/>
          <w:trHeight w:val="300"/>
        </w:trPr>
        <w:tc>
          <w:tcPr>
            <w:tcW w:w="1699" w:type="dxa"/>
            <w:shd w:val="clear" w:color="auto" w:fill="C6EFCE"/>
            <w:vAlign w:val="center"/>
            <w:hideMark/>
          </w:tcPr>
          <w:p w:rsidRPr="00E03285" w:rsidR="00D87E44" w:rsidRDefault="00D87E44" w14:paraId="1545920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130</w:t>
            </w:r>
          </w:p>
        </w:tc>
        <w:tc>
          <w:tcPr>
            <w:tcW w:w="3317" w:type="dxa"/>
            <w:shd w:val="clear" w:color="auto" w:fill="C6EFCE"/>
            <w:vAlign w:val="center"/>
            <w:hideMark/>
          </w:tcPr>
          <w:p w:rsidRPr="00E03285" w:rsidR="00D87E44" w:rsidRDefault="00D87E44" w14:paraId="1545920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2.5: Building Renovation and Air Protection - Investment 3: </w:t>
            </w:r>
            <w:bookmarkStart w:name="_Hlk215495264" w:id="21"/>
            <w:r w:rsidRPr="00E03285">
              <w:rPr>
                <w:rFonts w:eastAsia="Times New Roman"/>
                <w:noProof/>
                <w:color w:val="006100"/>
                <w:sz w:val="20"/>
                <w:szCs w:val="20"/>
                <w:lang w:val="en-IE"/>
              </w:rPr>
              <w:t>Support for project preparation in the field of energy savin</w:t>
            </w:r>
            <w:bookmarkEnd w:id="21"/>
            <w:r w:rsidRPr="00E03285">
              <w:rPr>
                <w:rFonts w:eastAsia="Times New Roman"/>
                <w:noProof/>
                <w:color w:val="006100"/>
                <w:sz w:val="20"/>
                <w:szCs w:val="20"/>
                <w:lang w:val="en-IE"/>
              </w:rPr>
              <w:t>g</w:t>
            </w:r>
          </w:p>
        </w:tc>
        <w:tc>
          <w:tcPr>
            <w:tcW w:w="2325" w:type="dxa"/>
            <w:shd w:val="clear" w:color="auto" w:fill="C6EFCE"/>
            <w:vAlign w:val="center"/>
            <w:hideMark/>
          </w:tcPr>
          <w:p w:rsidRPr="00E03285" w:rsidR="00D87E44" w:rsidRDefault="00D87E44" w14:paraId="1545920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P="00756143" w:rsidRDefault="00D87E44" w14:paraId="15459207"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Counselling for project preparation </w:t>
            </w:r>
          </w:p>
        </w:tc>
      </w:tr>
      <w:tr w:rsidRPr="00E03285" w:rsidR="00E3458A" w:rsidTr="004A6335" w14:paraId="1545920D" w14:textId="77777777">
        <w:trPr>
          <w:gridAfter w:val="1"/>
          <w:wAfter w:w="66" w:type="dxa"/>
          <w:trHeight w:val="300"/>
        </w:trPr>
        <w:tc>
          <w:tcPr>
            <w:tcW w:w="1699" w:type="dxa"/>
            <w:shd w:val="clear" w:color="auto" w:fill="C6EFCE"/>
            <w:vAlign w:val="center"/>
            <w:hideMark/>
          </w:tcPr>
          <w:p w:rsidRPr="00E03285" w:rsidR="00D87E44" w:rsidRDefault="00D87E44" w14:paraId="1545920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149</w:t>
            </w:r>
          </w:p>
        </w:tc>
        <w:tc>
          <w:tcPr>
            <w:tcW w:w="3317" w:type="dxa"/>
            <w:shd w:val="clear" w:color="auto" w:fill="C6EFCE"/>
            <w:vAlign w:val="center"/>
            <w:hideMark/>
          </w:tcPr>
          <w:p w:rsidRPr="00E03285" w:rsidR="00D87E44" w:rsidRDefault="00D87E44" w14:paraId="1545920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2.7: Circular Economy, Recycling and Industrial Water - Investment 1: Building recycling infrastructure</w:t>
            </w:r>
          </w:p>
        </w:tc>
        <w:tc>
          <w:tcPr>
            <w:tcW w:w="2325" w:type="dxa"/>
            <w:shd w:val="clear" w:color="auto" w:fill="C6EFCE"/>
            <w:vAlign w:val="center"/>
            <w:hideMark/>
          </w:tcPr>
          <w:p w:rsidRPr="00E03285" w:rsidR="00D87E44" w:rsidRDefault="00D87E44" w14:paraId="1545920B"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Milestone</w:t>
            </w:r>
          </w:p>
        </w:tc>
        <w:tc>
          <w:tcPr>
            <w:tcW w:w="3107" w:type="dxa"/>
            <w:shd w:val="clear" w:color="auto" w:fill="C6EFCE"/>
            <w:vAlign w:val="center"/>
            <w:hideMark/>
          </w:tcPr>
          <w:p w:rsidRPr="00E03285" w:rsidR="00D87E44" w:rsidRDefault="00D87E44" w14:paraId="1545920C" w14:textId="77777777">
            <w:pPr>
              <w:spacing w:before="0" w:after="0" w:line="240" w:lineRule="auto"/>
              <w:jc w:val="center"/>
              <w:rPr>
                <w:rFonts w:eastAsia="Times New Roman"/>
                <w:noProof/>
                <w:color w:val="006100"/>
                <w:sz w:val="20"/>
                <w:szCs w:val="20"/>
                <w:lang w:val="en-IE"/>
              </w:rPr>
            </w:pPr>
            <w:r w:rsidRPr="167D11D3">
              <w:rPr>
                <w:rFonts w:eastAsia="Times New Roman"/>
                <w:noProof/>
                <w:color w:val="006100"/>
                <w:sz w:val="20"/>
                <w:szCs w:val="20"/>
                <w:lang w:val="en-IE"/>
              </w:rPr>
              <w:t>Projects finalised</w:t>
            </w:r>
          </w:p>
        </w:tc>
      </w:tr>
      <w:tr w:rsidRPr="00E03285" w:rsidR="00E3458A" w:rsidTr="004A6335" w14:paraId="15459212" w14:textId="77777777">
        <w:trPr>
          <w:gridAfter w:val="1"/>
          <w:wAfter w:w="66" w:type="dxa"/>
          <w:trHeight w:val="300"/>
        </w:trPr>
        <w:tc>
          <w:tcPr>
            <w:tcW w:w="1699" w:type="dxa"/>
            <w:shd w:val="clear" w:color="auto" w:fill="C6EFCE"/>
            <w:vAlign w:val="center"/>
            <w:hideMark/>
          </w:tcPr>
          <w:p w:rsidRPr="00E03285" w:rsidR="00D87E44" w:rsidRDefault="00D87E44" w14:paraId="1545920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151</w:t>
            </w:r>
          </w:p>
        </w:tc>
        <w:tc>
          <w:tcPr>
            <w:tcW w:w="3317" w:type="dxa"/>
            <w:shd w:val="clear" w:color="auto" w:fill="C6EFCE"/>
            <w:vAlign w:val="center"/>
            <w:hideMark/>
          </w:tcPr>
          <w:p w:rsidRPr="00E03285" w:rsidR="00D87E44" w:rsidRDefault="00D87E44" w14:paraId="1545920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2.7: Circular Economy, Recycling and Industrial Water - Investment 2: Circular solutions in businesses</w:t>
            </w:r>
          </w:p>
        </w:tc>
        <w:tc>
          <w:tcPr>
            <w:tcW w:w="2325" w:type="dxa"/>
            <w:shd w:val="clear" w:color="auto" w:fill="C6EFCE"/>
            <w:vAlign w:val="center"/>
            <w:hideMark/>
          </w:tcPr>
          <w:p w:rsidRPr="00E03285" w:rsidR="00D87E44" w:rsidRDefault="00D87E44" w14:paraId="1545921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11" w14:textId="77777777">
            <w:pPr>
              <w:spacing w:before="0" w:after="0" w:line="240" w:lineRule="auto"/>
              <w:jc w:val="center"/>
              <w:rPr>
                <w:rFonts w:eastAsia="Times New Roman"/>
                <w:noProof/>
                <w:color w:val="006100"/>
                <w:sz w:val="20"/>
                <w:szCs w:val="20"/>
                <w:lang w:val="en-IE"/>
              </w:rPr>
            </w:pPr>
            <w:r w:rsidRPr="167D11D3">
              <w:rPr>
                <w:rFonts w:eastAsia="Times New Roman"/>
                <w:noProof/>
                <w:color w:val="006100"/>
                <w:sz w:val="20"/>
                <w:szCs w:val="20"/>
                <w:lang w:val="en-IE"/>
              </w:rPr>
              <w:t xml:space="preserve">Completion reports for projects investing in </w:t>
            </w:r>
            <w:r w:rsidRPr="167D11D3">
              <w:rPr>
                <w:rFonts w:eastAsia="Times New Roman"/>
                <w:noProof/>
                <w:color w:val="006100"/>
                <w:sz w:val="20"/>
                <w:szCs w:val="20"/>
                <w:lang w:val="en-IE"/>
              </w:rPr>
              <w:t>circular solutions</w:t>
            </w:r>
          </w:p>
        </w:tc>
      </w:tr>
      <w:tr w:rsidRPr="00E03285" w:rsidR="00E3458A" w:rsidTr="004A6335" w14:paraId="15459217" w14:textId="77777777">
        <w:trPr>
          <w:gridAfter w:val="1"/>
          <w:wAfter w:w="66" w:type="dxa"/>
          <w:trHeight w:val="300"/>
        </w:trPr>
        <w:tc>
          <w:tcPr>
            <w:tcW w:w="1699" w:type="dxa"/>
            <w:shd w:val="clear" w:color="auto" w:fill="C6EFCE"/>
            <w:vAlign w:val="center"/>
            <w:hideMark/>
          </w:tcPr>
          <w:p w:rsidRPr="00E03285" w:rsidR="00D87E44" w:rsidRDefault="00D87E44" w14:paraId="1545921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153</w:t>
            </w:r>
          </w:p>
        </w:tc>
        <w:tc>
          <w:tcPr>
            <w:tcW w:w="3317" w:type="dxa"/>
            <w:shd w:val="clear" w:color="auto" w:fill="C6EFCE"/>
            <w:vAlign w:val="center"/>
            <w:hideMark/>
          </w:tcPr>
          <w:p w:rsidRPr="00E03285" w:rsidR="00D87E44" w:rsidRDefault="00D87E44" w14:paraId="1545921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2.7: Circular Economy, Recycling and Industrial Water - Investment 3: Water saving in industry</w:t>
            </w:r>
          </w:p>
        </w:tc>
        <w:tc>
          <w:tcPr>
            <w:tcW w:w="2325" w:type="dxa"/>
            <w:shd w:val="clear" w:color="auto" w:fill="C6EFCE"/>
            <w:vAlign w:val="center"/>
            <w:hideMark/>
          </w:tcPr>
          <w:p w:rsidRPr="00E03285" w:rsidR="00D87E44" w:rsidRDefault="00D87E44" w14:paraId="1545921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1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Completion </w:t>
            </w:r>
            <w:r w:rsidRPr="167D11D3">
              <w:rPr>
                <w:rFonts w:eastAsia="Times New Roman"/>
                <w:noProof/>
                <w:color w:val="006100"/>
                <w:sz w:val="20"/>
                <w:szCs w:val="20"/>
                <w:lang w:val="en-IE"/>
              </w:rPr>
              <w:t xml:space="preserve">reports for </w:t>
            </w:r>
            <w:r w:rsidRPr="00E03285">
              <w:rPr>
                <w:rFonts w:eastAsia="Times New Roman"/>
                <w:noProof/>
                <w:color w:val="006100"/>
                <w:sz w:val="20"/>
                <w:szCs w:val="20"/>
                <w:lang w:val="en-IE"/>
              </w:rPr>
              <w:t>projects to save and optimise water in the industry</w:t>
            </w:r>
          </w:p>
        </w:tc>
      </w:tr>
      <w:tr w:rsidRPr="00E03285" w:rsidR="00E3458A" w:rsidTr="004A6335" w14:paraId="1545921C" w14:textId="77777777">
        <w:trPr>
          <w:gridAfter w:val="1"/>
          <w:wAfter w:w="66" w:type="dxa"/>
          <w:trHeight w:val="300"/>
        </w:trPr>
        <w:tc>
          <w:tcPr>
            <w:tcW w:w="1699" w:type="dxa"/>
            <w:shd w:val="clear" w:color="auto" w:fill="C6EFCE"/>
            <w:vAlign w:val="center"/>
            <w:hideMark/>
          </w:tcPr>
          <w:p w:rsidRPr="00E03285" w:rsidR="00D87E44" w:rsidRDefault="00D87E44" w14:paraId="15459218"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157</w:t>
            </w:r>
          </w:p>
        </w:tc>
        <w:tc>
          <w:tcPr>
            <w:tcW w:w="3317" w:type="dxa"/>
            <w:shd w:val="clear" w:color="auto" w:fill="C6EFCE"/>
            <w:vAlign w:val="center"/>
            <w:hideMark/>
          </w:tcPr>
          <w:p w:rsidRPr="00E03285" w:rsidR="00D87E44" w:rsidRDefault="00D87E44" w14:paraId="1545921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2.8: Brownfields Revitalisation - Investment 2: Investment aid for the regeneration of brownfield sites owned by municipalities and regions for non-business use</w:t>
            </w:r>
          </w:p>
        </w:tc>
        <w:tc>
          <w:tcPr>
            <w:tcW w:w="2325" w:type="dxa"/>
            <w:shd w:val="clear" w:color="auto" w:fill="C6EFCE"/>
            <w:vAlign w:val="center"/>
            <w:hideMark/>
          </w:tcPr>
          <w:p w:rsidRPr="00E03285" w:rsidR="00D87E44" w:rsidRDefault="00D87E44" w14:paraId="1545921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4B6232" w:rsidR="00D87E44" w:rsidRDefault="00D87E44" w14:paraId="1545921B" w14:textId="77777777">
            <w:pPr>
              <w:spacing w:before="0" w:after="0" w:line="240" w:lineRule="auto"/>
              <w:jc w:val="center"/>
              <w:rPr>
                <w:rFonts w:eastAsia="Times New Roman"/>
                <w:noProof/>
                <w:color w:val="006100"/>
                <w:sz w:val="20"/>
                <w:szCs w:val="20"/>
                <w:lang w:val="en-IE"/>
              </w:rPr>
            </w:pPr>
            <w:r w:rsidRPr="61AB3B03">
              <w:rPr>
                <w:rFonts w:eastAsia="Times New Roman"/>
                <w:noProof/>
                <w:color w:val="006100"/>
                <w:sz w:val="20"/>
                <w:szCs w:val="20"/>
                <w:lang w:val="en-IE"/>
              </w:rPr>
              <w:t xml:space="preserve">Submission of completion certificates for at least 30 projects </w:t>
            </w:r>
          </w:p>
        </w:tc>
      </w:tr>
      <w:tr w:rsidRPr="00E03285" w:rsidR="00E3458A" w:rsidTr="004A6335" w14:paraId="15459221" w14:textId="77777777">
        <w:trPr>
          <w:gridAfter w:val="1"/>
          <w:wAfter w:w="66" w:type="dxa"/>
          <w:trHeight w:val="300"/>
        </w:trPr>
        <w:tc>
          <w:tcPr>
            <w:tcW w:w="1699" w:type="dxa"/>
            <w:shd w:val="clear" w:color="auto" w:fill="C6EFCE"/>
            <w:vAlign w:val="center"/>
            <w:hideMark/>
          </w:tcPr>
          <w:p w:rsidRPr="00E03285" w:rsidR="00D87E44" w:rsidRDefault="00D87E44" w14:paraId="1545921D"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159</w:t>
            </w:r>
          </w:p>
        </w:tc>
        <w:tc>
          <w:tcPr>
            <w:tcW w:w="3317" w:type="dxa"/>
            <w:shd w:val="clear" w:color="auto" w:fill="C6EFCE"/>
            <w:vAlign w:val="center"/>
            <w:hideMark/>
          </w:tcPr>
          <w:p w:rsidRPr="00E03285" w:rsidR="00D87E44" w:rsidRDefault="00D87E44" w14:paraId="1545921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2.8: Brownfields Revitalisation - Investment 3: Investment aid for the regeneration of brownfield sites owned by municipalities and regions for business use</w:t>
            </w:r>
          </w:p>
        </w:tc>
        <w:tc>
          <w:tcPr>
            <w:tcW w:w="2325" w:type="dxa"/>
            <w:shd w:val="clear" w:color="auto" w:fill="C6EFCE"/>
            <w:vAlign w:val="center"/>
            <w:hideMark/>
          </w:tcPr>
          <w:p w:rsidRPr="00E03285" w:rsidR="00D87E44" w:rsidRDefault="00D87E44" w14:paraId="1545921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4B6232" w:rsidR="00D87E44" w:rsidRDefault="00D87E44" w14:paraId="15459220" w14:textId="77777777">
            <w:pPr>
              <w:spacing w:before="0" w:after="0" w:line="240" w:lineRule="auto"/>
              <w:jc w:val="center"/>
              <w:rPr>
                <w:rFonts w:eastAsia="Times New Roman"/>
                <w:noProof/>
                <w:color w:val="006100"/>
                <w:sz w:val="20"/>
                <w:szCs w:val="20"/>
                <w:lang w:val="en-IE"/>
              </w:rPr>
            </w:pPr>
            <w:r w:rsidRPr="5453E344">
              <w:rPr>
                <w:rFonts w:eastAsia="Times New Roman"/>
                <w:noProof/>
                <w:color w:val="006100"/>
                <w:sz w:val="20"/>
                <w:szCs w:val="20"/>
                <w:lang w:val="en-IE"/>
              </w:rPr>
              <w:t>Submission of completion certificates for at least 20 projects</w:t>
            </w:r>
          </w:p>
        </w:tc>
      </w:tr>
      <w:tr w:rsidRPr="00E03285" w:rsidR="00E3458A" w:rsidTr="004A6335" w14:paraId="15459226" w14:textId="77777777">
        <w:trPr>
          <w:gridAfter w:val="1"/>
          <w:wAfter w:w="66" w:type="dxa"/>
          <w:trHeight w:val="300"/>
        </w:trPr>
        <w:tc>
          <w:tcPr>
            <w:tcW w:w="1699" w:type="dxa"/>
            <w:shd w:val="clear" w:color="auto" w:fill="C6EFCE"/>
            <w:vAlign w:val="center"/>
            <w:hideMark/>
          </w:tcPr>
          <w:p w:rsidRPr="00E03285" w:rsidR="00D87E44" w:rsidRDefault="00D87E44" w14:paraId="15459222"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164</w:t>
            </w:r>
          </w:p>
        </w:tc>
        <w:tc>
          <w:tcPr>
            <w:tcW w:w="3317" w:type="dxa"/>
            <w:shd w:val="clear" w:color="auto" w:fill="C6EFCE"/>
            <w:vAlign w:val="center"/>
            <w:hideMark/>
          </w:tcPr>
          <w:p w:rsidRPr="00E03285" w:rsidR="00D87E44" w:rsidRDefault="00D87E44" w14:paraId="1545922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2.9: Promotion of Biodiversity and Fight against Drought - Investment 3: Protected areas including Natura 2</w:t>
            </w:r>
            <w:r>
              <w:rPr>
                <w:rFonts w:eastAsia="Times New Roman"/>
                <w:noProof/>
                <w:color w:val="006100"/>
                <w:sz w:val="20"/>
                <w:szCs w:val="20"/>
                <w:lang w:val="en-IE"/>
              </w:rPr>
              <w:t> </w:t>
            </w:r>
            <w:r w:rsidRPr="00E03285">
              <w:rPr>
                <w:rFonts w:eastAsia="Times New Roman"/>
                <w:noProof/>
                <w:color w:val="006100"/>
                <w:sz w:val="20"/>
                <w:szCs w:val="20"/>
                <w:lang w:val="en-IE"/>
              </w:rPr>
              <w:t>000 sites and protected species of plants and animals</w:t>
            </w:r>
          </w:p>
        </w:tc>
        <w:tc>
          <w:tcPr>
            <w:tcW w:w="2325" w:type="dxa"/>
            <w:shd w:val="clear" w:color="auto" w:fill="C6EFCE"/>
            <w:vAlign w:val="center"/>
            <w:hideMark/>
          </w:tcPr>
          <w:p w:rsidRPr="00E03285" w:rsidR="00D87E44" w:rsidRDefault="00D87E44" w14:paraId="1545922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4B6232" w:rsidR="00D87E44" w:rsidRDefault="00D87E44" w14:paraId="15459225" w14:textId="77777777">
            <w:pPr>
              <w:spacing w:before="0" w:after="0" w:line="240" w:lineRule="auto"/>
              <w:jc w:val="center"/>
              <w:rPr>
                <w:rFonts w:eastAsia="Times New Roman"/>
                <w:noProof/>
                <w:color w:val="006100"/>
                <w:sz w:val="20"/>
                <w:szCs w:val="20"/>
                <w:lang w:val="en-IE"/>
              </w:rPr>
            </w:pPr>
            <w:r w:rsidRPr="6D1BE2BA">
              <w:rPr>
                <w:rFonts w:eastAsia="Times New Roman"/>
                <w:noProof/>
                <w:color w:val="006100"/>
                <w:sz w:val="20"/>
                <w:szCs w:val="20"/>
                <w:lang w:val="en-IE"/>
              </w:rPr>
              <w:t>Projects</w:t>
            </w:r>
            <w:r w:rsidRPr="004B6232">
              <w:rPr>
                <w:rFonts w:eastAsia="Times New Roman"/>
                <w:noProof/>
                <w:color w:val="006100"/>
                <w:sz w:val="20"/>
                <w:szCs w:val="20"/>
                <w:lang w:val="en-IE"/>
              </w:rPr>
              <w:t xml:space="preserve"> </w:t>
            </w:r>
            <w:r w:rsidRPr="6D1BE2BA">
              <w:rPr>
                <w:rFonts w:eastAsia="Times New Roman"/>
                <w:noProof/>
                <w:color w:val="006100"/>
                <w:sz w:val="20"/>
                <w:szCs w:val="20"/>
                <w:lang w:val="en-IE"/>
              </w:rPr>
              <w:t>for</w:t>
            </w:r>
            <w:r w:rsidRPr="004B6232">
              <w:rPr>
                <w:rFonts w:eastAsia="Times New Roman"/>
                <w:noProof/>
                <w:color w:val="006100"/>
                <w:sz w:val="20"/>
                <w:szCs w:val="20"/>
                <w:lang w:val="en-IE"/>
              </w:rPr>
              <w:t xml:space="preserve"> the conservation of protected areas including Natura 2</w:t>
            </w:r>
            <w:r>
              <w:rPr>
                <w:rFonts w:eastAsia="Times New Roman"/>
                <w:noProof/>
                <w:color w:val="006100"/>
                <w:sz w:val="20"/>
                <w:szCs w:val="20"/>
                <w:lang w:val="en-IE"/>
              </w:rPr>
              <w:t> </w:t>
            </w:r>
            <w:r w:rsidRPr="004B6232">
              <w:rPr>
                <w:rFonts w:eastAsia="Times New Roman"/>
                <w:noProof/>
                <w:color w:val="006100"/>
                <w:sz w:val="20"/>
                <w:szCs w:val="20"/>
                <w:lang w:val="en-IE"/>
              </w:rPr>
              <w:t>000 sites and of protected species of plants and animals.</w:t>
            </w:r>
          </w:p>
        </w:tc>
      </w:tr>
      <w:tr w:rsidRPr="00E03285" w:rsidR="00E3458A" w:rsidTr="004A6335" w14:paraId="1545922B" w14:textId="77777777">
        <w:trPr>
          <w:gridAfter w:val="1"/>
          <w:wAfter w:w="66" w:type="dxa"/>
          <w:trHeight w:val="300"/>
        </w:trPr>
        <w:tc>
          <w:tcPr>
            <w:tcW w:w="1699" w:type="dxa"/>
            <w:shd w:val="clear" w:color="auto" w:fill="C6EFCE"/>
            <w:vAlign w:val="center"/>
            <w:hideMark/>
          </w:tcPr>
          <w:p w:rsidRPr="00E03285" w:rsidR="00D87E44" w:rsidRDefault="00D87E44" w14:paraId="15459227"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165</w:t>
            </w:r>
          </w:p>
        </w:tc>
        <w:tc>
          <w:tcPr>
            <w:tcW w:w="3317" w:type="dxa"/>
            <w:shd w:val="clear" w:color="auto" w:fill="C6EFCE"/>
            <w:vAlign w:val="center"/>
            <w:hideMark/>
          </w:tcPr>
          <w:p w:rsidRPr="00E03285" w:rsidR="00D87E44" w:rsidRDefault="00D87E44" w14:paraId="1545922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2.9: Promotion of Biodiversity and Fight against Drought - Investment 4: Adaptation of aquatic, non-forest and forest </w:t>
            </w:r>
            <w:r w:rsidRPr="00E03285">
              <w:rPr>
                <w:rFonts w:eastAsia="Times New Roman"/>
                <w:noProof/>
                <w:color w:val="006100"/>
                <w:sz w:val="20"/>
                <w:szCs w:val="20"/>
                <w:lang w:val="en-IE"/>
              </w:rPr>
              <w:t>ecosystems to climate change</w:t>
            </w:r>
          </w:p>
        </w:tc>
        <w:tc>
          <w:tcPr>
            <w:tcW w:w="2325" w:type="dxa"/>
            <w:shd w:val="clear" w:color="auto" w:fill="C6EFCE"/>
            <w:vAlign w:val="center"/>
            <w:hideMark/>
          </w:tcPr>
          <w:p w:rsidRPr="00E03285" w:rsidR="00D87E44" w:rsidRDefault="00D87E44" w14:paraId="15459229" w14:textId="77777777">
            <w:pPr>
              <w:spacing w:before="0" w:after="0" w:line="240" w:lineRule="auto"/>
              <w:jc w:val="center"/>
              <w:rPr>
                <w:rFonts w:eastAsia="Times New Roman"/>
                <w:noProof/>
                <w:color w:val="006100"/>
                <w:sz w:val="20"/>
                <w:szCs w:val="20"/>
                <w:lang w:val="en-IE"/>
              </w:rPr>
            </w:pPr>
            <w:r w:rsidRPr="00FF1320">
              <w:rPr>
                <w:color w:val="006100"/>
                <w:sz w:val="20"/>
                <w:lang w:val="en-IE"/>
              </w:rPr>
              <w:t>Target</w:t>
            </w:r>
          </w:p>
        </w:tc>
        <w:tc>
          <w:tcPr>
            <w:tcW w:w="3107" w:type="dxa"/>
            <w:shd w:val="clear" w:color="auto" w:fill="C6EFCE"/>
            <w:vAlign w:val="center"/>
            <w:hideMark/>
          </w:tcPr>
          <w:p w:rsidRPr="004B6232" w:rsidR="00D87E44" w:rsidRDefault="00D87E44" w14:paraId="1545922A" w14:textId="77777777">
            <w:pPr>
              <w:spacing w:before="0" w:after="0" w:line="240" w:lineRule="auto"/>
              <w:jc w:val="center"/>
              <w:rPr>
                <w:rFonts w:eastAsia="Times New Roman"/>
                <w:noProof/>
                <w:color w:val="006100"/>
                <w:sz w:val="20"/>
                <w:szCs w:val="20"/>
                <w:lang w:val="en-IE"/>
              </w:rPr>
            </w:pPr>
            <w:r w:rsidRPr="7280603F">
              <w:rPr>
                <w:rFonts w:eastAsia="Times New Roman"/>
                <w:noProof/>
                <w:color w:val="006100"/>
                <w:sz w:val="20"/>
                <w:szCs w:val="20"/>
                <w:lang w:val="en-IE"/>
              </w:rPr>
              <w:t xml:space="preserve">Projects for adaptation of </w:t>
            </w:r>
            <w:r w:rsidRPr="004B6232">
              <w:rPr>
                <w:rFonts w:eastAsia="Times New Roman"/>
                <w:noProof/>
                <w:color w:val="006100"/>
                <w:sz w:val="20"/>
                <w:szCs w:val="20"/>
                <w:lang w:val="en-IE"/>
              </w:rPr>
              <w:t xml:space="preserve"> aquatic, non-forest and forest ecosystems to climate change</w:t>
            </w:r>
          </w:p>
        </w:tc>
      </w:tr>
      <w:tr w:rsidRPr="00E03285" w:rsidR="00E3458A" w:rsidTr="004A6335" w14:paraId="15459230" w14:textId="77777777">
        <w:trPr>
          <w:gridAfter w:val="1"/>
          <w:wAfter w:w="66" w:type="dxa"/>
          <w:trHeight w:val="300"/>
        </w:trPr>
        <w:tc>
          <w:tcPr>
            <w:tcW w:w="1699" w:type="dxa"/>
            <w:shd w:val="clear" w:color="auto" w:fill="C6EFCE"/>
            <w:vAlign w:val="center"/>
            <w:hideMark/>
          </w:tcPr>
          <w:p w:rsidRPr="00E03285" w:rsidR="00D87E44" w:rsidRDefault="00D87E44" w14:paraId="1545922C"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173</w:t>
            </w:r>
          </w:p>
        </w:tc>
        <w:tc>
          <w:tcPr>
            <w:tcW w:w="3317" w:type="dxa"/>
            <w:shd w:val="clear" w:color="auto" w:fill="C6EFCE"/>
            <w:vAlign w:val="center"/>
            <w:hideMark/>
          </w:tcPr>
          <w:p w:rsidRPr="00E03285" w:rsidR="00D87E44" w:rsidRDefault="00D87E44" w14:paraId="1545922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3.1: Innovation in Education in the Context of Digitalisation - Investment 2: Digital equipment for schools</w:t>
            </w:r>
          </w:p>
        </w:tc>
        <w:tc>
          <w:tcPr>
            <w:tcW w:w="2325" w:type="dxa"/>
            <w:shd w:val="clear" w:color="auto" w:fill="C6EFCE"/>
            <w:vAlign w:val="center"/>
            <w:hideMark/>
          </w:tcPr>
          <w:p w:rsidRPr="00E03285" w:rsidR="00D87E44" w:rsidRDefault="00D87E44" w14:paraId="1545922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4B6232" w:rsidR="00D87E44" w:rsidRDefault="00D87E44" w14:paraId="1545922F" w14:textId="77777777">
            <w:pPr>
              <w:spacing w:before="0" w:after="0" w:line="240" w:lineRule="auto"/>
              <w:jc w:val="center"/>
              <w:rPr>
                <w:rFonts w:eastAsia="Times New Roman"/>
                <w:noProof/>
                <w:color w:val="006100"/>
                <w:sz w:val="20"/>
                <w:szCs w:val="20"/>
                <w:lang w:val="en-IE"/>
              </w:rPr>
            </w:pPr>
            <w:r w:rsidRPr="004B6232">
              <w:rPr>
                <w:rFonts w:eastAsia="Times New Roman"/>
                <w:noProof/>
                <w:color w:val="006100"/>
                <w:sz w:val="20"/>
                <w:szCs w:val="20"/>
                <w:lang w:val="en-IE"/>
              </w:rPr>
              <w:t xml:space="preserve">IT devices for the </w:t>
            </w:r>
            <w:r w:rsidRPr="44AA200E">
              <w:rPr>
                <w:rFonts w:eastAsia="Times New Roman"/>
                <w:noProof/>
                <w:color w:val="006100"/>
                <w:sz w:val="20"/>
                <w:szCs w:val="20"/>
                <w:lang w:val="en-IE"/>
              </w:rPr>
              <w:t>schools</w:t>
            </w:r>
          </w:p>
        </w:tc>
      </w:tr>
      <w:tr w:rsidRPr="00E03285" w:rsidR="00E3458A" w:rsidTr="004A6335" w14:paraId="15459235" w14:textId="77777777">
        <w:trPr>
          <w:gridAfter w:val="1"/>
          <w:wAfter w:w="66" w:type="dxa"/>
          <w:trHeight w:val="300"/>
        </w:trPr>
        <w:tc>
          <w:tcPr>
            <w:tcW w:w="1699" w:type="dxa"/>
            <w:shd w:val="clear" w:color="auto" w:fill="C6EFCE"/>
            <w:vAlign w:val="center"/>
            <w:hideMark/>
          </w:tcPr>
          <w:p w:rsidRPr="00E03285" w:rsidR="00D87E44" w:rsidRDefault="00D87E44" w14:paraId="1545923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181</w:t>
            </w:r>
          </w:p>
        </w:tc>
        <w:tc>
          <w:tcPr>
            <w:tcW w:w="3317" w:type="dxa"/>
            <w:shd w:val="clear" w:color="auto" w:fill="C6EFCE"/>
            <w:vAlign w:val="center"/>
            <w:hideMark/>
          </w:tcPr>
          <w:p w:rsidRPr="00E03285" w:rsidR="00D87E44" w:rsidRDefault="00D87E44" w14:paraId="1545923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3.2: Adaptation of School Programmes - Reform 2: Support of disadvantaged schools</w:t>
            </w:r>
          </w:p>
        </w:tc>
        <w:tc>
          <w:tcPr>
            <w:tcW w:w="2325" w:type="dxa"/>
            <w:shd w:val="clear" w:color="auto" w:fill="C6EFCE"/>
            <w:vAlign w:val="center"/>
            <w:hideMark/>
          </w:tcPr>
          <w:p w:rsidRPr="00E03285" w:rsidR="00D87E44" w:rsidRDefault="00D87E44" w14:paraId="1545923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3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Number of disadvantaged schools supported</w:t>
            </w:r>
          </w:p>
        </w:tc>
      </w:tr>
      <w:tr w:rsidRPr="00E03285" w:rsidR="00E3458A" w:rsidTr="004A6335" w14:paraId="1545923A" w14:textId="77777777">
        <w:trPr>
          <w:gridAfter w:val="1"/>
          <w:wAfter w:w="66" w:type="dxa"/>
          <w:trHeight w:val="300"/>
        </w:trPr>
        <w:tc>
          <w:tcPr>
            <w:tcW w:w="1699" w:type="dxa"/>
            <w:shd w:val="clear" w:color="auto" w:fill="C6EFCE"/>
            <w:vAlign w:val="center"/>
            <w:hideMark/>
          </w:tcPr>
          <w:p w:rsidRPr="00E03285" w:rsidR="00D87E44" w:rsidRDefault="00D87E44" w14:paraId="15459236" w14:textId="77777777">
            <w:pPr>
              <w:spacing w:before="0" w:after="0" w:line="240" w:lineRule="auto"/>
              <w:jc w:val="center"/>
              <w:rPr>
                <w:rFonts w:eastAsia="Times New Roman"/>
                <w:noProof/>
                <w:color w:val="006100"/>
                <w:sz w:val="20"/>
                <w:szCs w:val="20"/>
                <w:lang w:val="en-IE"/>
              </w:rPr>
            </w:pPr>
            <w:r w:rsidRPr="456DE159" w:rsidDel="0096736B">
              <w:rPr>
                <w:rFonts w:eastAsia="Times New Roman"/>
                <w:noProof/>
                <w:color w:val="006100"/>
                <w:sz w:val="20"/>
                <w:szCs w:val="20"/>
                <w:lang w:val="en-IE"/>
              </w:rPr>
              <w:t>182</w:t>
            </w:r>
          </w:p>
        </w:tc>
        <w:tc>
          <w:tcPr>
            <w:tcW w:w="3317" w:type="dxa"/>
            <w:shd w:val="clear" w:color="auto" w:fill="C6EFCE"/>
            <w:vAlign w:val="center"/>
            <w:hideMark/>
          </w:tcPr>
          <w:p w:rsidRPr="00E03285" w:rsidR="00D87E44" w:rsidRDefault="00D87E44" w14:paraId="15459237" w14:textId="77777777">
            <w:pPr>
              <w:spacing w:before="0" w:after="0" w:line="240" w:lineRule="auto"/>
              <w:jc w:val="center"/>
              <w:rPr>
                <w:rFonts w:eastAsia="Times New Roman"/>
                <w:noProof/>
                <w:color w:val="006100"/>
                <w:sz w:val="20"/>
                <w:szCs w:val="20"/>
                <w:lang w:val="en-IE"/>
              </w:rPr>
            </w:pPr>
            <w:r w:rsidRPr="456DE159" w:rsidDel="0096736B">
              <w:rPr>
                <w:rFonts w:eastAsia="Times New Roman"/>
                <w:noProof/>
                <w:color w:val="006100"/>
                <w:sz w:val="20"/>
                <w:szCs w:val="20"/>
                <w:lang w:val="en-IE"/>
              </w:rPr>
              <w:t>C 3.2: Adaptation of School Programmes - Reform 2: Support of disadvantaged schools</w:t>
            </w:r>
          </w:p>
        </w:tc>
        <w:tc>
          <w:tcPr>
            <w:tcW w:w="2325" w:type="dxa"/>
            <w:shd w:val="clear" w:color="auto" w:fill="C6EFCE"/>
            <w:vAlign w:val="center"/>
            <w:hideMark/>
          </w:tcPr>
          <w:p w:rsidRPr="00E03285" w:rsidR="00D87E44" w:rsidRDefault="00D87E44" w14:paraId="15459238" w14:textId="77777777">
            <w:pPr>
              <w:spacing w:before="0" w:after="0" w:line="240" w:lineRule="auto"/>
              <w:jc w:val="center"/>
              <w:rPr>
                <w:rFonts w:eastAsia="Times New Roman"/>
                <w:noProof/>
                <w:color w:val="006100"/>
                <w:sz w:val="20"/>
                <w:szCs w:val="20"/>
                <w:lang w:val="en-IE"/>
              </w:rPr>
            </w:pPr>
            <w:r w:rsidRPr="456DE159" w:rsidDel="0096736B">
              <w:rPr>
                <w:rFonts w:eastAsia="Times New Roman"/>
                <w:noProof/>
                <w:color w:val="006100"/>
                <w:sz w:val="20"/>
                <w:szCs w:val="20"/>
                <w:lang w:val="en-IE"/>
              </w:rPr>
              <w:t>Milestone</w:t>
            </w:r>
          </w:p>
        </w:tc>
        <w:tc>
          <w:tcPr>
            <w:tcW w:w="3107" w:type="dxa"/>
            <w:shd w:val="clear" w:color="auto" w:fill="C6EFCE"/>
            <w:vAlign w:val="center"/>
            <w:hideMark/>
          </w:tcPr>
          <w:p w:rsidRPr="00E03285" w:rsidR="00D87E44" w:rsidRDefault="00D87E44" w14:paraId="15459239"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Proposal for index funding for schools according to socio-economic disadvantage</w:t>
            </w:r>
          </w:p>
        </w:tc>
      </w:tr>
      <w:tr w:rsidRPr="00E03285" w:rsidR="00E3458A" w:rsidTr="004A6335" w14:paraId="1545923F" w14:textId="77777777">
        <w:trPr>
          <w:gridAfter w:val="1"/>
          <w:wAfter w:w="66" w:type="dxa"/>
          <w:trHeight w:val="300"/>
        </w:trPr>
        <w:tc>
          <w:tcPr>
            <w:tcW w:w="1699" w:type="dxa"/>
            <w:shd w:val="clear" w:color="auto" w:fill="C6EFCE"/>
            <w:vAlign w:val="center"/>
            <w:hideMark/>
          </w:tcPr>
          <w:p w:rsidRPr="00E03285" w:rsidR="00D87E44" w:rsidRDefault="00D87E44" w14:paraId="1545923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187</w:t>
            </w:r>
          </w:p>
        </w:tc>
        <w:tc>
          <w:tcPr>
            <w:tcW w:w="3317" w:type="dxa"/>
            <w:shd w:val="clear" w:color="auto" w:fill="C6EFCE"/>
            <w:vAlign w:val="center"/>
            <w:hideMark/>
          </w:tcPr>
          <w:p w:rsidRPr="00E03285" w:rsidR="00D87E44" w:rsidRDefault="00D87E44" w14:paraId="1545923C"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3.3: Modernisation of Employment Services and Labour Market Development  - Investment 1: Development of labour market policies</w:t>
            </w:r>
          </w:p>
        </w:tc>
        <w:tc>
          <w:tcPr>
            <w:tcW w:w="2325" w:type="dxa"/>
            <w:shd w:val="clear" w:color="auto" w:fill="C6EFCE"/>
            <w:vAlign w:val="center"/>
            <w:hideMark/>
          </w:tcPr>
          <w:p w:rsidRPr="00E03285" w:rsidR="00D87E44" w:rsidRDefault="00D87E44" w14:paraId="1545923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3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Number of </w:t>
            </w:r>
            <w:r w:rsidRPr="01D202F2">
              <w:rPr>
                <w:rFonts w:eastAsia="Times New Roman"/>
                <w:noProof/>
                <w:color w:val="006100"/>
                <w:sz w:val="20"/>
                <w:szCs w:val="20"/>
                <w:lang w:val="en-IE"/>
              </w:rPr>
              <w:t>training certificates</w:t>
            </w:r>
          </w:p>
        </w:tc>
      </w:tr>
      <w:tr w:rsidRPr="00E03285" w:rsidR="00E3458A" w:rsidTr="004A6335" w14:paraId="15459244" w14:textId="77777777">
        <w:trPr>
          <w:gridAfter w:val="1"/>
          <w:wAfter w:w="66" w:type="dxa"/>
          <w:trHeight w:val="300"/>
        </w:trPr>
        <w:tc>
          <w:tcPr>
            <w:tcW w:w="1699" w:type="dxa"/>
            <w:shd w:val="clear" w:color="auto" w:fill="C6EFCE"/>
            <w:vAlign w:val="center"/>
            <w:hideMark/>
          </w:tcPr>
          <w:p w:rsidRPr="00E03285" w:rsidR="00D87E44" w:rsidRDefault="00D87E44" w14:paraId="1545924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188</w:t>
            </w:r>
          </w:p>
        </w:tc>
        <w:tc>
          <w:tcPr>
            <w:tcW w:w="3317" w:type="dxa"/>
            <w:shd w:val="clear" w:color="auto" w:fill="C6EFCE"/>
            <w:vAlign w:val="center"/>
            <w:hideMark/>
          </w:tcPr>
          <w:p w:rsidRPr="00E03285" w:rsidR="00D87E44" w:rsidRDefault="00D87E44" w14:paraId="1545924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3.3: Modernisation of Employment Services and Labour Market Development - Reform 1: Development of labour market policies</w:t>
            </w:r>
          </w:p>
        </w:tc>
        <w:tc>
          <w:tcPr>
            <w:tcW w:w="2325" w:type="dxa"/>
            <w:shd w:val="clear" w:color="auto" w:fill="C6EFCE"/>
            <w:vAlign w:val="center"/>
            <w:hideMark/>
          </w:tcPr>
          <w:p w:rsidRPr="00E03285" w:rsidR="00D87E44" w:rsidRDefault="00D87E44" w14:paraId="1545924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4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Number of regional training centres </w:t>
            </w:r>
            <w:r w:rsidRPr="01D202F2">
              <w:rPr>
                <w:rFonts w:eastAsia="Times New Roman"/>
                <w:noProof/>
                <w:color w:val="006100"/>
                <w:sz w:val="20"/>
                <w:szCs w:val="20"/>
                <w:lang w:val="en-IE"/>
              </w:rPr>
              <w:t>equipped</w:t>
            </w:r>
          </w:p>
        </w:tc>
      </w:tr>
      <w:tr w:rsidRPr="00E03285" w:rsidR="00E3458A" w:rsidTr="004A6335" w14:paraId="15459249" w14:textId="77777777">
        <w:trPr>
          <w:gridAfter w:val="1"/>
          <w:wAfter w:w="66" w:type="dxa"/>
          <w:trHeight w:val="300"/>
        </w:trPr>
        <w:tc>
          <w:tcPr>
            <w:tcW w:w="1699" w:type="dxa"/>
            <w:shd w:val="clear" w:color="auto" w:fill="C6EFCE"/>
            <w:vAlign w:val="center"/>
          </w:tcPr>
          <w:p w:rsidRPr="00E03285" w:rsidR="00D87E44" w:rsidRDefault="00D87E44" w14:paraId="15459245"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215</w:t>
            </w:r>
          </w:p>
        </w:tc>
        <w:tc>
          <w:tcPr>
            <w:tcW w:w="3317" w:type="dxa"/>
            <w:shd w:val="clear" w:color="auto" w:fill="C6EFCE"/>
            <w:vAlign w:val="center"/>
          </w:tcPr>
          <w:p w:rsidRPr="00E03285" w:rsidR="00D87E44" w:rsidRDefault="00D87E44" w14:paraId="1545924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4.4: Enhancing the Efficiency of Public </w:t>
            </w:r>
            <w:r w:rsidRPr="00E03285">
              <w:rPr>
                <w:rFonts w:eastAsia="Times New Roman"/>
                <w:noProof/>
                <w:color w:val="006100"/>
                <w:sz w:val="20"/>
                <w:szCs w:val="20"/>
                <w:lang w:val="en-IE"/>
              </w:rPr>
              <w:t xml:space="preserve">Administration - Reform 1: Increase efficiency, pro-client </w:t>
            </w:r>
            <w:r w:rsidRPr="00E03285">
              <w:rPr>
                <w:rFonts w:eastAsia="Times New Roman"/>
                <w:noProof/>
                <w:color w:val="006100"/>
                <w:sz w:val="20"/>
                <w:szCs w:val="20"/>
                <w:lang w:val="en-IE"/>
              </w:rPr>
              <w:lastRenderedPageBreak/>
              <w:t>orientation and use of the principles of evidence-based decision-making in public administration</w:t>
            </w:r>
          </w:p>
        </w:tc>
        <w:tc>
          <w:tcPr>
            <w:tcW w:w="2325" w:type="dxa"/>
            <w:shd w:val="clear" w:color="auto" w:fill="C6EFCE"/>
            <w:vAlign w:val="center"/>
          </w:tcPr>
          <w:p w:rsidRPr="001E59C6" w:rsidR="00D87E44" w:rsidRDefault="00D87E44" w14:paraId="15459247" w14:textId="77777777">
            <w:pPr>
              <w:spacing w:line="240" w:lineRule="auto"/>
              <w:jc w:val="center"/>
              <w:rPr>
                <w:noProof/>
                <w:color w:val="006100"/>
                <w:sz w:val="20"/>
                <w:lang w:val="en-IE"/>
              </w:rPr>
            </w:pPr>
            <w:r>
              <w:rPr>
                <w:rFonts w:eastAsia="Times New Roman"/>
                <w:noProof/>
                <w:color w:val="006100"/>
                <w:sz w:val="20"/>
                <w:szCs w:val="20"/>
                <w:lang w:val="en-IE"/>
              </w:rPr>
              <w:lastRenderedPageBreak/>
              <w:t>Target</w:t>
            </w:r>
          </w:p>
        </w:tc>
        <w:tc>
          <w:tcPr>
            <w:tcW w:w="3107" w:type="dxa"/>
            <w:shd w:val="clear" w:color="auto" w:fill="C6EFCE"/>
            <w:vAlign w:val="center"/>
          </w:tcPr>
          <w:p w:rsidRPr="00E03285" w:rsidR="00D87E44" w:rsidP="00756143" w:rsidRDefault="00D87E44" w14:paraId="15459248"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Actions for evidence informed decision making </w:t>
            </w:r>
          </w:p>
        </w:tc>
      </w:tr>
      <w:tr w:rsidRPr="00E03285" w:rsidR="00E3458A" w:rsidDel="00AE4C86" w:rsidTr="004A6335" w14:paraId="1545924E" w14:textId="77777777">
        <w:trPr>
          <w:gridAfter w:val="1"/>
          <w:wAfter w:w="66" w:type="dxa"/>
          <w:trHeight w:val="300"/>
        </w:trPr>
        <w:tc>
          <w:tcPr>
            <w:tcW w:w="1699" w:type="dxa"/>
            <w:shd w:val="clear" w:color="auto" w:fill="C6EFCE"/>
            <w:vAlign w:val="center"/>
            <w:hideMark/>
          </w:tcPr>
          <w:p w:rsidRPr="00E03285" w:rsidR="00D87E44" w:rsidDel="00AE4C86" w:rsidRDefault="00D87E44" w14:paraId="1545924A" w14:textId="77777777">
            <w:pPr>
              <w:spacing w:before="0" w:after="0" w:line="240" w:lineRule="auto"/>
              <w:jc w:val="center"/>
              <w:rPr>
                <w:rFonts w:eastAsia="Times New Roman"/>
                <w:noProof/>
                <w:color w:val="004300"/>
                <w:sz w:val="20"/>
                <w:szCs w:val="20"/>
                <w:lang w:val="en-IE"/>
              </w:rPr>
            </w:pPr>
            <w:r w:rsidRPr="456DE159">
              <w:rPr>
                <w:rFonts w:eastAsia="Times New Roman"/>
                <w:noProof/>
                <w:color w:val="004300"/>
                <w:sz w:val="20"/>
                <w:szCs w:val="20"/>
                <w:lang w:val="en-IE"/>
              </w:rPr>
              <w:t>219</w:t>
            </w:r>
          </w:p>
        </w:tc>
        <w:tc>
          <w:tcPr>
            <w:tcW w:w="3317" w:type="dxa"/>
            <w:shd w:val="clear" w:color="auto" w:fill="C6EFCE"/>
            <w:vAlign w:val="center"/>
            <w:hideMark/>
          </w:tcPr>
          <w:p w:rsidRPr="00E03285" w:rsidR="00D87E44" w:rsidDel="00AE4C86" w:rsidRDefault="00D87E44" w14:paraId="1545924B"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 xml:space="preserve">C 4.5: </w:t>
            </w:r>
            <w:r w:rsidRPr="456DE159" w:rsidDel="007F56F4">
              <w:rPr>
                <w:rFonts w:eastAsia="Times New Roman"/>
                <w:noProof/>
                <w:color w:val="006100"/>
                <w:sz w:val="20"/>
                <w:szCs w:val="20"/>
                <w:lang w:val="en-IE"/>
              </w:rPr>
              <w:t>Development of</w:t>
            </w:r>
            <w:r w:rsidRPr="456DE159">
              <w:rPr>
                <w:rFonts w:eastAsia="Times New Roman"/>
                <w:noProof/>
                <w:color w:val="006100"/>
                <w:sz w:val="20"/>
                <w:szCs w:val="20"/>
                <w:lang w:val="en-IE"/>
              </w:rPr>
              <w:t xml:space="preserve"> the Cultural and Creative Sector - Investment 1: </w:t>
            </w:r>
            <w:r>
              <w:rPr>
                <w:rFonts w:eastAsia="Times New Roman"/>
                <w:noProof/>
                <w:color w:val="006100"/>
                <w:sz w:val="20"/>
                <w:szCs w:val="20"/>
                <w:lang w:val="en-IE"/>
              </w:rPr>
              <w:t>Support for</w:t>
            </w:r>
            <w:r w:rsidRPr="456DE159">
              <w:rPr>
                <w:rFonts w:eastAsia="Times New Roman"/>
                <w:noProof/>
                <w:color w:val="006100"/>
                <w:sz w:val="20"/>
                <w:szCs w:val="20"/>
                <w:lang w:val="en-IE"/>
              </w:rPr>
              <w:t xml:space="preserve"> regional cultural and creative sectors</w:t>
            </w:r>
          </w:p>
        </w:tc>
        <w:tc>
          <w:tcPr>
            <w:tcW w:w="2325" w:type="dxa"/>
            <w:shd w:val="clear" w:color="auto" w:fill="C6EFCE"/>
            <w:vAlign w:val="center"/>
            <w:hideMark/>
          </w:tcPr>
          <w:p w:rsidRPr="00E03285" w:rsidR="00D87E44" w:rsidDel="00AE4C86" w:rsidRDefault="00D87E44" w14:paraId="1545924C" w14:textId="77777777">
            <w:pPr>
              <w:spacing w:before="0" w:after="0" w:line="240" w:lineRule="auto"/>
              <w:jc w:val="center"/>
              <w:rPr>
                <w:rFonts w:eastAsia="Times New Roman"/>
                <w:noProof/>
                <w:color w:val="006100"/>
                <w:sz w:val="20"/>
                <w:szCs w:val="20"/>
                <w:lang w:val="en-IE"/>
              </w:rPr>
            </w:pPr>
            <w:r w:rsidRPr="456DE159">
              <w:rPr>
                <w:rFonts w:eastAsia="Times New Roman"/>
                <w:noProof/>
                <w:color w:val="006100"/>
                <w:sz w:val="20"/>
                <w:szCs w:val="20"/>
                <w:lang w:val="en-IE"/>
              </w:rPr>
              <w:t>Target</w:t>
            </w:r>
          </w:p>
        </w:tc>
        <w:tc>
          <w:tcPr>
            <w:tcW w:w="3107" w:type="dxa"/>
            <w:shd w:val="clear" w:color="auto" w:fill="C6EFCE"/>
            <w:vAlign w:val="center"/>
            <w:hideMark/>
          </w:tcPr>
          <w:p w:rsidRPr="00EF08DC" w:rsidR="00D87E44" w:rsidDel="00AE4C86" w:rsidRDefault="00D87E44" w14:paraId="1545924D"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Support for </w:t>
            </w:r>
            <w:r w:rsidRPr="456DE159">
              <w:rPr>
                <w:rFonts w:eastAsia="Times New Roman"/>
                <w:noProof/>
                <w:color w:val="006100"/>
                <w:sz w:val="20"/>
                <w:szCs w:val="20"/>
                <w:lang w:val="en-IE"/>
              </w:rPr>
              <w:t xml:space="preserve">regional cultural and creative centres </w:t>
            </w:r>
          </w:p>
        </w:tc>
      </w:tr>
      <w:tr w:rsidRPr="00E03285" w:rsidR="00E3458A" w:rsidTr="004A6335" w14:paraId="15459253" w14:textId="77777777">
        <w:trPr>
          <w:gridAfter w:val="1"/>
          <w:wAfter w:w="66" w:type="dxa"/>
          <w:trHeight w:val="300"/>
        </w:trPr>
        <w:tc>
          <w:tcPr>
            <w:tcW w:w="1699" w:type="dxa"/>
            <w:shd w:val="clear" w:color="auto" w:fill="C6EFCE"/>
            <w:vAlign w:val="center"/>
            <w:hideMark/>
          </w:tcPr>
          <w:p w:rsidRPr="00E03285" w:rsidR="00D87E44" w:rsidRDefault="00D87E44" w14:paraId="1545924F"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221</w:t>
            </w:r>
          </w:p>
        </w:tc>
        <w:tc>
          <w:tcPr>
            <w:tcW w:w="3317" w:type="dxa"/>
            <w:shd w:val="clear" w:color="auto" w:fill="C6EFCE"/>
            <w:vAlign w:val="center"/>
            <w:hideMark/>
          </w:tcPr>
          <w:p w:rsidRPr="00E03285" w:rsidR="00D87E44" w:rsidRDefault="00D87E44" w14:paraId="1545925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4.5: Development of the Cultural and Creative Sector - Investment 2: </w:t>
            </w:r>
            <w:r w:rsidRPr="00E03285">
              <w:rPr>
                <w:rFonts w:eastAsia="Times New Roman"/>
                <w:noProof/>
                <w:color w:val="006100"/>
                <w:sz w:val="20"/>
                <w:szCs w:val="20"/>
                <w:lang w:val="en-IE"/>
              </w:rPr>
              <w:t>Digitalisation of cultural and creative sector</w:t>
            </w:r>
          </w:p>
        </w:tc>
        <w:tc>
          <w:tcPr>
            <w:tcW w:w="2325" w:type="dxa"/>
            <w:shd w:val="clear" w:color="auto" w:fill="C6EFCE"/>
            <w:vAlign w:val="center"/>
            <w:hideMark/>
          </w:tcPr>
          <w:p w:rsidRPr="00E03285" w:rsidR="00D87E44" w:rsidRDefault="00D87E44" w14:paraId="1545925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F08DC" w:rsidR="00D87E44" w:rsidRDefault="00D87E44" w14:paraId="15459252" w14:textId="77777777">
            <w:pPr>
              <w:spacing w:line="240" w:lineRule="auto"/>
              <w:jc w:val="center"/>
              <w:rPr>
                <w:rFonts w:eastAsia="Times New Roman"/>
                <w:noProof/>
                <w:color w:val="006100"/>
                <w:sz w:val="20"/>
                <w:szCs w:val="20"/>
                <w:lang w:val="en-IE"/>
              </w:rPr>
            </w:pPr>
            <w:r w:rsidRPr="00EF08DC">
              <w:rPr>
                <w:rFonts w:eastAsia="Times New Roman"/>
                <w:noProof/>
                <w:color w:val="006100"/>
                <w:sz w:val="20"/>
                <w:szCs w:val="20"/>
                <w:lang w:val="en-IE"/>
              </w:rPr>
              <w:t>Number of</w:t>
            </w:r>
            <w:r>
              <w:rPr>
                <w:rFonts w:eastAsia="Times New Roman"/>
                <w:noProof/>
                <w:color w:val="006100"/>
                <w:sz w:val="20"/>
                <w:szCs w:val="20"/>
                <w:lang w:val="en-IE"/>
              </w:rPr>
              <w:t xml:space="preserve"> </w:t>
            </w:r>
            <w:r w:rsidRPr="04612B12">
              <w:rPr>
                <w:rFonts w:eastAsia="Times New Roman"/>
                <w:noProof/>
                <w:color w:val="006100"/>
                <w:sz w:val="20"/>
                <w:szCs w:val="20"/>
                <w:lang w:val="en-IE"/>
              </w:rPr>
              <w:t>supported</w:t>
            </w:r>
            <w:r w:rsidRPr="00EF08DC">
              <w:rPr>
                <w:rFonts w:eastAsia="Times New Roman"/>
                <w:noProof/>
                <w:color w:val="006100"/>
                <w:sz w:val="20"/>
                <w:szCs w:val="20"/>
                <w:lang w:val="en-IE"/>
              </w:rPr>
              <w:t xml:space="preserve"> projects of digitalisation of the cultural </w:t>
            </w:r>
            <w:r>
              <w:rPr>
                <w:rFonts w:eastAsia="Times New Roman"/>
                <w:noProof/>
                <w:color w:val="006100"/>
                <w:sz w:val="20"/>
                <w:szCs w:val="20"/>
                <w:lang w:val="en-IE"/>
              </w:rPr>
              <w:t>and creative sector</w:t>
            </w:r>
          </w:p>
        </w:tc>
      </w:tr>
      <w:tr w:rsidRPr="00E03285" w:rsidR="00E3458A" w:rsidTr="004A6335" w14:paraId="15459258" w14:textId="77777777">
        <w:trPr>
          <w:gridAfter w:val="1"/>
          <w:wAfter w:w="66" w:type="dxa"/>
          <w:trHeight w:val="300"/>
        </w:trPr>
        <w:tc>
          <w:tcPr>
            <w:tcW w:w="1699" w:type="dxa"/>
            <w:shd w:val="clear" w:color="auto" w:fill="C6EFCE"/>
            <w:vAlign w:val="center"/>
            <w:hideMark/>
          </w:tcPr>
          <w:p w:rsidRPr="00E03285" w:rsidR="00D87E44" w:rsidRDefault="00D87E44" w14:paraId="15459254"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222</w:t>
            </w:r>
          </w:p>
        </w:tc>
        <w:tc>
          <w:tcPr>
            <w:tcW w:w="3317" w:type="dxa"/>
            <w:shd w:val="clear" w:color="auto" w:fill="C6EFCE"/>
            <w:vAlign w:val="center"/>
            <w:hideMark/>
          </w:tcPr>
          <w:p w:rsidRPr="00E03285" w:rsidR="00D87E44" w:rsidRDefault="00D87E44" w14:paraId="1545925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4.5: Development of the Cultural and Creative Sector - Investment 3: </w:t>
            </w:r>
            <w:bookmarkStart w:name="_Hlk215495348" w:id="22"/>
            <w:r w:rsidRPr="00E03285">
              <w:rPr>
                <w:rFonts w:eastAsia="Times New Roman"/>
                <w:noProof/>
                <w:color w:val="006100"/>
                <w:sz w:val="20"/>
                <w:szCs w:val="20"/>
                <w:lang w:val="en-IE"/>
              </w:rPr>
              <w:t>Creative vouchers</w:t>
            </w:r>
            <w:r>
              <w:rPr>
                <w:rFonts w:eastAsia="Times New Roman"/>
                <w:noProof/>
                <w:color w:val="006100"/>
                <w:sz w:val="20"/>
                <w:szCs w:val="20"/>
                <w:lang w:val="en-IE"/>
              </w:rPr>
              <w:t xml:space="preserve"> and design credits</w:t>
            </w:r>
            <w:bookmarkEnd w:id="22"/>
          </w:p>
        </w:tc>
        <w:tc>
          <w:tcPr>
            <w:tcW w:w="2325" w:type="dxa"/>
            <w:shd w:val="clear" w:color="auto" w:fill="C6EFCE"/>
            <w:vAlign w:val="center"/>
            <w:hideMark/>
          </w:tcPr>
          <w:p w:rsidRPr="00E03285" w:rsidR="00D87E44" w:rsidRDefault="00D87E44" w14:paraId="1545925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F08DC" w:rsidR="00D87E44" w:rsidRDefault="00D87E44" w14:paraId="15459257"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Number of creative vouchers and design credits used</w:t>
            </w:r>
          </w:p>
        </w:tc>
      </w:tr>
      <w:tr w:rsidRPr="00E03285" w:rsidR="00E3458A" w:rsidTr="004A6335" w14:paraId="1545925D" w14:textId="77777777">
        <w:trPr>
          <w:gridAfter w:val="1"/>
          <w:wAfter w:w="66" w:type="dxa"/>
          <w:trHeight w:val="300"/>
        </w:trPr>
        <w:tc>
          <w:tcPr>
            <w:tcW w:w="1699" w:type="dxa"/>
            <w:shd w:val="clear" w:color="auto" w:fill="C6EFCE"/>
            <w:vAlign w:val="center"/>
            <w:hideMark/>
          </w:tcPr>
          <w:p w:rsidRPr="00E03285" w:rsidR="00D87E44" w:rsidRDefault="00D87E44" w14:paraId="1545925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225</w:t>
            </w:r>
          </w:p>
        </w:tc>
        <w:tc>
          <w:tcPr>
            <w:tcW w:w="3317" w:type="dxa"/>
            <w:shd w:val="clear" w:color="auto" w:fill="C6EFCE"/>
            <w:vAlign w:val="center"/>
            <w:hideMark/>
          </w:tcPr>
          <w:p w:rsidRPr="00E03285" w:rsidR="00D87E44" w:rsidRDefault="00D87E44" w14:paraId="1545925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5.1: Excellent Research and Development in the Health Sector - </w:t>
            </w:r>
            <w:r w:rsidRPr="00E03285">
              <w:rPr>
                <w:rFonts w:eastAsia="Times New Roman"/>
                <w:noProof/>
                <w:color w:val="006100"/>
                <w:sz w:val="20"/>
                <w:szCs w:val="20"/>
                <w:lang w:val="en-IE"/>
              </w:rPr>
              <w:t>Investment 1: Public Research &amp; Development support for priority areas of medical sciences and related social sciences</w:t>
            </w:r>
          </w:p>
        </w:tc>
        <w:tc>
          <w:tcPr>
            <w:tcW w:w="2325" w:type="dxa"/>
            <w:shd w:val="clear" w:color="auto" w:fill="C6EFCE"/>
            <w:vAlign w:val="center"/>
            <w:hideMark/>
          </w:tcPr>
          <w:p w:rsidRPr="00E03285" w:rsidR="00D87E44" w:rsidRDefault="00D87E44" w14:paraId="1545925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107" w:type="dxa"/>
            <w:shd w:val="clear" w:color="auto" w:fill="C6EFCE"/>
            <w:vAlign w:val="center"/>
            <w:hideMark/>
          </w:tcPr>
          <w:p w:rsidRPr="00E03285" w:rsidR="00D87E44" w:rsidRDefault="00D87E44" w14:paraId="1545925C"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Protocols on the outcome of evaluation for </w:t>
            </w:r>
            <w:r w:rsidRPr="00E03285">
              <w:rPr>
                <w:rFonts w:eastAsia="Times New Roman"/>
                <w:noProof/>
                <w:color w:val="006100"/>
                <w:sz w:val="20"/>
                <w:szCs w:val="20"/>
                <w:lang w:val="en-IE"/>
              </w:rPr>
              <w:t xml:space="preserve">at least four national Research &amp; Development consortia </w:t>
            </w:r>
          </w:p>
        </w:tc>
      </w:tr>
      <w:tr w:rsidR="00E3458A" w:rsidTr="004A6335" w14:paraId="15459262" w14:textId="77777777">
        <w:trPr>
          <w:gridAfter w:val="1"/>
          <w:wAfter w:w="66" w:type="dxa"/>
          <w:trHeight w:val="300"/>
        </w:trPr>
        <w:tc>
          <w:tcPr>
            <w:tcW w:w="1699" w:type="dxa"/>
            <w:shd w:val="clear" w:color="auto" w:fill="C6EFCE"/>
            <w:vAlign w:val="center"/>
            <w:hideMark/>
          </w:tcPr>
          <w:p w:rsidR="00D87E44" w:rsidP="00E3458A" w:rsidRDefault="00D87E44" w14:paraId="1545925E"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230</w:t>
            </w:r>
          </w:p>
        </w:tc>
        <w:tc>
          <w:tcPr>
            <w:tcW w:w="3317" w:type="dxa"/>
            <w:shd w:val="clear" w:color="auto" w:fill="C6EFCE"/>
            <w:vAlign w:val="center"/>
            <w:hideMark/>
          </w:tcPr>
          <w:p w:rsidR="00D87E44" w:rsidP="00E3458A" w:rsidRDefault="00D87E44" w14:paraId="1545925F"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5.2: Support for Research and Development in Companies and Introduction of Innovations into Business Practice - Investment 4: Aid for research and development in synergy effects with the Framework Programme for Research and Innovation</w:t>
            </w:r>
          </w:p>
        </w:tc>
        <w:tc>
          <w:tcPr>
            <w:tcW w:w="2325" w:type="dxa"/>
            <w:shd w:val="clear" w:color="auto" w:fill="C6EFCE"/>
            <w:vAlign w:val="center"/>
            <w:hideMark/>
          </w:tcPr>
          <w:p w:rsidR="00D87E44" w:rsidP="00E3458A" w:rsidRDefault="00D87E44" w14:paraId="15459260" w14:textId="77777777">
            <w:pPr>
              <w:spacing w:line="240" w:lineRule="auto"/>
              <w:jc w:val="center"/>
              <w:rPr>
                <w:rFonts w:eastAsia="Times New Roman"/>
                <w:noProof/>
                <w:color w:val="006100"/>
                <w:sz w:val="20"/>
                <w:szCs w:val="20"/>
                <w:lang w:val="en-IE"/>
              </w:rPr>
            </w:pPr>
            <w:r w:rsidRPr="00FF1320">
              <w:rPr>
                <w:color w:val="006100"/>
                <w:sz w:val="20"/>
                <w:lang w:val="en-IE"/>
              </w:rPr>
              <w:t>Target</w:t>
            </w:r>
          </w:p>
        </w:tc>
        <w:tc>
          <w:tcPr>
            <w:tcW w:w="3107" w:type="dxa"/>
            <w:shd w:val="clear" w:color="auto" w:fill="C6EFCE"/>
            <w:vAlign w:val="center"/>
            <w:hideMark/>
          </w:tcPr>
          <w:p w:rsidR="00D87E44" w:rsidP="00E3458A" w:rsidRDefault="00D87E44" w14:paraId="15459261"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Funds disbursed</w:t>
            </w:r>
          </w:p>
        </w:tc>
      </w:tr>
      <w:tr w:rsidRPr="00E03285" w:rsidR="00E3458A" w:rsidTr="004A6335" w14:paraId="15459267" w14:textId="77777777">
        <w:trPr>
          <w:gridAfter w:val="1"/>
          <w:wAfter w:w="66" w:type="dxa"/>
          <w:trHeight w:val="300"/>
        </w:trPr>
        <w:tc>
          <w:tcPr>
            <w:tcW w:w="1699" w:type="dxa"/>
            <w:shd w:val="clear" w:color="auto" w:fill="C6EFCE"/>
            <w:vAlign w:val="center"/>
            <w:hideMark/>
          </w:tcPr>
          <w:p w:rsidRPr="00E03285" w:rsidR="00D87E44" w:rsidRDefault="00D87E44" w14:paraId="1545926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233</w:t>
            </w:r>
          </w:p>
        </w:tc>
        <w:tc>
          <w:tcPr>
            <w:tcW w:w="3317" w:type="dxa"/>
            <w:shd w:val="clear" w:color="auto" w:fill="C6EFCE"/>
            <w:vAlign w:val="center"/>
            <w:hideMark/>
          </w:tcPr>
          <w:p w:rsidRPr="00E03285" w:rsidR="00D87E44" w:rsidRDefault="00D87E44" w14:paraId="1545926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6.1: </w:t>
            </w:r>
            <w:r w:rsidRPr="00E03285">
              <w:rPr>
                <w:rFonts w:eastAsia="Times New Roman"/>
                <w:noProof/>
                <w:color w:val="006100"/>
                <w:sz w:val="20"/>
                <w:szCs w:val="20"/>
                <w:lang w:val="en-IE"/>
              </w:rPr>
              <w:t>Increasing Resilience of the Health System - Investment 1: Creation of the Intensive Medicine Simulation Centre and optimisation of the education system</w:t>
            </w:r>
          </w:p>
        </w:tc>
        <w:tc>
          <w:tcPr>
            <w:tcW w:w="2325" w:type="dxa"/>
            <w:shd w:val="clear" w:color="auto" w:fill="C6EFCE"/>
            <w:vAlign w:val="center"/>
            <w:hideMark/>
          </w:tcPr>
          <w:p w:rsidRPr="00E03285" w:rsidR="00D87E44" w:rsidRDefault="00D87E44" w14:paraId="1545926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07" w:type="dxa"/>
            <w:shd w:val="clear" w:color="auto" w:fill="C6EFCE"/>
            <w:vAlign w:val="center"/>
            <w:hideMark/>
          </w:tcPr>
          <w:p w:rsidRPr="00E03285" w:rsidR="00D87E44" w:rsidRDefault="00D87E44" w14:paraId="1545926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Intensive Medicine Simulation Centre </w:t>
            </w:r>
          </w:p>
        </w:tc>
      </w:tr>
      <w:tr w:rsidRPr="00E03285" w:rsidR="00E3458A" w:rsidTr="004A6335" w14:paraId="1545926C" w14:textId="77777777">
        <w:trPr>
          <w:gridAfter w:val="1"/>
          <w:wAfter w:w="66" w:type="dxa"/>
          <w:trHeight w:val="300"/>
        </w:trPr>
        <w:tc>
          <w:tcPr>
            <w:tcW w:w="1699" w:type="dxa"/>
            <w:shd w:val="clear" w:color="auto" w:fill="C6EFCE"/>
            <w:vAlign w:val="center"/>
            <w:hideMark/>
          </w:tcPr>
          <w:p w:rsidRPr="00FF1320" w:rsidR="00D87E44" w:rsidRDefault="00D87E44" w14:paraId="15459268" w14:textId="77777777">
            <w:pPr>
              <w:spacing w:before="0" w:after="0" w:line="240" w:lineRule="auto"/>
              <w:jc w:val="center"/>
              <w:rPr>
                <w:color w:val="006100"/>
                <w:sz w:val="20"/>
                <w:lang w:val="en-IE"/>
              </w:rPr>
            </w:pPr>
            <w:r w:rsidRPr="00FF1320">
              <w:rPr>
                <w:color w:val="006100"/>
                <w:sz w:val="20"/>
                <w:lang w:val="en-IE"/>
              </w:rPr>
              <w:t>23</w:t>
            </w:r>
            <w:r w:rsidRPr="00E03285">
              <w:rPr>
                <w:rFonts w:eastAsia="Times New Roman"/>
                <w:noProof/>
                <w:color w:val="006100"/>
                <w:sz w:val="20"/>
                <w:szCs w:val="20"/>
                <w:lang w:val="en-IE"/>
              </w:rPr>
              <w:t>5</w:t>
            </w:r>
          </w:p>
        </w:tc>
        <w:tc>
          <w:tcPr>
            <w:tcW w:w="3317" w:type="dxa"/>
            <w:shd w:val="clear" w:color="auto" w:fill="C6EFCE"/>
            <w:vAlign w:val="center"/>
            <w:hideMark/>
          </w:tcPr>
          <w:p w:rsidRPr="00E03285" w:rsidR="00D87E44" w:rsidRDefault="00D87E44" w14:paraId="1545926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6.1: Increasing Resilience of the Health System - Investment 3: Building a centre for cardiovascular and transplant medicine</w:t>
            </w:r>
          </w:p>
        </w:tc>
        <w:tc>
          <w:tcPr>
            <w:tcW w:w="2325" w:type="dxa"/>
            <w:shd w:val="clear" w:color="auto" w:fill="C6EFCE"/>
            <w:vAlign w:val="center"/>
            <w:hideMark/>
          </w:tcPr>
          <w:p w:rsidRPr="00E03285" w:rsidR="00D87E44" w:rsidRDefault="00D87E44" w14:paraId="1545926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07" w:type="dxa"/>
            <w:shd w:val="clear" w:color="auto" w:fill="C6EFCE"/>
            <w:vAlign w:val="center"/>
            <w:hideMark/>
          </w:tcPr>
          <w:p w:rsidRPr="00FF1320" w:rsidR="00D87E44" w:rsidRDefault="00D87E44" w14:paraId="1545926B" w14:textId="77777777">
            <w:pPr>
              <w:spacing w:before="0" w:after="0" w:line="240" w:lineRule="auto"/>
              <w:jc w:val="center"/>
              <w:rPr>
                <w:color w:val="006100"/>
                <w:sz w:val="20"/>
                <w:lang w:val="en-IE"/>
              </w:rPr>
            </w:pPr>
            <w:r w:rsidRPr="00FF1320">
              <w:rPr>
                <w:color w:val="006100"/>
                <w:sz w:val="20"/>
                <w:lang w:val="en-IE"/>
              </w:rPr>
              <w:t>Centre for Cardiovascular and Transplant Medicine</w:t>
            </w:r>
          </w:p>
        </w:tc>
      </w:tr>
      <w:tr w:rsidR="00E3458A" w:rsidTr="004A6335" w14:paraId="15459271" w14:textId="77777777">
        <w:trPr>
          <w:gridAfter w:val="1"/>
          <w:wAfter w:w="66" w:type="dxa"/>
          <w:trHeight w:val="300"/>
        </w:trPr>
        <w:tc>
          <w:tcPr>
            <w:tcW w:w="1699" w:type="dxa"/>
            <w:shd w:val="clear" w:color="auto" w:fill="C6EFCE"/>
            <w:vAlign w:val="center"/>
            <w:hideMark/>
          </w:tcPr>
          <w:p w:rsidRPr="00FF1320" w:rsidR="00D87E44" w:rsidRDefault="00D87E44" w14:paraId="1545926D" w14:textId="77777777">
            <w:pPr>
              <w:spacing w:before="0" w:after="0" w:line="240" w:lineRule="auto"/>
              <w:jc w:val="center"/>
              <w:rPr>
                <w:color w:val="006100"/>
                <w:sz w:val="20"/>
                <w:lang w:val="en-IE"/>
              </w:rPr>
            </w:pPr>
            <w:r w:rsidRPr="387B5440">
              <w:rPr>
                <w:rFonts w:eastAsia="Times New Roman"/>
                <w:noProof/>
                <w:color w:val="006100"/>
                <w:sz w:val="20"/>
                <w:szCs w:val="20"/>
                <w:lang w:val="en-IE"/>
              </w:rPr>
              <w:t>238</w:t>
            </w:r>
          </w:p>
        </w:tc>
        <w:tc>
          <w:tcPr>
            <w:tcW w:w="3317" w:type="dxa"/>
            <w:shd w:val="clear" w:color="auto" w:fill="C6EFCE"/>
            <w:vAlign w:val="center"/>
            <w:hideMark/>
          </w:tcPr>
          <w:p w:rsidR="00D87E44" w:rsidRDefault="00D87E44" w14:paraId="1545926E"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C 6.2: The National Plan to Strengthen Oncological Prevention and Care - Reform 2: Supporting and </w:t>
            </w:r>
            <w:r w:rsidRPr="387B5440">
              <w:rPr>
                <w:rFonts w:eastAsia="Times New Roman"/>
                <w:noProof/>
                <w:color w:val="006100"/>
                <w:sz w:val="20"/>
                <w:szCs w:val="20"/>
                <w:lang w:val="en-IE"/>
              </w:rPr>
              <w:t>enhancing quality of preventive screening programmes</w:t>
            </w:r>
          </w:p>
        </w:tc>
        <w:tc>
          <w:tcPr>
            <w:tcW w:w="2325" w:type="dxa"/>
            <w:shd w:val="clear" w:color="auto" w:fill="C6EFCE"/>
            <w:vAlign w:val="center"/>
            <w:hideMark/>
          </w:tcPr>
          <w:p w:rsidR="00D87E44" w:rsidRDefault="00D87E44" w14:paraId="1545926F" w14:textId="77777777">
            <w:pPr>
              <w:spacing w:before="0" w:after="0" w:line="240" w:lineRule="auto"/>
              <w:jc w:val="center"/>
              <w:rPr>
                <w:rFonts w:eastAsia="Times New Roman"/>
                <w:noProof/>
                <w:color w:val="006100"/>
                <w:sz w:val="20"/>
                <w:szCs w:val="20"/>
                <w:lang w:val="en-IE"/>
              </w:rPr>
            </w:pPr>
            <w:r w:rsidRPr="00FF1320">
              <w:rPr>
                <w:color w:val="006100"/>
                <w:sz w:val="20"/>
                <w:lang w:val="en-IE"/>
              </w:rPr>
              <w:t>Target</w:t>
            </w:r>
          </w:p>
        </w:tc>
        <w:tc>
          <w:tcPr>
            <w:tcW w:w="3107" w:type="dxa"/>
            <w:shd w:val="clear" w:color="auto" w:fill="C6EFCE"/>
            <w:vAlign w:val="center"/>
            <w:hideMark/>
          </w:tcPr>
          <w:p w:rsidR="00D87E44" w:rsidRDefault="00D87E44" w14:paraId="15459270"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C</w:t>
            </w:r>
            <w:r w:rsidRPr="387B5440">
              <w:rPr>
                <w:rFonts w:eastAsia="Times New Roman"/>
                <w:noProof/>
                <w:color w:val="006100"/>
                <w:sz w:val="20"/>
                <w:szCs w:val="20"/>
                <w:lang w:val="en-IE"/>
              </w:rPr>
              <w:t>olorectal cancer screening programme</w:t>
            </w:r>
          </w:p>
        </w:tc>
      </w:tr>
      <w:tr w:rsidRPr="00E03285" w:rsidR="00E3458A" w:rsidTr="004A6335" w14:paraId="15459276" w14:textId="77777777">
        <w:trPr>
          <w:gridAfter w:val="1"/>
          <w:wAfter w:w="66" w:type="dxa"/>
          <w:trHeight w:val="300"/>
        </w:trPr>
        <w:tc>
          <w:tcPr>
            <w:tcW w:w="1699" w:type="dxa"/>
            <w:shd w:val="clear" w:color="auto" w:fill="C6EFCE"/>
            <w:vAlign w:val="center"/>
            <w:hideMark/>
          </w:tcPr>
          <w:p w:rsidRPr="00E03285" w:rsidR="00D87E44" w:rsidP="00E3458A" w:rsidRDefault="00D87E44" w14:paraId="15459272"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243</w:t>
            </w:r>
          </w:p>
        </w:tc>
        <w:tc>
          <w:tcPr>
            <w:tcW w:w="3317" w:type="dxa"/>
            <w:shd w:val="clear" w:color="auto" w:fill="C6EFCE"/>
            <w:vAlign w:val="center"/>
            <w:hideMark/>
          </w:tcPr>
          <w:p w:rsidRPr="00E03285" w:rsidR="00D87E44" w:rsidP="00E3458A" w:rsidRDefault="00D87E44" w14:paraId="15459273"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C 6.2: The National Plan to Strengthen Oncological Prevention and Care - Investment 3: Establishment and development of the Centre </w:t>
            </w:r>
            <w:r w:rsidRPr="00381D86">
              <w:rPr>
                <w:color w:val="006100"/>
                <w:sz w:val="20"/>
                <w:szCs w:val="20"/>
                <w:lang w:val="en-IE"/>
              </w:rPr>
              <w:t xml:space="preserve">for </w:t>
            </w:r>
            <w:r w:rsidRPr="00381D86">
              <w:rPr>
                <w:rFonts w:eastAsia="Times New Roman"/>
                <w:noProof/>
                <w:color w:val="006100"/>
                <w:sz w:val="20"/>
                <w:szCs w:val="20"/>
                <w:lang w:val="en-IE"/>
              </w:rPr>
              <w:t>Cancer Prevention</w:t>
            </w:r>
            <w:r w:rsidRPr="4A45BCA2">
              <w:rPr>
                <w:rFonts w:eastAsia="Times New Roman"/>
                <w:noProof/>
                <w:color w:val="006100"/>
                <w:sz w:val="20"/>
                <w:szCs w:val="20"/>
                <w:lang w:val="en-IE"/>
              </w:rPr>
              <w:t xml:space="preserve"> and Infrastructure for Innovative and Supportive Care at the Masaryk Memorial Cancer Institute</w:t>
            </w:r>
          </w:p>
        </w:tc>
        <w:tc>
          <w:tcPr>
            <w:tcW w:w="2325" w:type="dxa"/>
            <w:shd w:val="clear" w:color="auto" w:fill="C6EFCE"/>
            <w:vAlign w:val="center"/>
            <w:hideMark/>
          </w:tcPr>
          <w:p w:rsidRPr="00E03285" w:rsidR="00D87E44" w:rsidP="00E3458A" w:rsidRDefault="00D87E44" w14:paraId="1545927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07" w:type="dxa"/>
            <w:shd w:val="clear" w:color="auto" w:fill="C6EFCE"/>
            <w:vAlign w:val="center"/>
            <w:hideMark/>
          </w:tcPr>
          <w:p w:rsidRPr="00FF1320" w:rsidR="00D87E44" w:rsidP="4A45BCA2" w:rsidRDefault="00D87E44" w14:paraId="15459275" w14:textId="77777777">
            <w:pPr>
              <w:spacing w:before="0" w:after="0" w:line="240" w:lineRule="auto"/>
              <w:jc w:val="center"/>
              <w:rPr>
                <w:color w:val="004300"/>
                <w:sz w:val="20"/>
                <w:szCs w:val="20"/>
                <w:lang w:val="en-IE"/>
              </w:rPr>
            </w:pPr>
            <w:r w:rsidRPr="4A45BCA2">
              <w:rPr>
                <w:rFonts w:eastAsia="Times New Roman"/>
                <w:noProof/>
                <w:color w:val="006100"/>
                <w:sz w:val="20"/>
                <w:szCs w:val="20"/>
                <w:lang w:val="en-IE"/>
              </w:rPr>
              <w:t>New facilities of the Masaryk Memorial Cancer Institute</w:t>
            </w:r>
          </w:p>
        </w:tc>
      </w:tr>
      <w:tr w:rsidR="00E3458A" w:rsidTr="004A6335" w14:paraId="1545927B" w14:textId="77777777">
        <w:trPr>
          <w:gridAfter w:val="1"/>
          <w:wAfter w:w="66" w:type="dxa"/>
          <w:trHeight w:val="300"/>
        </w:trPr>
        <w:tc>
          <w:tcPr>
            <w:tcW w:w="1699" w:type="dxa"/>
            <w:shd w:val="clear" w:color="auto" w:fill="C6EFCE"/>
            <w:vAlign w:val="center"/>
            <w:hideMark/>
          </w:tcPr>
          <w:p w:rsidRPr="00FF1320" w:rsidR="00D87E44" w:rsidP="00E3458A" w:rsidRDefault="00D87E44" w14:paraId="15459277" w14:textId="77777777">
            <w:pPr>
              <w:spacing w:before="0" w:after="0" w:line="240" w:lineRule="auto"/>
              <w:jc w:val="center"/>
              <w:rPr>
                <w:color w:val="006100"/>
                <w:sz w:val="20"/>
                <w:lang w:val="en-IE"/>
              </w:rPr>
            </w:pPr>
            <w:r w:rsidRPr="387B5440">
              <w:rPr>
                <w:rFonts w:eastAsia="Times New Roman"/>
                <w:noProof/>
                <w:color w:val="006100"/>
                <w:sz w:val="20"/>
                <w:szCs w:val="20"/>
                <w:lang w:val="en-IE"/>
              </w:rPr>
              <w:t>246</w:t>
            </w:r>
          </w:p>
        </w:tc>
        <w:tc>
          <w:tcPr>
            <w:tcW w:w="3317" w:type="dxa"/>
            <w:shd w:val="clear" w:color="auto" w:fill="C6EFCE"/>
            <w:vAlign w:val="center"/>
            <w:hideMark/>
          </w:tcPr>
          <w:p w:rsidR="00D87E44" w:rsidP="00E3458A" w:rsidRDefault="00D87E44" w14:paraId="15459278"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rPr>
              <w:t>C1.1: Digital Services to Citizens and Businesses - Investment 4: Digital services for end users in social area</w:t>
            </w:r>
          </w:p>
        </w:tc>
        <w:tc>
          <w:tcPr>
            <w:tcW w:w="2325" w:type="dxa"/>
            <w:shd w:val="clear" w:color="auto" w:fill="C6EFCE"/>
            <w:vAlign w:val="center"/>
            <w:hideMark/>
          </w:tcPr>
          <w:p w:rsidR="00D87E44" w:rsidP="00E3458A" w:rsidRDefault="00D87E44" w14:paraId="15459279" w14:textId="77777777">
            <w:pPr>
              <w:spacing w:before="0" w:after="0" w:line="240" w:lineRule="auto"/>
              <w:jc w:val="center"/>
              <w:rPr>
                <w:rFonts w:eastAsia="Times New Roman"/>
                <w:noProof/>
                <w:color w:val="006100"/>
                <w:sz w:val="20"/>
                <w:szCs w:val="20"/>
                <w:lang w:val="en-IE"/>
              </w:rPr>
            </w:pPr>
            <w:r w:rsidRPr="00FF1320">
              <w:rPr>
                <w:color w:val="006100"/>
                <w:sz w:val="20"/>
              </w:rPr>
              <w:t>Milestone</w:t>
            </w:r>
          </w:p>
        </w:tc>
        <w:tc>
          <w:tcPr>
            <w:tcW w:w="3107" w:type="dxa"/>
            <w:shd w:val="clear" w:color="auto" w:fill="C6EFCE"/>
            <w:vAlign w:val="center"/>
            <w:hideMark/>
          </w:tcPr>
          <w:p w:rsidR="00D87E44" w:rsidRDefault="00D87E44" w14:paraId="1545927A"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rPr>
              <w:t xml:space="preserve">Upgraded self-service portal for the Labour Office </w:t>
            </w:r>
          </w:p>
        </w:tc>
      </w:tr>
      <w:tr w:rsidR="00E3458A" w:rsidTr="004A6335" w14:paraId="15459280" w14:textId="77777777">
        <w:trPr>
          <w:gridAfter w:val="1"/>
          <w:wAfter w:w="66" w:type="dxa"/>
          <w:trHeight w:val="300"/>
        </w:trPr>
        <w:tc>
          <w:tcPr>
            <w:tcW w:w="1699" w:type="dxa"/>
            <w:shd w:val="clear" w:color="auto" w:fill="C6EFCE"/>
            <w:vAlign w:val="center"/>
            <w:hideMark/>
          </w:tcPr>
          <w:p w:rsidRPr="00FF1320" w:rsidR="00D87E44" w:rsidRDefault="00D87E44" w14:paraId="1545927C" w14:textId="77777777">
            <w:pPr>
              <w:spacing w:line="240" w:lineRule="auto"/>
              <w:jc w:val="center"/>
              <w:rPr>
                <w:color w:val="006100"/>
                <w:sz w:val="20"/>
                <w:lang w:val="en-IE"/>
              </w:rPr>
            </w:pPr>
            <w:r w:rsidRPr="387B5440">
              <w:rPr>
                <w:rFonts w:eastAsia="Times New Roman"/>
                <w:noProof/>
                <w:color w:val="006100"/>
                <w:sz w:val="20"/>
                <w:szCs w:val="20"/>
                <w:lang w:val="en-IE"/>
              </w:rPr>
              <w:lastRenderedPageBreak/>
              <w:t>290</w:t>
            </w:r>
          </w:p>
        </w:tc>
        <w:tc>
          <w:tcPr>
            <w:tcW w:w="3317" w:type="dxa"/>
            <w:shd w:val="clear" w:color="auto" w:fill="C6EFCE"/>
            <w:vAlign w:val="center"/>
            <w:hideMark/>
          </w:tcPr>
          <w:p w:rsidR="00D87E44" w:rsidRDefault="00D87E44" w14:paraId="1545927D"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5.2: Support for Research and Development in Companies and Introduction of Innovations into Business Practice - Investment 2: Support for research and development cooperation (in line with Smart Specialization Strategy)</w:t>
            </w:r>
          </w:p>
        </w:tc>
        <w:tc>
          <w:tcPr>
            <w:tcW w:w="2325" w:type="dxa"/>
            <w:shd w:val="clear" w:color="auto" w:fill="C6EFCE"/>
            <w:vAlign w:val="center"/>
            <w:hideMark/>
          </w:tcPr>
          <w:p w:rsidR="00D87E44" w:rsidRDefault="00D87E44" w14:paraId="1545927E"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07" w:type="dxa"/>
            <w:shd w:val="clear" w:color="auto" w:fill="C6EFCE"/>
            <w:vAlign w:val="center"/>
            <w:hideMark/>
          </w:tcPr>
          <w:p w:rsidR="00D87E44" w:rsidRDefault="00D87E44" w14:paraId="1545927F"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Funds disbursed</w:t>
            </w:r>
          </w:p>
        </w:tc>
      </w:tr>
      <w:tr w:rsidR="00E3458A" w:rsidTr="004A6335" w14:paraId="15459285" w14:textId="77777777">
        <w:trPr>
          <w:gridAfter w:val="1"/>
          <w:wAfter w:w="66" w:type="dxa"/>
          <w:trHeight w:val="300"/>
        </w:trPr>
        <w:tc>
          <w:tcPr>
            <w:tcW w:w="1699" w:type="dxa"/>
            <w:shd w:val="clear" w:color="auto" w:fill="C6EFCE"/>
            <w:vAlign w:val="center"/>
            <w:hideMark/>
          </w:tcPr>
          <w:p w:rsidRPr="00FF1320" w:rsidR="00D87E44" w:rsidRDefault="00D87E44" w14:paraId="15459281" w14:textId="77777777">
            <w:pPr>
              <w:spacing w:line="240" w:lineRule="auto"/>
              <w:jc w:val="center"/>
              <w:rPr>
                <w:color w:val="006100"/>
                <w:sz w:val="20"/>
                <w:lang w:val="en-IE"/>
              </w:rPr>
            </w:pPr>
            <w:r w:rsidRPr="387B5440">
              <w:rPr>
                <w:rFonts w:eastAsia="Times New Roman"/>
                <w:noProof/>
                <w:color w:val="006100"/>
                <w:sz w:val="20"/>
                <w:szCs w:val="20"/>
                <w:lang w:val="en-IE"/>
              </w:rPr>
              <w:t>293</w:t>
            </w:r>
          </w:p>
        </w:tc>
        <w:tc>
          <w:tcPr>
            <w:tcW w:w="3317" w:type="dxa"/>
            <w:shd w:val="clear" w:color="auto" w:fill="C6EFCE"/>
            <w:vAlign w:val="center"/>
            <w:hideMark/>
          </w:tcPr>
          <w:p w:rsidR="00D87E44" w:rsidRDefault="00D87E44" w14:paraId="15459282"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5.2: Support for Research and Development in Companies and Introduction of Innovations into Business Practice - Investment 5: Aid for research and development in enterprises in line with the national RIS3 strategy</w:t>
            </w:r>
          </w:p>
        </w:tc>
        <w:tc>
          <w:tcPr>
            <w:tcW w:w="2325" w:type="dxa"/>
            <w:shd w:val="clear" w:color="auto" w:fill="C6EFCE"/>
            <w:vAlign w:val="center"/>
            <w:hideMark/>
          </w:tcPr>
          <w:p w:rsidR="00D87E44" w:rsidRDefault="00D87E44" w14:paraId="15459283" w14:textId="77777777">
            <w:pPr>
              <w:spacing w:line="240" w:lineRule="auto"/>
              <w:jc w:val="center"/>
              <w:rPr>
                <w:rFonts w:eastAsia="Times New Roman"/>
                <w:noProof/>
                <w:color w:val="006100"/>
                <w:sz w:val="20"/>
                <w:szCs w:val="20"/>
                <w:lang w:val="en-IE"/>
              </w:rPr>
            </w:pPr>
            <w:r w:rsidRPr="00FF1320">
              <w:rPr>
                <w:color w:val="006100"/>
                <w:sz w:val="20"/>
                <w:lang w:val="en-IE"/>
              </w:rPr>
              <w:t>Target</w:t>
            </w:r>
          </w:p>
        </w:tc>
        <w:tc>
          <w:tcPr>
            <w:tcW w:w="3107" w:type="dxa"/>
            <w:shd w:val="clear" w:color="auto" w:fill="C6EFCE"/>
            <w:vAlign w:val="center"/>
            <w:hideMark/>
          </w:tcPr>
          <w:p w:rsidR="00D87E44" w:rsidRDefault="00D87E44" w14:paraId="15459284"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Funds disbursed</w:t>
            </w:r>
          </w:p>
        </w:tc>
      </w:tr>
      <w:tr w:rsidR="00E3458A" w:rsidTr="004A6335" w14:paraId="1545928A" w14:textId="77777777">
        <w:trPr>
          <w:gridAfter w:val="1"/>
          <w:wAfter w:w="66" w:type="dxa"/>
          <w:trHeight w:val="300"/>
        </w:trPr>
        <w:tc>
          <w:tcPr>
            <w:tcW w:w="1699" w:type="dxa"/>
            <w:shd w:val="clear" w:color="auto" w:fill="C6EFCE"/>
            <w:vAlign w:val="center"/>
            <w:hideMark/>
          </w:tcPr>
          <w:p w:rsidRPr="00FF1320" w:rsidR="00D87E44" w:rsidRDefault="00D87E44" w14:paraId="15459286" w14:textId="77777777">
            <w:pPr>
              <w:spacing w:line="240" w:lineRule="auto"/>
              <w:jc w:val="center"/>
              <w:rPr>
                <w:color w:val="006100"/>
                <w:sz w:val="20"/>
                <w:lang w:val="en-IE"/>
              </w:rPr>
            </w:pPr>
            <w:r w:rsidRPr="387B5440">
              <w:rPr>
                <w:rFonts w:eastAsia="Times New Roman"/>
                <w:noProof/>
                <w:color w:val="006100"/>
                <w:sz w:val="20"/>
                <w:szCs w:val="20"/>
                <w:lang w:val="en-IE"/>
              </w:rPr>
              <w:t>295</w:t>
            </w:r>
          </w:p>
        </w:tc>
        <w:tc>
          <w:tcPr>
            <w:tcW w:w="3317" w:type="dxa"/>
            <w:shd w:val="clear" w:color="auto" w:fill="C6EFCE"/>
            <w:vAlign w:val="center"/>
            <w:hideMark/>
          </w:tcPr>
          <w:p w:rsidR="00D87E44" w:rsidRDefault="00D87E44" w14:paraId="15459287"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5.2: Support for Research and Development in Companies and Introduction of Innovations into Business Practice - Investment 6: Aid for research and development in the field of transport</w:t>
            </w:r>
          </w:p>
        </w:tc>
        <w:tc>
          <w:tcPr>
            <w:tcW w:w="2325" w:type="dxa"/>
            <w:shd w:val="clear" w:color="auto" w:fill="C6EFCE"/>
            <w:vAlign w:val="center"/>
            <w:hideMark/>
          </w:tcPr>
          <w:p w:rsidR="00D87E44" w:rsidRDefault="00D87E44" w14:paraId="15459288" w14:textId="77777777">
            <w:pPr>
              <w:spacing w:line="240" w:lineRule="auto"/>
              <w:jc w:val="center"/>
              <w:rPr>
                <w:rFonts w:eastAsia="Times New Roman"/>
                <w:noProof/>
                <w:color w:val="006100"/>
                <w:sz w:val="20"/>
                <w:szCs w:val="20"/>
                <w:lang w:val="en-IE"/>
              </w:rPr>
            </w:pPr>
            <w:r w:rsidRPr="00FF1320">
              <w:rPr>
                <w:color w:val="006100"/>
                <w:sz w:val="20"/>
                <w:lang w:val="en-IE"/>
              </w:rPr>
              <w:t>Target</w:t>
            </w:r>
          </w:p>
        </w:tc>
        <w:tc>
          <w:tcPr>
            <w:tcW w:w="3107" w:type="dxa"/>
            <w:shd w:val="clear" w:color="auto" w:fill="C6EFCE"/>
            <w:vAlign w:val="center"/>
            <w:hideMark/>
          </w:tcPr>
          <w:p w:rsidR="00D87E44" w:rsidRDefault="00D87E44" w14:paraId="15459289"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Funds </w:t>
            </w:r>
            <w:r>
              <w:rPr>
                <w:rFonts w:eastAsia="Times New Roman"/>
                <w:noProof/>
                <w:color w:val="006100"/>
                <w:sz w:val="20"/>
                <w:szCs w:val="20"/>
                <w:lang w:val="en-IE"/>
              </w:rPr>
              <w:t>disbursed</w:t>
            </w:r>
          </w:p>
        </w:tc>
      </w:tr>
      <w:tr w:rsidR="00E3458A" w:rsidTr="004A6335" w14:paraId="1545928F" w14:textId="77777777">
        <w:trPr>
          <w:gridAfter w:val="1"/>
          <w:wAfter w:w="66" w:type="dxa"/>
          <w:trHeight w:val="300"/>
        </w:trPr>
        <w:tc>
          <w:tcPr>
            <w:tcW w:w="1699" w:type="dxa"/>
            <w:shd w:val="clear" w:color="auto" w:fill="C6EFCE"/>
            <w:vAlign w:val="center"/>
            <w:hideMark/>
          </w:tcPr>
          <w:p w:rsidRPr="00FF1320" w:rsidR="00D87E44" w:rsidRDefault="00D87E44" w14:paraId="1545928B" w14:textId="77777777">
            <w:pPr>
              <w:spacing w:line="240" w:lineRule="auto"/>
              <w:jc w:val="center"/>
              <w:rPr>
                <w:color w:val="006100"/>
                <w:sz w:val="20"/>
                <w:lang w:val="en-IE"/>
              </w:rPr>
            </w:pPr>
            <w:r w:rsidRPr="387B5440">
              <w:rPr>
                <w:rFonts w:eastAsia="Times New Roman"/>
                <w:noProof/>
                <w:color w:val="006100"/>
                <w:sz w:val="20"/>
                <w:szCs w:val="20"/>
                <w:lang w:val="en-IE"/>
              </w:rPr>
              <w:t>297</w:t>
            </w:r>
          </w:p>
        </w:tc>
        <w:tc>
          <w:tcPr>
            <w:tcW w:w="3317" w:type="dxa"/>
            <w:shd w:val="clear" w:color="auto" w:fill="C6EFCE"/>
            <w:vAlign w:val="center"/>
            <w:hideMark/>
          </w:tcPr>
          <w:p w:rsidRPr="00FF1320" w:rsidR="00D87E44" w:rsidRDefault="00D87E44" w14:paraId="1545928C" w14:textId="77777777">
            <w:pPr>
              <w:spacing w:line="240" w:lineRule="auto"/>
              <w:jc w:val="center"/>
              <w:rPr>
                <w:color w:val="006100"/>
                <w:sz w:val="20"/>
                <w:lang w:val="en-IE"/>
              </w:rPr>
            </w:pPr>
            <w:r w:rsidRPr="387B5440">
              <w:rPr>
                <w:rFonts w:eastAsia="Times New Roman"/>
                <w:noProof/>
                <w:color w:val="006100"/>
                <w:sz w:val="20"/>
                <w:szCs w:val="20"/>
                <w:lang w:val="en-IE"/>
              </w:rPr>
              <w:t>C 5.2: Support for Research and Development in Companies and Introduction of Innovations into Business Practice - Investment 7: Aid for research and development in the environmental field</w:t>
            </w:r>
          </w:p>
        </w:tc>
        <w:tc>
          <w:tcPr>
            <w:tcW w:w="2325" w:type="dxa"/>
            <w:shd w:val="clear" w:color="auto" w:fill="C6EFCE"/>
            <w:vAlign w:val="center"/>
            <w:hideMark/>
          </w:tcPr>
          <w:p w:rsidR="00D87E44" w:rsidRDefault="00D87E44" w14:paraId="1545928D"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107" w:type="dxa"/>
            <w:shd w:val="clear" w:color="auto" w:fill="C6EFCE"/>
            <w:vAlign w:val="center"/>
            <w:hideMark/>
          </w:tcPr>
          <w:p w:rsidR="00D87E44" w:rsidRDefault="00D87E44" w14:paraId="1545928E"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Funds disbursed</w:t>
            </w:r>
          </w:p>
        </w:tc>
      </w:tr>
      <w:tr w:rsidR="00E3458A" w:rsidTr="004A6335" w14:paraId="15459294" w14:textId="77777777">
        <w:trPr>
          <w:gridAfter w:val="1"/>
          <w:wAfter w:w="66" w:type="dxa"/>
          <w:trHeight w:val="300"/>
        </w:trPr>
        <w:tc>
          <w:tcPr>
            <w:tcW w:w="1699" w:type="dxa"/>
            <w:shd w:val="clear" w:color="auto" w:fill="C6EFCE"/>
            <w:vAlign w:val="center"/>
            <w:hideMark/>
          </w:tcPr>
          <w:p w:rsidRPr="00FF1320" w:rsidR="00D87E44" w:rsidP="00FF1320" w:rsidRDefault="00D87E44" w14:paraId="15459290" w14:textId="77777777">
            <w:pPr>
              <w:spacing w:line="240" w:lineRule="auto"/>
              <w:jc w:val="center"/>
              <w:rPr>
                <w:color w:val="006100"/>
                <w:sz w:val="20"/>
                <w:lang w:val="en-IE"/>
              </w:rPr>
            </w:pPr>
            <w:r w:rsidRPr="387B5440">
              <w:rPr>
                <w:rFonts w:eastAsia="Times New Roman"/>
                <w:noProof/>
                <w:color w:val="006100"/>
                <w:sz w:val="20"/>
                <w:szCs w:val="20"/>
                <w:lang w:val="en-IE"/>
              </w:rPr>
              <w:t>300</w:t>
            </w:r>
          </w:p>
        </w:tc>
        <w:tc>
          <w:tcPr>
            <w:tcW w:w="3317" w:type="dxa"/>
            <w:shd w:val="clear" w:color="auto" w:fill="C6EFCE"/>
            <w:vAlign w:val="center"/>
            <w:hideMark/>
          </w:tcPr>
          <w:p w:rsidRPr="00FF1320" w:rsidR="00D87E44" w:rsidP="00FF1320" w:rsidRDefault="00D87E44" w14:paraId="15459291" w14:textId="77777777">
            <w:pPr>
              <w:spacing w:line="240" w:lineRule="auto"/>
              <w:jc w:val="center"/>
              <w:rPr>
                <w:color w:val="006100"/>
                <w:sz w:val="20"/>
                <w:lang w:val="en-IE"/>
              </w:rPr>
            </w:pPr>
            <w:r w:rsidRPr="387B5440">
              <w:rPr>
                <w:rFonts w:eastAsia="Times New Roman"/>
                <w:noProof/>
                <w:color w:val="006100"/>
                <w:sz w:val="20"/>
                <w:szCs w:val="20"/>
                <w:lang w:val="en-IE"/>
              </w:rPr>
              <w:t xml:space="preserve">C 7.1:  </w:t>
            </w:r>
            <w:r w:rsidRPr="387B5440">
              <w:rPr>
                <w:rFonts w:eastAsia="Times New Roman"/>
                <w:noProof/>
                <w:color w:val="006100"/>
                <w:sz w:val="20"/>
                <w:szCs w:val="20"/>
                <w:lang w:val="en-IE"/>
              </w:rPr>
              <w:t>Renewable Energy and Electricity Infrastructure (REPowerEU) - Investment 2: Scaled up measure: Development of new photovoltaic energy sources</w:t>
            </w:r>
          </w:p>
        </w:tc>
        <w:tc>
          <w:tcPr>
            <w:tcW w:w="2325" w:type="dxa"/>
            <w:shd w:val="clear" w:color="auto" w:fill="C6EFCE"/>
            <w:vAlign w:val="center"/>
            <w:hideMark/>
          </w:tcPr>
          <w:p w:rsidRPr="00FF1320" w:rsidR="00D87E44" w:rsidP="00E3458A" w:rsidRDefault="00D87E44" w14:paraId="15459292" w14:textId="77777777">
            <w:pPr>
              <w:spacing w:line="240" w:lineRule="auto"/>
              <w:jc w:val="center"/>
              <w:rPr>
                <w:color w:val="006100"/>
                <w:sz w:val="20"/>
                <w:lang w:val="en-IE"/>
              </w:rPr>
            </w:pPr>
            <w:r w:rsidRPr="00FF1320">
              <w:rPr>
                <w:color w:val="006100"/>
                <w:sz w:val="20"/>
                <w:lang w:val="en-IE"/>
              </w:rPr>
              <w:t>Target</w:t>
            </w:r>
          </w:p>
        </w:tc>
        <w:tc>
          <w:tcPr>
            <w:tcW w:w="3107" w:type="dxa"/>
            <w:shd w:val="clear" w:color="auto" w:fill="C6EFCE"/>
            <w:vAlign w:val="center"/>
            <w:hideMark/>
          </w:tcPr>
          <w:p w:rsidRPr="00FF1320" w:rsidR="00D87E44" w:rsidRDefault="00D87E44" w14:paraId="15459293" w14:textId="77777777">
            <w:pPr>
              <w:spacing w:line="240" w:lineRule="auto"/>
              <w:jc w:val="center"/>
              <w:rPr>
                <w:color w:val="006100"/>
                <w:sz w:val="20"/>
                <w:lang w:val="en-IE"/>
              </w:rPr>
            </w:pPr>
            <w:r>
              <w:rPr>
                <w:rFonts w:eastAsia="Times New Roman"/>
                <w:noProof/>
                <w:color w:val="006100"/>
                <w:sz w:val="20"/>
                <w:szCs w:val="20"/>
                <w:lang w:val="en-IE"/>
              </w:rPr>
              <w:t>I</w:t>
            </w:r>
            <w:r w:rsidRPr="387B5440">
              <w:rPr>
                <w:rFonts w:eastAsia="Times New Roman"/>
                <w:noProof/>
                <w:color w:val="006100"/>
                <w:sz w:val="20"/>
                <w:szCs w:val="20"/>
                <w:lang w:val="en-IE"/>
              </w:rPr>
              <w:t>nstalled capacity of FVE sources</w:t>
            </w:r>
          </w:p>
        </w:tc>
      </w:tr>
      <w:tr w:rsidRPr="00E03285" w:rsidR="00E3458A" w:rsidTr="004A6335" w14:paraId="15459299" w14:textId="77777777">
        <w:trPr>
          <w:gridAfter w:val="1"/>
          <w:wAfter w:w="66" w:type="dxa"/>
          <w:trHeight w:val="300"/>
        </w:trPr>
        <w:tc>
          <w:tcPr>
            <w:tcW w:w="1699" w:type="dxa"/>
            <w:shd w:val="clear" w:color="auto" w:fill="C6EFCE"/>
            <w:vAlign w:val="center"/>
          </w:tcPr>
          <w:p w:rsidRPr="00FF1320" w:rsidR="00D87E44" w:rsidRDefault="00D87E44" w14:paraId="15459295" w14:textId="77777777">
            <w:pPr>
              <w:spacing w:line="240" w:lineRule="auto"/>
              <w:jc w:val="center"/>
              <w:rPr>
                <w:color w:val="004300"/>
                <w:sz w:val="20"/>
                <w:lang w:val="en-IE"/>
              </w:rPr>
            </w:pPr>
            <w:r w:rsidRPr="50A0F14C">
              <w:rPr>
                <w:rFonts w:eastAsia="Times New Roman"/>
                <w:noProof/>
                <w:color w:val="006100"/>
                <w:sz w:val="20"/>
                <w:szCs w:val="20"/>
                <w:lang w:val="en-IE"/>
              </w:rPr>
              <w:t>308</w:t>
            </w:r>
          </w:p>
        </w:tc>
        <w:tc>
          <w:tcPr>
            <w:tcW w:w="3317" w:type="dxa"/>
            <w:shd w:val="clear" w:color="auto" w:fill="C6EFCE"/>
            <w:vAlign w:val="center"/>
          </w:tcPr>
          <w:p w:rsidRPr="00E03285" w:rsidR="00D87E44" w:rsidRDefault="00D87E44" w14:paraId="15459296" w14:textId="77777777">
            <w:pPr>
              <w:spacing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C 7.1:  Renewable Energy and Electricity Infrastructure (REPowerEU) - Reform 3 – Sub measure 2: Regulatory incentives for electricity network operators to increase grid flexibility</w:t>
            </w:r>
          </w:p>
        </w:tc>
        <w:tc>
          <w:tcPr>
            <w:tcW w:w="2325" w:type="dxa"/>
            <w:shd w:val="clear" w:color="auto" w:fill="C6EFCE"/>
            <w:vAlign w:val="center"/>
          </w:tcPr>
          <w:p w:rsidRPr="00E03285" w:rsidR="00D87E44" w:rsidRDefault="00D87E44" w14:paraId="15459297" w14:textId="77777777">
            <w:pPr>
              <w:spacing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Milestone</w:t>
            </w:r>
          </w:p>
        </w:tc>
        <w:tc>
          <w:tcPr>
            <w:tcW w:w="3107" w:type="dxa"/>
            <w:shd w:val="clear" w:color="auto" w:fill="C6EFCE"/>
            <w:vAlign w:val="center"/>
          </w:tcPr>
          <w:p w:rsidRPr="00EF08DC" w:rsidR="00D87E44" w:rsidP="00E3458A" w:rsidRDefault="00D87E44" w14:paraId="15459298" w14:textId="77777777">
            <w:pPr>
              <w:spacing w:before="0" w:after="0"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Decisions by the energy regulator</w:t>
            </w:r>
          </w:p>
        </w:tc>
      </w:tr>
      <w:tr w:rsidRPr="00E03285" w:rsidR="00D226F4" w:rsidTr="004A6335" w14:paraId="1545929E" w14:textId="77777777">
        <w:trPr>
          <w:gridAfter w:val="1"/>
          <w:wAfter w:w="66" w:type="dxa"/>
          <w:trHeight w:val="300"/>
        </w:trPr>
        <w:tc>
          <w:tcPr>
            <w:tcW w:w="1699" w:type="dxa"/>
            <w:shd w:val="clear" w:color="auto" w:fill="C6EFCE"/>
            <w:vAlign w:val="center"/>
            <w:hideMark/>
          </w:tcPr>
          <w:p w:rsidRPr="00E03285" w:rsidR="00D87E44" w:rsidRDefault="00D87E44" w14:paraId="1545929A"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319</w:t>
            </w:r>
          </w:p>
        </w:tc>
        <w:tc>
          <w:tcPr>
            <w:tcW w:w="3317" w:type="dxa"/>
            <w:shd w:val="clear" w:color="auto" w:fill="C6EFCE"/>
            <w:vAlign w:val="center"/>
            <w:hideMark/>
          </w:tcPr>
          <w:p w:rsidRPr="00E03285" w:rsidR="00D87E44" w:rsidRDefault="00D87E44" w14:paraId="1545929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7.3: Comprehensive </w:t>
            </w:r>
            <w:r>
              <w:rPr>
                <w:rFonts w:eastAsia="Times New Roman"/>
                <w:noProof/>
                <w:color w:val="006100"/>
                <w:sz w:val="20"/>
                <w:szCs w:val="20"/>
                <w:lang w:val="en-IE"/>
              </w:rPr>
              <w:t>R</w:t>
            </w:r>
            <w:r w:rsidRPr="00E03285">
              <w:rPr>
                <w:rFonts w:eastAsia="Times New Roman"/>
                <w:noProof/>
                <w:color w:val="006100"/>
                <w:sz w:val="20"/>
                <w:szCs w:val="20"/>
                <w:lang w:val="en-IE"/>
              </w:rPr>
              <w:t>eform of the Renovation Wave Advice in the Czech Republic (REPOWER EU) - Reform 1: One-stop-shops for energy communities and energy efficiency renovations</w:t>
            </w:r>
          </w:p>
        </w:tc>
        <w:tc>
          <w:tcPr>
            <w:tcW w:w="2325" w:type="dxa"/>
            <w:shd w:val="clear" w:color="auto" w:fill="C6EFCE"/>
            <w:vAlign w:val="center"/>
            <w:hideMark/>
          </w:tcPr>
          <w:p w:rsidRPr="00E03285" w:rsidR="00D87E44" w:rsidRDefault="00D87E44" w14:paraId="1545929C"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07" w:type="dxa"/>
            <w:shd w:val="clear" w:color="auto" w:fill="C6EFCE"/>
            <w:vAlign w:val="center"/>
            <w:hideMark/>
          </w:tcPr>
          <w:p w:rsidRPr="00EF08DC" w:rsidR="00D87E44" w:rsidRDefault="00D87E44" w14:paraId="1545929D" w14:textId="77777777">
            <w:pPr>
              <w:spacing w:before="0" w:after="0" w:line="240" w:lineRule="auto"/>
              <w:jc w:val="center"/>
              <w:rPr>
                <w:rFonts w:eastAsia="Times New Roman"/>
                <w:noProof/>
                <w:color w:val="006100"/>
                <w:sz w:val="20"/>
                <w:szCs w:val="20"/>
                <w:lang w:val="en-IE"/>
              </w:rPr>
            </w:pPr>
            <w:r w:rsidRPr="00EF08DC">
              <w:rPr>
                <w:rFonts w:eastAsia="Times New Roman"/>
                <w:noProof/>
                <w:color w:val="006100"/>
                <w:sz w:val="20"/>
                <w:szCs w:val="20"/>
                <w:lang w:val="en-IE"/>
              </w:rPr>
              <w:t xml:space="preserve">Evaluation </w:t>
            </w:r>
            <w:r>
              <w:rPr>
                <w:rFonts w:eastAsia="Times New Roman"/>
                <w:noProof/>
                <w:color w:val="006100"/>
                <w:sz w:val="20"/>
                <w:szCs w:val="20"/>
                <w:lang w:val="en-IE"/>
              </w:rPr>
              <w:t>study</w:t>
            </w:r>
          </w:p>
        </w:tc>
      </w:tr>
      <w:tr w:rsidR="00E3458A" w:rsidTr="004A6335" w14:paraId="154592A3" w14:textId="77777777">
        <w:trPr>
          <w:gridAfter w:val="1"/>
          <w:wAfter w:w="66" w:type="dxa"/>
          <w:trHeight w:val="300"/>
        </w:trPr>
        <w:tc>
          <w:tcPr>
            <w:tcW w:w="1699" w:type="dxa"/>
            <w:shd w:val="clear" w:color="auto" w:fill="C6EFCE"/>
            <w:vAlign w:val="center"/>
            <w:hideMark/>
          </w:tcPr>
          <w:p w:rsidRPr="00FF1320" w:rsidR="00D87E44" w:rsidRDefault="00D87E44" w14:paraId="1545929F" w14:textId="77777777">
            <w:pPr>
              <w:spacing w:line="240" w:lineRule="auto"/>
              <w:jc w:val="center"/>
              <w:rPr>
                <w:color w:val="004300"/>
                <w:sz w:val="20"/>
                <w:lang w:val="en-IE"/>
              </w:rPr>
            </w:pPr>
            <w:r w:rsidRPr="387B5440">
              <w:rPr>
                <w:rFonts w:eastAsia="Times New Roman"/>
                <w:noProof/>
                <w:color w:val="004300"/>
                <w:sz w:val="20"/>
                <w:szCs w:val="20"/>
                <w:lang w:val="en-IE"/>
              </w:rPr>
              <w:t>322</w:t>
            </w:r>
          </w:p>
        </w:tc>
        <w:tc>
          <w:tcPr>
            <w:tcW w:w="3317" w:type="dxa"/>
            <w:shd w:val="clear" w:color="auto" w:fill="C6EFCE"/>
            <w:vAlign w:val="center"/>
            <w:hideMark/>
          </w:tcPr>
          <w:p w:rsidR="00D87E44" w:rsidRDefault="00D87E44" w14:paraId="154592A0"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C 7.3: Comprehensive Reform of the Renovation Wave Advice in the Czech Republic (REPOWER EU) - Investment 1: Provision of advisory </w:t>
            </w:r>
            <w:r w:rsidRPr="387B5440">
              <w:rPr>
                <w:rFonts w:eastAsia="Times New Roman"/>
                <w:noProof/>
                <w:color w:val="006100"/>
                <w:sz w:val="20"/>
                <w:szCs w:val="20"/>
                <w:lang w:val="en-IE"/>
              </w:rPr>
              <w:lastRenderedPageBreak/>
              <w:t xml:space="preserve">services to households, enterprises, and the public sector  </w:t>
            </w:r>
          </w:p>
        </w:tc>
        <w:tc>
          <w:tcPr>
            <w:tcW w:w="2325" w:type="dxa"/>
            <w:shd w:val="clear" w:color="auto" w:fill="C6EFCE"/>
            <w:vAlign w:val="center"/>
            <w:hideMark/>
          </w:tcPr>
          <w:p w:rsidR="00D87E44" w:rsidRDefault="00D87E44" w14:paraId="154592A1"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lastRenderedPageBreak/>
              <w:t>Target</w:t>
            </w:r>
          </w:p>
        </w:tc>
        <w:tc>
          <w:tcPr>
            <w:tcW w:w="3107" w:type="dxa"/>
            <w:shd w:val="clear" w:color="auto" w:fill="C6EFCE"/>
            <w:vAlign w:val="center"/>
            <w:hideMark/>
          </w:tcPr>
          <w:p w:rsidRPr="00FF1320" w:rsidR="00D87E44" w:rsidRDefault="00D87E44" w14:paraId="154592A2" w14:textId="77777777">
            <w:pPr>
              <w:spacing w:line="240" w:lineRule="auto"/>
              <w:jc w:val="center"/>
              <w:rPr>
                <w:color w:val="006100"/>
                <w:sz w:val="20"/>
              </w:rPr>
            </w:pPr>
            <w:r w:rsidRPr="387B5440">
              <w:rPr>
                <w:rFonts w:eastAsia="Times New Roman"/>
                <w:noProof/>
                <w:color w:val="006100"/>
                <w:sz w:val="20"/>
                <w:szCs w:val="20"/>
              </w:rPr>
              <w:t xml:space="preserve">Provision of advisory services to households, enterprises, and the public sector  </w:t>
            </w:r>
          </w:p>
        </w:tc>
      </w:tr>
      <w:tr w:rsidR="00D226F4" w:rsidTr="004A6335" w14:paraId="154592A8" w14:textId="77777777">
        <w:trPr>
          <w:gridAfter w:val="1"/>
          <w:wAfter w:w="66" w:type="dxa"/>
          <w:trHeight w:val="300"/>
        </w:trPr>
        <w:tc>
          <w:tcPr>
            <w:tcW w:w="1699" w:type="dxa"/>
            <w:shd w:val="clear" w:color="auto" w:fill="C6EFCE"/>
            <w:vAlign w:val="center"/>
            <w:hideMark/>
          </w:tcPr>
          <w:p w:rsidR="00D87E44" w:rsidRDefault="00D87E44" w14:paraId="154592A4" w14:textId="77777777">
            <w:pPr>
              <w:spacing w:line="240" w:lineRule="auto"/>
              <w:jc w:val="center"/>
              <w:rPr>
                <w:rFonts w:eastAsia="Times New Roman"/>
                <w:noProof/>
                <w:color w:val="004300"/>
                <w:sz w:val="20"/>
                <w:szCs w:val="20"/>
                <w:lang w:val="en-IE"/>
              </w:rPr>
            </w:pPr>
            <w:r w:rsidRPr="50A0F14C">
              <w:rPr>
                <w:rFonts w:eastAsia="Times New Roman"/>
                <w:noProof/>
                <w:color w:val="004300"/>
                <w:sz w:val="20"/>
                <w:szCs w:val="20"/>
                <w:lang w:val="en-IE"/>
              </w:rPr>
              <w:t>350</w:t>
            </w:r>
          </w:p>
        </w:tc>
        <w:tc>
          <w:tcPr>
            <w:tcW w:w="3317" w:type="dxa"/>
            <w:shd w:val="clear" w:color="auto" w:fill="C6EFCE"/>
            <w:vAlign w:val="center"/>
            <w:hideMark/>
          </w:tcPr>
          <w:p w:rsidR="00D87E44" w:rsidRDefault="00D87E44" w14:paraId="154592A5"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7.3: Comprehensive Reform of the Renovation Wave Advice in the Czech Republic (REPOWER EU) - Investment 2: Renovation of residential buildings</w:t>
            </w:r>
          </w:p>
        </w:tc>
        <w:tc>
          <w:tcPr>
            <w:tcW w:w="2325" w:type="dxa"/>
            <w:shd w:val="clear" w:color="auto" w:fill="C6EFCE"/>
            <w:vAlign w:val="center"/>
            <w:hideMark/>
          </w:tcPr>
          <w:p w:rsidR="00D87E44" w:rsidRDefault="00D87E44" w14:paraId="154592A6" w14:textId="77777777">
            <w:pPr>
              <w:spacing w:line="240" w:lineRule="auto"/>
              <w:jc w:val="center"/>
              <w:rPr>
                <w:noProof/>
              </w:rPr>
            </w:pPr>
            <w:r w:rsidRPr="7F1DC342">
              <w:rPr>
                <w:rFonts w:eastAsia="Times New Roman"/>
                <w:noProof/>
                <w:color w:val="006100"/>
                <w:sz w:val="20"/>
                <w:szCs w:val="20"/>
                <w:lang w:val="en-IE"/>
              </w:rPr>
              <w:t>Target</w:t>
            </w:r>
          </w:p>
        </w:tc>
        <w:tc>
          <w:tcPr>
            <w:tcW w:w="3107" w:type="dxa"/>
            <w:shd w:val="clear" w:color="auto" w:fill="C6EFCE"/>
            <w:vAlign w:val="center"/>
            <w:hideMark/>
          </w:tcPr>
          <w:p w:rsidR="00D87E44" w:rsidRDefault="00D87E44" w14:paraId="154592A7" w14:textId="77777777">
            <w:pPr>
              <w:spacing w:line="240" w:lineRule="auto"/>
              <w:jc w:val="center"/>
              <w:rPr>
                <w:noProof/>
              </w:rPr>
            </w:pPr>
            <w:r w:rsidRPr="387B5440">
              <w:rPr>
                <w:rFonts w:eastAsia="Times New Roman"/>
                <w:noProof/>
                <w:color w:val="006100"/>
                <w:sz w:val="20"/>
                <w:szCs w:val="20"/>
                <w:lang w:val="en-IE"/>
              </w:rPr>
              <w:t>Reduction of energy consumption</w:t>
            </w:r>
          </w:p>
        </w:tc>
      </w:tr>
      <w:tr w:rsidRPr="00EF08DC" w:rsidR="00D226F4" w:rsidTr="004A6335" w14:paraId="154592AD" w14:textId="77777777">
        <w:trPr>
          <w:gridAfter w:val="1"/>
          <w:wAfter w:w="66" w:type="dxa"/>
          <w:trHeight w:val="300"/>
        </w:trPr>
        <w:tc>
          <w:tcPr>
            <w:tcW w:w="1699" w:type="dxa"/>
            <w:shd w:val="clear" w:color="auto" w:fill="C6EFCE"/>
            <w:vAlign w:val="center"/>
            <w:hideMark/>
          </w:tcPr>
          <w:p w:rsidRPr="00E03285" w:rsidR="00D87E44" w:rsidRDefault="00D87E44" w14:paraId="154592A9"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336</w:t>
            </w:r>
          </w:p>
        </w:tc>
        <w:tc>
          <w:tcPr>
            <w:tcW w:w="3317" w:type="dxa"/>
            <w:shd w:val="clear" w:color="auto" w:fill="C6EFCE"/>
            <w:vAlign w:val="center"/>
            <w:hideMark/>
          </w:tcPr>
          <w:p w:rsidRPr="00E03285" w:rsidR="00D87E44" w:rsidRDefault="00D87E44" w14:paraId="154592AA"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7.5 Decarbonisation of Road Transport (REPowerEU) - Reform 4: Enabling conditions for zero-emission alternative fuels infrastructure</w:t>
            </w:r>
          </w:p>
        </w:tc>
        <w:tc>
          <w:tcPr>
            <w:tcW w:w="2325" w:type="dxa"/>
            <w:shd w:val="clear" w:color="auto" w:fill="C6EFCE"/>
            <w:vAlign w:val="center"/>
            <w:hideMark/>
          </w:tcPr>
          <w:p w:rsidRPr="00E03285" w:rsidR="00D87E44" w:rsidRDefault="00D87E44" w14:paraId="154592A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107" w:type="dxa"/>
            <w:shd w:val="clear" w:color="auto" w:fill="C6EFCE"/>
            <w:vAlign w:val="center"/>
            <w:hideMark/>
          </w:tcPr>
          <w:p w:rsidRPr="00EF08DC" w:rsidR="00D87E44" w:rsidRDefault="00D87E44" w14:paraId="154592AC"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Supporting the rollout of electric charging stations and hydrogen refuelling stations</w:t>
            </w:r>
          </w:p>
        </w:tc>
      </w:tr>
      <w:tr w:rsidRPr="00E03285" w:rsidR="00D226F4" w:rsidTr="004A6335" w14:paraId="154592B2" w14:textId="77777777">
        <w:trPr>
          <w:gridAfter w:val="1"/>
          <w:wAfter w:w="66" w:type="dxa"/>
          <w:trHeight w:val="300"/>
        </w:trPr>
        <w:tc>
          <w:tcPr>
            <w:tcW w:w="1699" w:type="dxa"/>
            <w:shd w:val="clear" w:color="auto" w:fill="C6EFCE"/>
            <w:vAlign w:val="center"/>
          </w:tcPr>
          <w:p w:rsidRPr="6619B2D2" w:rsidR="00D87E44" w:rsidRDefault="00D87E44" w14:paraId="154592AE" w14:textId="77777777">
            <w:pPr>
              <w:spacing w:line="240" w:lineRule="auto"/>
              <w:jc w:val="center"/>
              <w:rPr>
                <w:rFonts w:eastAsia="Times New Roman"/>
                <w:noProof/>
                <w:color w:val="004300"/>
                <w:sz w:val="20"/>
                <w:szCs w:val="20"/>
                <w:lang w:val="en-IE"/>
              </w:rPr>
            </w:pPr>
            <w:r>
              <w:rPr>
                <w:rFonts w:eastAsia="Times New Roman"/>
                <w:noProof/>
                <w:color w:val="004300"/>
                <w:sz w:val="20"/>
                <w:szCs w:val="20"/>
                <w:lang w:val="en-IE"/>
              </w:rPr>
              <w:t>339</w:t>
            </w:r>
          </w:p>
        </w:tc>
        <w:tc>
          <w:tcPr>
            <w:tcW w:w="3317" w:type="dxa"/>
            <w:shd w:val="clear" w:color="auto" w:fill="C6EFCE"/>
            <w:vAlign w:val="center"/>
          </w:tcPr>
          <w:p w:rsidRPr="000E018E" w:rsidR="00D87E44" w:rsidRDefault="00D87E44" w14:paraId="154592AF" w14:textId="77777777">
            <w:pPr>
              <w:spacing w:line="240" w:lineRule="auto"/>
              <w:jc w:val="center"/>
              <w:rPr>
                <w:rFonts w:eastAsia="Times New Roman"/>
                <w:noProof/>
                <w:color w:val="006100"/>
                <w:sz w:val="20"/>
                <w:szCs w:val="20"/>
              </w:rPr>
            </w:pPr>
            <w:r w:rsidRPr="000E018E">
              <w:rPr>
                <w:rFonts w:eastAsia="Times New Roman"/>
                <w:noProof/>
                <w:color w:val="006100"/>
                <w:sz w:val="20"/>
                <w:szCs w:val="20"/>
              </w:rPr>
              <w:t>C 7.6 Electrification of Rail Transport (REPowerEU) - Investment 1: Electrification of Brno region</w:t>
            </w:r>
          </w:p>
        </w:tc>
        <w:tc>
          <w:tcPr>
            <w:tcW w:w="2325" w:type="dxa"/>
            <w:shd w:val="clear" w:color="auto" w:fill="C6EFCE"/>
            <w:vAlign w:val="center"/>
          </w:tcPr>
          <w:p w:rsidR="00D87E44" w:rsidRDefault="00D87E44" w14:paraId="154592B0"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Milestone</w:t>
            </w:r>
          </w:p>
        </w:tc>
        <w:tc>
          <w:tcPr>
            <w:tcW w:w="3107" w:type="dxa"/>
            <w:shd w:val="clear" w:color="auto" w:fill="C6EFCE"/>
            <w:vAlign w:val="center"/>
          </w:tcPr>
          <w:p w:rsidRPr="00E03285" w:rsidR="00D87E44" w:rsidRDefault="00D87E44" w14:paraId="154592B1"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R</w:t>
            </w:r>
            <w:r w:rsidRPr="00B22450">
              <w:rPr>
                <w:rFonts w:eastAsia="Times New Roman"/>
                <w:noProof/>
                <w:color w:val="006100"/>
                <w:sz w:val="20"/>
                <w:szCs w:val="20"/>
                <w:lang w:val="en-IE"/>
              </w:rPr>
              <w:t>ail electrification project “Electrification of Brno- Zastávka u Brna, stage 2”</w:t>
            </w:r>
          </w:p>
        </w:tc>
      </w:tr>
      <w:tr w:rsidRPr="00E03285" w:rsidR="00D226F4" w:rsidTr="004A6335" w14:paraId="154592B7" w14:textId="77777777">
        <w:trPr>
          <w:gridAfter w:val="1"/>
          <w:wAfter w:w="66" w:type="dxa"/>
          <w:trHeight w:val="300"/>
        </w:trPr>
        <w:tc>
          <w:tcPr>
            <w:tcW w:w="1699" w:type="dxa"/>
            <w:shd w:val="clear" w:color="auto" w:fill="C6EFCE"/>
            <w:vAlign w:val="center"/>
            <w:hideMark/>
          </w:tcPr>
          <w:p w:rsidRPr="00E03285" w:rsidR="00D87E44" w:rsidRDefault="00D87E44" w14:paraId="154592B3" w14:textId="77777777">
            <w:pPr>
              <w:rPr>
                <w:rFonts w:eastAsia="Times New Roman"/>
                <w:noProof/>
                <w:color w:val="004300"/>
                <w:sz w:val="20"/>
                <w:szCs w:val="20"/>
                <w:lang w:val="en-IE"/>
              </w:rPr>
            </w:pPr>
          </w:p>
        </w:tc>
        <w:tc>
          <w:tcPr>
            <w:tcW w:w="3317" w:type="dxa"/>
            <w:shd w:val="clear" w:color="auto" w:fill="C6EFCE"/>
            <w:vAlign w:val="center"/>
            <w:hideMark/>
          </w:tcPr>
          <w:p w:rsidRPr="00F83F92" w:rsidR="00D87E44" w:rsidRDefault="00D87E44" w14:paraId="154592B4" w14:textId="77777777">
            <w:pPr>
              <w:spacing w:before="0" w:after="0" w:line="240" w:lineRule="auto"/>
              <w:rPr>
                <w:rFonts w:ascii="Calibri" w:hAnsi="Calibri"/>
                <w:noProof/>
                <w:sz w:val="20"/>
                <w:lang w:val="en-IE"/>
              </w:rPr>
            </w:pPr>
          </w:p>
        </w:tc>
        <w:tc>
          <w:tcPr>
            <w:tcW w:w="2325" w:type="dxa"/>
            <w:shd w:val="clear" w:color="auto" w:fill="C6EFCE"/>
            <w:vAlign w:val="center"/>
            <w:hideMark/>
          </w:tcPr>
          <w:p w:rsidRPr="00E03285" w:rsidR="00D87E44" w:rsidRDefault="00D87E44" w14:paraId="154592B5" w14:textId="77777777">
            <w:pPr>
              <w:spacing w:before="0" w:after="0" w:line="240" w:lineRule="auto"/>
              <w:jc w:val="center"/>
              <w:rPr>
                <w:rFonts w:eastAsia="Times New Roman"/>
                <w:b/>
                <w:noProof/>
                <w:color w:val="006100"/>
                <w:sz w:val="20"/>
                <w:szCs w:val="20"/>
                <w:lang w:val="en-IE"/>
              </w:rPr>
            </w:pPr>
            <w:r w:rsidRPr="00E03285">
              <w:rPr>
                <w:rFonts w:eastAsia="Times New Roman"/>
                <w:b/>
                <w:noProof/>
                <w:color w:val="006100"/>
                <w:sz w:val="20"/>
                <w:szCs w:val="20"/>
                <w:lang w:val="en-IE"/>
              </w:rPr>
              <w:t>Instalment Amount</w:t>
            </w:r>
          </w:p>
        </w:tc>
        <w:tc>
          <w:tcPr>
            <w:tcW w:w="3107" w:type="dxa"/>
            <w:shd w:val="clear" w:color="auto" w:fill="C6EFCE"/>
            <w:vAlign w:val="center"/>
            <w:hideMark/>
          </w:tcPr>
          <w:p w:rsidRPr="00EF08DC" w:rsidR="00D87E44" w:rsidRDefault="00D87E44" w14:paraId="154592B6" w14:textId="77777777">
            <w:pPr>
              <w:spacing w:line="240" w:lineRule="auto"/>
              <w:jc w:val="center"/>
              <w:rPr>
                <w:rFonts w:eastAsia="Times New Roman"/>
                <w:b/>
                <w:noProof/>
                <w:color w:val="006100"/>
                <w:sz w:val="20"/>
                <w:szCs w:val="20"/>
                <w:lang w:val="en-IE"/>
              </w:rPr>
            </w:pPr>
            <w:r w:rsidRPr="29C93A69">
              <w:rPr>
                <w:rFonts w:eastAsia="Times New Roman"/>
                <w:b/>
                <w:bCs/>
                <w:noProof/>
                <w:color w:val="006100"/>
                <w:sz w:val="20"/>
                <w:szCs w:val="20"/>
                <w:lang w:val="en-IE"/>
              </w:rPr>
              <w:t>EUR</w:t>
            </w:r>
            <w:r>
              <w:rPr>
                <w:rFonts w:eastAsia="Times New Roman"/>
                <w:b/>
                <w:bCs/>
                <w:noProof/>
                <w:color w:val="006100"/>
                <w:sz w:val="20"/>
                <w:szCs w:val="20"/>
                <w:lang w:val="en-IE"/>
              </w:rPr>
              <w:t xml:space="preserve"> </w:t>
            </w:r>
            <w:r w:rsidRPr="50A0F14C">
              <w:rPr>
                <w:rFonts w:eastAsia="Times New Roman"/>
                <w:b/>
                <w:bCs/>
                <w:noProof/>
                <w:color w:val="006100"/>
                <w:sz w:val="20"/>
                <w:szCs w:val="20"/>
                <w:lang w:val="en-IE"/>
              </w:rPr>
              <w:t>1</w:t>
            </w:r>
            <w:r>
              <w:rPr>
                <w:rFonts w:eastAsia="Times New Roman"/>
                <w:b/>
                <w:bCs/>
                <w:noProof/>
                <w:color w:val="006100"/>
                <w:sz w:val="20"/>
                <w:szCs w:val="20"/>
                <w:lang w:val="en-IE"/>
              </w:rPr>
              <w:t> </w:t>
            </w:r>
            <w:r w:rsidRPr="50A0F14C">
              <w:rPr>
                <w:rFonts w:eastAsia="Times New Roman"/>
                <w:b/>
                <w:bCs/>
                <w:noProof/>
                <w:color w:val="006100"/>
                <w:sz w:val="20"/>
                <w:szCs w:val="20"/>
                <w:lang w:val="en-IE"/>
              </w:rPr>
              <w:t>028</w:t>
            </w:r>
            <w:r>
              <w:rPr>
                <w:rFonts w:eastAsia="Times New Roman"/>
                <w:b/>
                <w:bCs/>
                <w:noProof/>
                <w:color w:val="006100"/>
                <w:sz w:val="20"/>
                <w:szCs w:val="20"/>
                <w:lang w:val="en-IE"/>
              </w:rPr>
              <w:t> </w:t>
            </w:r>
            <w:r w:rsidRPr="50A0F14C">
              <w:rPr>
                <w:rFonts w:eastAsia="Times New Roman"/>
                <w:b/>
                <w:bCs/>
                <w:noProof/>
                <w:color w:val="006100"/>
                <w:sz w:val="20"/>
                <w:szCs w:val="20"/>
                <w:lang w:val="en-IE"/>
              </w:rPr>
              <w:t>736</w:t>
            </w:r>
            <w:r>
              <w:rPr>
                <w:rFonts w:eastAsia="Times New Roman"/>
                <w:b/>
                <w:bCs/>
                <w:noProof/>
                <w:color w:val="006100"/>
                <w:sz w:val="20"/>
                <w:szCs w:val="20"/>
                <w:lang w:val="en-IE"/>
              </w:rPr>
              <w:t> </w:t>
            </w:r>
            <w:r w:rsidRPr="50A0F14C">
              <w:rPr>
                <w:rFonts w:eastAsia="Times New Roman"/>
                <w:b/>
                <w:bCs/>
                <w:noProof/>
                <w:color w:val="006100"/>
                <w:sz w:val="20"/>
                <w:szCs w:val="20"/>
                <w:lang w:val="en-IE"/>
              </w:rPr>
              <w:t>627</w:t>
            </w:r>
          </w:p>
        </w:tc>
      </w:tr>
    </w:tbl>
    <w:p w:rsidRPr="00E03285" w:rsidR="00D87E44" w:rsidP="00D226F4" w:rsidRDefault="00D87E44" w14:paraId="154592B8" w14:textId="77777777">
      <w:pPr>
        <w:spacing w:line="240" w:lineRule="auto"/>
        <w:jc w:val="both"/>
        <w:rPr>
          <w:noProof/>
          <w:lang w:val="en-IE"/>
        </w:rPr>
      </w:pPr>
    </w:p>
    <w:p w:rsidRPr="00E03285" w:rsidR="00D87E44" w:rsidP="00D226F4" w:rsidRDefault="00D87E44" w14:paraId="154592B9" w14:textId="77777777">
      <w:pPr>
        <w:pStyle w:val="NumPar2"/>
        <w:numPr>
          <w:ilvl w:val="1"/>
          <w:numId w:val="89"/>
        </w:numPr>
        <w:rPr>
          <w:noProof/>
          <w:lang w:val="en-IE"/>
        </w:rPr>
      </w:pPr>
      <w:r w:rsidRPr="00E03285">
        <w:rPr>
          <w:noProof/>
          <w:lang w:val="en-IE"/>
        </w:rPr>
        <w:t xml:space="preserve">Ninth Instalment (non-repayable support): </w:t>
      </w:r>
    </w:p>
    <w:tbl>
      <w:tblPr>
        <w:tblW w:w="10429"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74"/>
        <w:gridCol w:w="3287"/>
        <w:gridCol w:w="2325"/>
        <w:gridCol w:w="2897"/>
        <w:gridCol w:w="146"/>
      </w:tblGrid>
      <w:tr w:rsidRPr="00E03285" w:rsidR="00E3458A" w:rsidTr="004A6335" w14:paraId="154592BE" w14:textId="77777777">
        <w:trPr>
          <w:trHeight w:val="825"/>
          <w:tblHeader/>
        </w:trPr>
        <w:tc>
          <w:tcPr>
            <w:tcW w:w="1774" w:type="dxa"/>
            <w:shd w:val="clear" w:color="auto" w:fill="BDD7EE"/>
            <w:vAlign w:val="center"/>
            <w:hideMark/>
          </w:tcPr>
          <w:p w:rsidRPr="00E03285" w:rsidR="00D87E44" w:rsidRDefault="00D87E44" w14:paraId="154592BA" w14:textId="77777777">
            <w:pPr>
              <w:spacing w:before="0" w:after="0" w:line="240" w:lineRule="auto"/>
              <w:jc w:val="center"/>
              <w:rPr>
                <w:b/>
                <w:color w:val="000000"/>
                <w:lang w:val="en-IE"/>
              </w:rPr>
            </w:pPr>
            <w:r w:rsidRPr="00E03285">
              <w:rPr>
                <w:i/>
                <w:noProof/>
                <w:color w:val="4F81BD"/>
                <w:lang w:val="en-IE"/>
              </w:rPr>
              <w:t xml:space="preserve"> </w:t>
            </w:r>
            <w:r w:rsidRPr="00FF1320">
              <w:rPr>
                <w:b/>
                <w:color w:val="000000"/>
                <w:lang w:val="en-IE"/>
              </w:rPr>
              <w:t>Sequential Number</w:t>
            </w:r>
          </w:p>
        </w:tc>
        <w:tc>
          <w:tcPr>
            <w:tcW w:w="3287" w:type="dxa"/>
            <w:shd w:val="clear" w:color="auto" w:fill="BDD7EE"/>
            <w:vAlign w:val="center"/>
            <w:hideMark/>
          </w:tcPr>
          <w:p w:rsidRPr="00E03285" w:rsidR="00D87E44" w:rsidRDefault="00D87E44" w14:paraId="154592BB" w14:textId="77777777">
            <w:pPr>
              <w:spacing w:before="0" w:after="0" w:line="240" w:lineRule="auto"/>
              <w:jc w:val="center"/>
              <w:rPr>
                <w:b/>
                <w:color w:val="000000"/>
                <w:lang w:val="en-IE"/>
              </w:rPr>
            </w:pPr>
            <w:r w:rsidRPr="00FF1320">
              <w:rPr>
                <w:b/>
                <w:color w:val="000000"/>
                <w:lang w:val="en-IE"/>
              </w:rPr>
              <w:t>Related Measure (Reform or Investment)</w:t>
            </w:r>
          </w:p>
        </w:tc>
        <w:tc>
          <w:tcPr>
            <w:tcW w:w="2325" w:type="dxa"/>
            <w:shd w:val="clear" w:color="auto" w:fill="BDD7EE"/>
            <w:vAlign w:val="center"/>
            <w:hideMark/>
          </w:tcPr>
          <w:p w:rsidRPr="00E03285" w:rsidR="00D87E44" w:rsidRDefault="00D87E44" w14:paraId="154592BC" w14:textId="77777777">
            <w:pPr>
              <w:spacing w:before="0" w:after="0" w:line="240" w:lineRule="auto"/>
              <w:jc w:val="center"/>
              <w:rPr>
                <w:b/>
                <w:color w:val="000000"/>
                <w:lang w:val="en-IE"/>
              </w:rPr>
            </w:pPr>
            <w:r w:rsidRPr="00FF1320">
              <w:rPr>
                <w:b/>
                <w:color w:val="000000"/>
                <w:lang w:val="en-IE"/>
              </w:rPr>
              <w:t>Milestone / Target</w:t>
            </w:r>
          </w:p>
        </w:tc>
        <w:tc>
          <w:tcPr>
            <w:tcW w:w="3043" w:type="dxa"/>
            <w:gridSpan w:val="2"/>
            <w:shd w:val="clear" w:color="auto" w:fill="BDD7EE"/>
            <w:vAlign w:val="center"/>
            <w:hideMark/>
          </w:tcPr>
          <w:p w:rsidRPr="00E03285" w:rsidR="00D87E44" w:rsidRDefault="00D87E44" w14:paraId="154592BD" w14:textId="77777777">
            <w:pPr>
              <w:spacing w:before="0" w:after="0" w:line="240" w:lineRule="auto"/>
              <w:jc w:val="center"/>
              <w:rPr>
                <w:b/>
                <w:color w:val="000000"/>
                <w:lang w:val="en-IE"/>
              </w:rPr>
            </w:pPr>
            <w:r w:rsidRPr="00FF1320">
              <w:rPr>
                <w:b/>
                <w:color w:val="000000"/>
                <w:lang w:val="en-IE"/>
              </w:rPr>
              <w:t>Name</w:t>
            </w:r>
          </w:p>
        </w:tc>
      </w:tr>
      <w:tr w:rsidRPr="00E03285" w:rsidR="00D226F4" w:rsidTr="004A6335" w14:paraId="154592C3" w14:textId="77777777">
        <w:trPr>
          <w:trHeight w:val="405"/>
        </w:trPr>
        <w:tc>
          <w:tcPr>
            <w:tcW w:w="1774" w:type="dxa"/>
            <w:shd w:val="clear" w:color="auto" w:fill="C6EFCE"/>
            <w:vAlign w:val="center"/>
            <w:hideMark/>
          </w:tcPr>
          <w:p w:rsidRPr="00E03285" w:rsidR="00D87E44" w:rsidRDefault="00D87E44" w14:paraId="154592BF"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39</w:t>
            </w:r>
          </w:p>
        </w:tc>
        <w:tc>
          <w:tcPr>
            <w:tcW w:w="3287" w:type="dxa"/>
            <w:shd w:val="clear" w:color="auto" w:fill="C6EFCE"/>
            <w:vAlign w:val="center"/>
            <w:hideMark/>
          </w:tcPr>
          <w:p w:rsidRPr="00E03285" w:rsidR="00D87E44" w:rsidRDefault="00D87E44" w14:paraId="154592C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1: Building high-capacity connection</w:t>
            </w:r>
          </w:p>
        </w:tc>
        <w:tc>
          <w:tcPr>
            <w:tcW w:w="2325" w:type="dxa"/>
            <w:shd w:val="clear" w:color="auto" w:fill="C6EFCE"/>
            <w:vAlign w:val="center"/>
            <w:hideMark/>
          </w:tcPr>
          <w:p w:rsidRPr="00E03285" w:rsidR="00D87E44" w:rsidRDefault="00D87E44" w14:paraId="154592C1" w14:textId="77777777">
            <w:pPr>
              <w:spacing w:before="0" w:after="0" w:line="240" w:lineRule="auto"/>
              <w:jc w:val="center"/>
              <w:rPr>
                <w:rFonts w:eastAsia="Times New Roman"/>
                <w:noProof/>
                <w:color w:val="006100"/>
                <w:sz w:val="20"/>
                <w:szCs w:val="20"/>
                <w:lang w:val="en-IE"/>
              </w:rPr>
            </w:pPr>
            <w:r w:rsidRPr="5B2EC60C">
              <w:rPr>
                <w:rFonts w:eastAsia="Times New Roman"/>
                <w:noProof/>
                <w:color w:val="006100"/>
                <w:sz w:val="20"/>
                <w:szCs w:val="20"/>
                <w:lang w:val="en-IE"/>
              </w:rPr>
              <w:t>Milestone</w:t>
            </w:r>
          </w:p>
        </w:tc>
        <w:tc>
          <w:tcPr>
            <w:tcW w:w="3043" w:type="dxa"/>
            <w:gridSpan w:val="2"/>
            <w:shd w:val="clear" w:color="auto" w:fill="C6EFCE"/>
            <w:vAlign w:val="center"/>
            <w:hideMark/>
          </w:tcPr>
          <w:p w:rsidRPr="00D4008A" w:rsidR="00D87E44" w:rsidRDefault="00D87E44" w14:paraId="154592C2"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Connection</w:t>
            </w:r>
            <w:r w:rsidRPr="5B2EC60C">
              <w:rPr>
                <w:rFonts w:eastAsia="Times New Roman"/>
                <w:noProof/>
                <w:color w:val="006100"/>
                <w:sz w:val="20"/>
                <w:szCs w:val="20"/>
                <w:lang w:val="en-IE"/>
              </w:rPr>
              <w:t xml:space="preserve"> </w:t>
            </w:r>
            <w:r w:rsidRPr="5B2EC60C">
              <w:rPr>
                <w:rFonts w:eastAsia="Times New Roman"/>
                <w:noProof/>
                <w:color w:val="006100"/>
                <w:sz w:val="20"/>
                <w:szCs w:val="20"/>
                <w:lang w:val="en-IE"/>
              </w:rPr>
              <w:t>of basic settlement units with very high capacity network</w:t>
            </w:r>
          </w:p>
        </w:tc>
      </w:tr>
      <w:tr w:rsidRPr="00E03285" w:rsidR="00D226F4" w:rsidTr="004A6335" w14:paraId="154592C8" w14:textId="77777777">
        <w:trPr>
          <w:trHeight w:val="795"/>
        </w:trPr>
        <w:tc>
          <w:tcPr>
            <w:tcW w:w="1774" w:type="dxa"/>
            <w:shd w:val="clear" w:color="auto" w:fill="C6EFCE"/>
            <w:vAlign w:val="center"/>
            <w:hideMark/>
          </w:tcPr>
          <w:p w:rsidRPr="00E03285" w:rsidR="00D87E44" w:rsidRDefault="00D87E44" w14:paraId="154592C4"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40</w:t>
            </w:r>
          </w:p>
        </w:tc>
        <w:tc>
          <w:tcPr>
            <w:tcW w:w="3287" w:type="dxa"/>
            <w:shd w:val="clear" w:color="auto" w:fill="C6EFCE"/>
            <w:vAlign w:val="center"/>
            <w:hideMark/>
          </w:tcPr>
          <w:p w:rsidRPr="00E03285" w:rsidR="00D87E44" w:rsidRDefault="00D87E44" w14:paraId="154592C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2: Covering 5G corridors and promoting the development of 5G</w:t>
            </w:r>
          </w:p>
        </w:tc>
        <w:tc>
          <w:tcPr>
            <w:tcW w:w="2325" w:type="dxa"/>
            <w:shd w:val="clear" w:color="auto" w:fill="C6EFCE"/>
            <w:vAlign w:val="center"/>
            <w:hideMark/>
          </w:tcPr>
          <w:p w:rsidRPr="00E03285" w:rsidR="00D87E44" w:rsidRDefault="00D87E44" w14:paraId="154592C6" w14:textId="77777777">
            <w:pPr>
              <w:spacing w:line="240" w:lineRule="auto"/>
              <w:jc w:val="center"/>
              <w:rPr>
                <w:rFonts w:eastAsia="Times New Roman"/>
                <w:noProof/>
                <w:color w:val="006100"/>
                <w:sz w:val="20"/>
                <w:szCs w:val="20"/>
                <w:lang w:val="en-IE"/>
              </w:rPr>
            </w:pPr>
            <w:r w:rsidRPr="75C749AF">
              <w:rPr>
                <w:rFonts w:eastAsia="Times New Roman"/>
                <w:noProof/>
                <w:color w:val="006100"/>
                <w:sz w:val="20"/>
                <w:szCs w:val="20"/>
                <w:lang w:val="en-IE"/>
              </w:rPr>
              <w:t>Milestone</w:t>
            </w:r>
          </w:p>
        </w:tc>
        <w:tc>
          <w:tcPr>
            <w:tcW w:w="3043" w:type="dxa"/>
            <w:gridSpan w:val="2"/>
            <w:shd w:val="clear" w:color="auto" w:fill="C6EFCE"/>
            <w:vAlign w:val="center"/>
            <w:hideMark/>
          </w:tcPr>
          <w:p w:rsidRPr="00D4008A" w:rsidR="00D87E44" w:rsidRDefault="00D87E44" w14:paraId="154592C7" w14:textId="77777777">
            <w:pPr>
              <w:spacing w:before="0" w:after="0" w:line="240" w:lineRule="auto"/>
              <w:jc w:val="center"/>
              <w:rPr>
                <w:rFonts w:eastAsia="Times New Roman"/>
                <w:noProof/>
                <w:color w:val="006100"/>
                <w:sz w:val="20"/>
                <w:szCs w:val="20"/>
                <w:lang w:val="en-IE"/>
              </w:rPr>
            </w:pPr>
            <w:r w:rsidRPr="00D4008A">
              <w:rPr>
                <w:rFonts w:eastAsia="Times New Roman"/>
                <w:noProof/>
                <w:color w:val="006100"/>
                <w:sz w:val="20"/>
                <w:szCs w:val="20"/>
                <w:lang w:val="en-IE"/>
              </w:rPr>
              <w:t xml:space="preserve">5G </w:t>
            </w:r>
            <w:r w:rsidRPr="75C749AF">
              <w:rPr>
                <w:rFonts w:eastAsia="Times New Roman"/>
                <w:noProof/>
                <w:color w:val="006100"/>
                <w:sz w:val="20"/>
                <w:szCs w:val="20"/>
                <w:lang w:val="en-IE"/>
              </w:rPr>
              <w:t xml:space="preserve">technologies for railways </w:t>
            </w:r>
          </w:p>
        </w:tc>
      </w:tr>
      <w:tr w:rsidRPr="00E03285" w:rsidR="00D226F4" w:rsidTr="004A6335" w14:paraId="154592CD" w14:textId="77777777">
        <w:trPr>
          <w:trHeight w:val="795"/>
        </w:trPr>
        <w:tc>
          <w:tcPr>
            <w:tcW w:w="1774" w:type="dxa"/>
            <w:shd w:val="clear" w:color="auto" w:fill="C6EFCE"/>
            <w:vAlign w:val="center"/>
            <w:hideMark/>
          </w:tcPr>
          <w:p w:rsidRPr="00E03285" w:rsidR="00D87E44" w:rsidRDefault="00D87E44" w14:paraId="154592C9"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44</w:t>
            </w:r>
          </w:p>
        </w:tc>
        <w:tc>
          <w:tcPr>
            <w:tcW w:w="3287" w:type="dxa"/>
            <w:shd w:val="clear" w:color="auto" w:fill="C6EFCE"/>
            <w:vAlign w:val="center"/>
            <w:hideMark/>
          </w:tcPr>
          <w:p w:rsidRPr="00E03285" w:rsidR="00D87E44" w:rsidRDefault="00D87E44" w14:paraId="154592C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1.3: High-Capacity Digital Networks  - Investment 3: Supporting the development of 5G mobile infrastructure in rural investment-intensive white areas</w:t>
            </w:r>
          </w:p>
        </w:tc>
        <w:tc>
          <w:tcPr>
            <w:tcW w:w="2325" w:type="dxa"/>
            <w:shd w:val="clear" w:color="auto" w:fill="C6EFCE"/>
            <w:vAlign w:val="center"/>
            <w:hideMark/>
          </w:tcPr>
          <w:p w:rsidRPr="00E03285" w:rsidR="00D87E44" w:rsidRDefault="00D87E44" w14:paraId="154592C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D4008A" w:rsidR="00D87E44" w:rsidRDefault="00D87E44" w14:paraId="154592CC" w14:textId="77777777">
            <w:pPr>
              <w:spacing w:before="0" w:after="0" w:line="240" w:lineRule="auto"/>
              <w:jc w:val="center"/>
              <w:rPr>
                <w:rFonts w:eastAsia="Times New Roman"/>
                <w:noProof/>
                <w:color w:val="006100"/>
                <w:sz w:val="20"/>
                <w:szCs w:val="20"/>
                <w:lang w:val="en-IE"/>
              </w:rPr>
            </w:pPr>
            <w:r w:rsidRPr="08F02FFE">
              <w:rPr>
                <w:rFonts w:eastAsia="Times New Roman"/>
                <w:noProof/>
                <w:color w:val="006100"/>
                <w:sz w:val="20"/>
                <w:szCs w:val="20"/>
                <w:lang w:val="en-IE"/>
              </w:rPr>
              <w:t>Construction of base</w:t>
            </w:r>
            <w:r>
              <w:rPr>
                <w:rFonts w:eastAsia="Times New Roman"/>
                <w:noProof/>
                <w:color w:val="006100"/>
                <w:sz w:val="20"/>
                <w:szCs w:val="20"/>
                <w:lang w:val="en-IE"/>
              </w:rPr>
              <w:t xml:space="preserve"> transceiver</w:t>
            </w:r>
            <w:r w:rsidRPr="08F02FFE">
              <w:rPr>
                <w:rFonts w:eastAsia="Times New Roman"/>
                <w:noProof/>
                <w:color w:val="006100"/>
                <w:sz w:val="20"/>
                <w:szCs w:val="20"/>
                <w:lang w:val="en-IE"/>
              </w:rPr>
              <w:t xml:space="preserve"> stations</w:t>
            </w:r>
          </w:p>
        </w:tc>
      </w:tr>
      <w:tr w:rsidRPr="00E03285" w:rsidR="00D226F4" w:rsidTr="004A6335" w14:paraId="154592D2" w14:textId="77777777">
        <w:trPr>
          <w:trHeight w:val="600"/>
        </w:trPr>
        <w:tc>
          <w:tcPr>
            <w:tcW w:w="1774" w:type="dxa"/>
            <w:shd w:val="clear" w:color="auto" w:fill="C6EFCE"/>
            <w:vAlign w:val="center"/>
            <w:hideMark/>
          </w:tcPr>
          <w:p w:rsidRPr="00E03285" w:rsidR="00D87E44" w:rsidRDefault="00D87E44" w14:paraId="154592CE" w14:textId="77777777">
            <w:pPr>
              <w:spacing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61</w:t>
            </w:r>
          </w:p>
        </w:tc>
        <w:tc>
          <w:tcPr>
            <w:tcW w:w="3287" w:type="dxa"/>
            <w:shd w:val="clear" w:color="auto" w:fill="C6EFCE"/>
            <w:vAlign w:val="center"/>
            <w:hideMark/>
          </w:tcPr>
          <w:p w:rsidRPr="00E03285" w:rsidR="00D87E44" w:rsidRDefault="00D87E44" w14:paraId="154592C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1.4: Digital Economy and Society, Innovative Start-Ups and New Technology </w:t>
            </w:r>
            <w:r>
              <w:rPr>
                <w:rFonts w:eastAsia="Times New Roman"/>
                <w:noProof/>
                <w:color w:val="006100"/>
                <w:sz w:val="20"/>
                <w:szCs w:val="20"/>
                <w:lang w:val="en-IE"/>
              </w:rPr>
              <w:t>-</w:t>
            </w:r>
            <w:r w:rsidRPr="00E03285">
              <w:rPr>
                <w:rFonts w:eastAsia="Times New Roman"/>
                <w:noProof/>
                <w:color w:val="006100"/>
                <w:sz w:val="20"/>
                <w:szCs w:val="20"/>
                <w:lang w:val="en-IE"/>
              </w:rPr>
              <w:t xml:space="preserve"> Investment 9: </w:t>
            </w:r>
            <w:r w:rsidRPr="20AD9C14">
              <w:rPr>
                <w:rFonts w:eastAsia="Times New Roman"/>
                <w:noProof/>
                <w:color w:val="006100"/>
                <w:sz w:val="20"/>
                <w:szCs w:val="20"/>
                <w:lang w:val="en-IE"/>
              </w:rPr>
              <w:t>Fund of funds</w:t>
            </w:r>
            <w:r w:rsidRPr="00E03285">
              <w:rPr>
                <w:rFonts w:eastAsia="Times New Roman"/>
                <w:noProof/>
                <w:color w:val="006100"/>
                <w:sz w:val="20"/>
                <w:szCs w:val="20"/>
                <w:lang w:val="en-IE"/>
              </w:rPr>
              <w:t xml:space="preserve"> for the development of </w:t>
            </w:r>
            <w:r w:rsidRPr="631881D8">
              <w:rPr>
                <w:rFonts w:eastAsia="Times New Roman"/>
                <w:noProof/>
                <w:color w:val="006100"/>
                <w:sz w:val="20"/>
                <w:szCs w:val="20"/>
                <w:lang w:val="en-IE"/>
              </w:rPr>
              <w:t>(pre)-seed</w:t>
            </w:r>
            <w:r w:rsidRPr="00E03285">
              <w:rPr>
                <w:rFonts w:eastAsia="Times New Roman"/>
                <w:noProof/>
                <w:color w:val="006100"/>
                <w:sz w:val="20"/>
                <w:szCs w:val="20"/>
                <w:lang w:val="en-IE"/>
              </w:rPr>
              <w:t xml:space="preserve"> investments, strategic digital technologies </w:t>
            </w:r>
            <w:r w:rsidRPr="631881D8">
              <w:rPr>
                <w:rFonts w:eastAsia="Times New Roman"/>
                <w:noProof/>
                <w:color w:val="006100"/>
                <w:sz w:val="20"/>
                <w:szCs w:val="20"/>
                <w:lang w:val="en-IE"/>
              </w:rPr>
              <w:t xml:space="preserve">or </w:t>
            </w:r>
            <w:r w:rsidRPr="00E03285">
              <w:rPr>
                <w:rFonts w:eastAsia="Times New Roman"/>
                <w:noProof/>
                <w:color w:val="006100"/>
                <w:sz w:val="20"/>
                <w:szCs w:val="20"/>
                <w:lang w:val="en-IE"/>
              </w:rPr>
              <w:t>spin-offs</w:t>
            </w:r>
          </w:p>
        </w:tc>
        <w:tc>
          <w:tcPr>
            <w:tcW w:w="2325" w:type="dxa"/>
            <w:shd w:val="clear" w:color="auto" w:fill="C6EFCE"/>
            <w:vAlign w:val="center"/>
            <w:hideMark/>
          </w:tcPr>
          <w:p w:rsidRPr="00E03285" w:rsidR="00D87E44" w:rsidRDefault="00D87E44" w14:paraId="154592D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043" w:type="dxa"/>
            <w:gridSpan w:val="2"/>
            <w:shd w:val="clear" w:color="auto" w:fill="C6EFCE"/>
            <w:vAlign w:val="center"/>
            <w:hideMark/>
          </w:tcPr>
          <w:p w:rsidRPr="00D4008A" w:rsidR="00D87E44" w:rsidRDefault="00D87E44" w14:paraId="154592D1"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Transfer</w:t>
            </w:r>
            <w:r w:rsidRPr="00D4008A">
              <w:rPr>
                <w:rFonts w:eastAsia="Times New Roman"/>
                <w:noProof/>
                <w:color w:val="006100"/>
                <w:sz w:val="20"/>
                <w:szCs w:val="20"/>
                <w:lang w:val="en-IE"/>
              </w:rPr>
              <w:t xml:space="preserve"> of funds </w:t>
            </w:r>
          </w:p>
        </w:tc>
      </w:tr>
      <w:tr w:rsidRPr="00E03285" w:rsidR="00D226F4" w:rsidTr="004A6335" w14:paraId="154592D7" w14:textId="77777777">
        <w:trPr>
          <w:trHeight w:val="600"/>
        </w:trPr>
        <w:tc>
          <w:tcPr>
            <w:tcW w:w="1774" w:type="dxa"/>
            <w:shd w:val="clear" w:color="auto" w:fill="C6EFCE"/>
            <w:vAlign w:val="center"/>
            <w:hideMark/>
          </w:tcPr>
          <w:p w:rsidRPr="00E03285" w:rsidR="00D87E44" w:rsidRDefault="00D87E44" w14:paraId="154592D3"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104</w:t>
            </w:r>
          </w:p>
        </w:tc>
        <w:tc>
          <w:tcPr>
            <w:tcW w:w="3287" w:type="dxa"/>
            <w:shd w:val="clear" w:color="auto" w:fill="C6EFCE"/>
            <w:vAlign w:val="center"/>
            <w:hideMark/>
          </w:tcPr>
          <w:p w:rsidRPr="00E03285" w:rsidR="00D87E44" w:rsidRDefault="00D87E44" w14:paraId="154592D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2.2: Reducing Energy Consumption in the Public Sector - Investment 1: Improving the energy performance of state buildings</w:t>
            </w:r>
          </w:p>
        </w:tc>
        <w:tc>
          <w:tcPr>
            <w:tcW w:w="2325" w:type="dxa"/>
            <w:shd w:val="clear" w:color="auto" w:fill="C6EFCE"/>
            <w:vAlign w:val="center"/>
            <w:hideMark/>
          </w:tcPr>
          <w:p w:rsidRPr="00E03285" w:rsidR="00D87E44" w:rsidRDefault="00D87E44" w14:paraId="154592D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D6" w14:textId="77777777">
            <w:pPr>
              <w:spacing w:before="0" w:after="0" w:line="240" w:lineRule="auto"/>
              <w:jc w:val="center"/>
              <w:rPr>
                <w:rFonts w:eastAsia="Times New Roman"/>
                <w:noProof/>
                <w:color w:val="006100"/>
                <w:sz w:val="20"/>
                <w:szCs w:val="20"/>
                <w:lang w:val="en-IE"/>
              </w:rPr>
            </w:pPr>
            <w:r w:rsidRPr="329896E8">
              <w:rPr>
                <w:rFonts w:eastAsia="Times New Roman"/>
                <w:noProof/>
                <w:color w:val="006100"/>
                <w:sz w:val="20"/>
                <w:szCs w:val="20"/>
                <w:lang w:val="en-IE"/>
              </w:rPr>
              <w:t>Submission of Expert Opinion of the Energy</w:t>
            </w:r>
            <w:r w:rsidRPr="5FA0B4EC">
              <w:rPr>
                <w:rFonts w:eastAsia="Times New Roman"/>
                <w:noProof/>
                <w:color w:val="006100"/>
                <w:sz w:val="20"/>
                <w:szCs w:val="20"/>
                <w:lang w:val="en-IE"/>
              </w:rPr>
              <w:t xml:space="preserve"> Assessment or Energy Performance Certificate</w:t>
            </w:r>
          </w:p>
        </w:tc>
      </w:tr>
      <w:tr w:rsidRPr="00E03285" w:rsidR="00D226F4" w:rsidTr="004A6335" w14:paraId="154592DC" w14:textId="77777777">
        <w:trPr>
          <w:trHeight w:val="600"/>
        </w:trPr>
        <w:tc>
          <w:tcPr>
            <w:tcW w:w="1774" w:type="dxa"/>
            <w:shd w:val="clear" w:color="auto" w:fill="C6EFCE"/>
            <w:vAlign w:val="center"/>
            <w:hideMark/>
          </w:tcPr>
          <w:p w:rsidRPr="00E03285" w:rsidR="00D87E44" w:rsidRDefault="00D87E44" w14:paraId="154592D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107</w:t>
            </w:r>
          </w:p>
        </w:tc>
        <w:tc>
          <w:tcPr>
            <w:tcW w:w="3287" w:type="dxa"/>
            <w:shd w:val="clear" w:color="auto" w:fill="C6EFCE"/>
            <w:vAlign w:val="center"/>
            <w:hideMark/>
          </w:tcPr>
          <w:p w:rsidRPr="00E03285" w:rsidR="00D87E44" w:rsidRDefault="00D87E44" w14:paraId="154592D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2.2: Reducing Energy </w:t>
            </w:r>
            <w:r w:rsidRPr="00E03285">
              <w:rPr>
                <w:rFonts w:eastAsia="Times New Roman"/>
                <w:noProof/>
                <w:color w:val="006100"/>
                <w:sz w:val="20"/>
                <w:szCs w:val="20"/>
                <w:lang w:val="en-IE"/>
              </w:rPr>
              <w:t>Consumption in the Public Sector - Investment 2: Improving the energy performance of public lighting systems</w:t>
            </w:r>
          </w:p>
        </w:tc>
        <w:tc>
          <w:tcPr>
            <w:tcW w:w="2325" w:type="dxa"/>
            <w:shd w:val="clear" w:color="auto" w:fill="C6EFCE"/>
            <w:vAlign w:val="center"/>
            <w:hideMark/>
          </w:tcPr>
          <w:p w:rsidRPr="00E03285" w:rsidR="00D87E44" w:rsidRDefault="00D87E44" w14:paraId="154592D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DB"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S</w:t>
            </w:r>
            <w:r w:rsidRPr="5FA0B4EC">
              <w:rPr>
                <w:rFonts w:eastAsia="Times New Roman"/>
                <w:noProof/>
                <w:color w:val="006100"/>
                <w:sz w:val="20"/>
                <w:szCs w:val="20"/>
                <w:lang w:val="en-IE"/>
              </w:rPr>
              <w:t xml:space="preserve">ubmission of Expert Opinion of the Energy Assessment or Energy Performance Certificate </w:t>
            </w:r>
          </w:p>
        </w:tc>
      </w:tr>
      <w:tr w:rsidRPr="00E03285" w:rsidR="00E3458A" w:rsidTr="004A6335" w14:paraId="154592E1" w14:textId="77777777">
        <w:trPr>
          <w:trHeight w:val="600"/>
        </w:trPr>
        <w:tc>
          <w:tcPr>
            <w:tcW w:w="1774" w:type="dxa"/>
            <w:shd w:val="clear" w:color="auto" w:fill="C6EFCE"/>
            <w:vAlign w:val="center"/>
            <w:hideMark/>
          </w:tcPr>
          <w:p w:rsidRPr="00E03285" w:rsidR="00D87E44" w:rsidRDefault="00D87E44" w14:paraId="154592D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lastRenderedPageBreak/>
              <w:t>109</w:t>
            </w:r>
          </w:p>
        </w:tc>
        <w:tc>
          <w:tcPr>
            <w:tcW w:w="3287" w:type="dxa"/>
            <w:shd w:val="clear" w:color="auto" w:fill="C6EFCE"/>
            <w:vAlign w:val="center"/>
            <w:hideMark/>
          </w:tcPr>
          <w:p w:rsidRPr="00E03285" w:rsidR="00D87E44" w:rsidRDefault="00D87E44" w14:paraId="154592D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2.2: Reducing Energy Consumption in the Public Sector - Investment 3: Improving the energy performance of public buildings</w:t>
            </w:r>
          </w:p>
        </w:tc>
        <w:tc>
          <w:tcPr>
            <w:tcW w:w="2325" w:type="dxa"/>
            <w:shd w:val="clear" w:color="auto" w:fill="C6EFCE"/>
            <w:vAlign w:val="center"/>
            <w:hideMark/>
          </w:tcPr>
          <w:p w:rsidRPr="00E03285" w:rsidR="00D87E44" w:rsidRDefault="00D87E44" w14:paraId="154592D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E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Reduction of energy consumption</w:t>
            </w:r>
          </w:p>
        </w:tc>
      </w:tr>
      <w:tr w:rsidRPr="00E03285" w:rsidR="00E3458A" w:rsidTr="004A6335" w14:paraId="154592E6" w14:textId="77777777">
        <w:trPr>
          <w:trHeight w:val="795"/>
        </w:trPr>
        <w:tc>
          <w:tcPr>
            <w:tcW w:w="1774" w:type="dxa"/>
            <w:shd w:val="clear" w:color="auto" w:fill="C6EFCE"/>
            <w:vAlign w:val="center"/>
            <w:hideMark/>
          </w:tcPr>
          <w:p w:rsidRPr="00E03285" w:rsidR="00D87E44" w:rsidRDefault="00D87E44" w14:paraId="154592E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116</w:t>
            </w:r>
          </w:p>
        </w:tc>
        <w:tc>
          <w:tcPr>
            <w:tcW w:w="3287" w:type="dxa"/>
            <w:shd w:val="clear" w:color="auto" w:fill="C6EFCE"/>
            <w:vAlign w:val="center"/>
            <w:hideMark/>
          </w:tcPr>
          <w:p w:rsidRPr="00E03285" w:rsidR="00D87E44" w:rsidRDefault="00D87E44" w14:paraId="154592E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2.4: Clean Mobility - Investment 1: Building infrastructure for public transport in the city of Prague</w:t>
            </w:r>
          </w:p>
        </w:tc>
        <w:tc>
          <w:tcPr>
            <w:tcW w:w="2325" w:type="dxa"/>
            <w:shd w:val="clear" w:color="auto" w:fill="C6EFCE"/>
            <w:vAlign w:val="center"/>
            <w:hideMark/>
          </w:tcPr>
          <w:p w:rsidRPr="00E03285" w:rsidR="00D87E44" w:rsidRDefault="00D87E44" w14:paraId="154592E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E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Number of </w:t>
            </w:r>
            <w:r w:rsidRPr="00E03285">
              <w:rPr>
                <w:rFonts w:eastAsia="Times New Roman"/>
                <w:noProof/>
                <w:color w:val="006100"/>
                <w:sz w:val="20"/>
                <w:szCs w:val="20"/>
                <w:lang w:val="en-IE"/>
              </w:rPr>
              <w:t>kilometres of dynamic charging road for the city of Prague</w:t>
            </w:r>
          </w:p>
        </w:tc>
      </w:tr>
      <w:tr w:rsidRPr="00E03285" w:rsidR="00D226F4" w:rsidTr="004A6335" w14:paraId="154592EB" w14:textId="77777777">
        <w:trPr>
          <w:trHeight w:val="795"/>
        </w:trPr>
        <w:tc>
          <w:tcPr>
            <w:tcW w:w="1774" w:type="dxa"/>
            <w:shd w:val="clear" w:color="auto" w:fill="C6EFCE"/>
            <w:vAlign w:val="center"/>
          </w:tcPr>
          <w:p w:rsidRPr="00E03285" w:rsidR="00D87E44" w:rsidRDefault="00D87E44" w14:paraId="154592E7" w14:textId="77777777">
            <w:pPr>
              <w:spacing w:line="240" w:lineRule="auto"/>
              <w:jc w:val="center"/>
              <w:rPr>
                <w:rFonts w:eastAsia="Times New Roman"/>
                <w:noProof/>
                <w:color w:val="006100"/>
                <w:sz w:val="20"/>
                <w:szCs w:val="20"/>
                <w:lang w:val="en-IE"/>
              </w:rPr>
            </w:pPr>
            <w:r w:rsidRPr="50A0F14C">
              <w:rPr>
                <w:rFonts w:eastAsia="Times New Roman"/>
                <w:noProof/>
                <w:color w:val="004300"/>
                <w:sz w:val="20"/>
                <w:szCs w:val="20"/>
                <w:lang w:val="en-IE"/>
              </w:rPr>
              <w:t>120</w:t>
            </w:r>
          </w:p>
        </w:tc>
        <w:tc>
          <w:tcPr>
            <w:tcW w:w="3287" w:type="dxa"/>
            <w:shd w:val="clear" w:color="auto" w:fill="C6EFCE"/>
            <w:vAlign w:val="center"/>
          </w:tcPr>
          <w:p w:rsidRPr="00E03285" w:rsidR="00D87E44" w:rsidRDefault="00D87E44" w14:paraId="154592E8" w14:textId="77777777">
            <w:pPr>
              <w:spacing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 xml:space="preserve">C 2.4: Clean Mobility - Investment 5: </w:t>
            </w:r>
            <w:bookmarkStart w:name="_Hlk215495217" w:id="23"/>
            <w:r w:rsidRPr="50A0F14C">
              <w:rPr>
                <w:rFonts w:eastAsia="Times New Roman"/>
                <w:noProof/>
                <w:color w:val="006100"/>
                <w:sz w:val="20"/>
                <w:szCs w:val="20"/>
                <w:lang w:val="en-IE"/>
              </w:rPr>
              <w:t xml:space="preserve">Aid for purchase of </w:t>
            </w:r>
            <w:r>
              <w:rPr>
                <w:rFonts w:eastAsia="Times New Roman"/>
                <w:noProof/>
                <w:color w:val="006100"/>
                <w:sz w:val="20"/>
                <w:szCs w:val="20"/>
                <w:lang w:val="en-IE"/>
              </w:rPr>
              <w:t xml:space="preserve">zero-emission </w:t>
            </w:r>
            <w:r w:rsidRPr="50A0F14C">
              <w:rPr>
                <w:rFonts w:eastAsia="Times New Roman"/>
                <w:noProof/>
                <w:color w:val="006100"/>
                <w:sz w:val="20"/>
                <w:szCs w:val="20"/>
                <w:lang w:val="en-IE"/>
              </w:rPr>
              <w:t>vehicles and infrastructure for municipalities, regions, state administration and other public entities</w:t>
            </w:r>
            <w:bookmarkEnd w:id="23"/>
          </w:p>
        </w:tc>
        <w:tc>
          <w:tcPr>
            <w:tcW w:w="2325" w:type="dxa"/>
            <w:shd w:val="clear" w:color="auto" w:fill="C6EFCE"/>
            <w:vAlign w:val="center"/>
          </w:tcPr>
          <w:p w:rsidRPr="00E03285" w:rsidR="00D87E44" w:rsidRDefault="00D87E44" w14:paraId="154592E9" w14:textId="77777777">
            <w:pPr>
              <w:spacing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Target</w:t>
            </w:r>
          </w:p>
        </w:tc>
        <w:tc>
          <w:tcPr>
            <w:tcW w:w="3043" w:type="dxa"/>
            <w:gridSpan w:val="2"/>
            <w:shd w:val="clear" w:color="auto" w:fill="C6EFCE"/>
            <w:vAlign w:val="center"/>
          </w:tcPr>
          <w:p w:rsidRPr="00E03285" w:rsidR="00D87E44" w:rsidP="00D03A72" w:rsidRDefault="00D87E44" w14:paraId="154592EA"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Number of vehicles for municipalities, regions, state administration and other public entities </w:t>
            </w:r>
          </w:p>
        </w:tc>
      </w:tr>
      <w:tr w:rsidRPr="00E03285" w:rsidR="00D226F4" w:rsidTr="004A6335" w14:paraId="154592F0" w14:textId="77777777">
        <w:trPr>
          <w:trHeight w:val="300"/>
        </w:trPr>
        <w:tc>
          <w:tcPr>
            <w:tcW w:w="1774" w:type="dxa"/>
            <w:shd w:val="clear" w:color="auto" w:fill="C6EFCE"/>
            <w:vAlign w:val="center"/>
            <w:hideMark/>
          </w:tcPr>
          <w:p w:rsidRPr="00E03285" w:rsidR="00D87E44" w:rsidRDefault="00D87E44" w14:paraId="154592EC" w14:textId="77777777">
            <w:pPr>
              <w:spacing w:before="0" w:after="0" w:line="240" w:lineRule="auto"/>
              <w:jc w:val="center"/>
              <w:rPr>
                <w:rFonts w:eastAsia="Times New Roman"/>
                <w:noProof/>
                <w:color w:val="004300"/>
                <w:sz w:val="20"/>
                <w:szCs w:val="20"/>
                <w:lang w:val="en-IE"/>
              </w:rPr>
            </w:pPr>
            <w:r w:rsidRPr="00E03285">
              <w:rPr>
                <w:rFonts w:eastAsia="Times New Roman"/>
                <w:noProof/>
                <w:color w:val="004300"/>
                <w:sz w:val="20"/>
                <w:szCs w:val="20"/>
                <w:lang w:val="en-IE"/>
              </w:rPr>
              <w:t>155</w:t>
            </w:r>
          </w:p>
        </w:tc>
        <w:tc>
          <w:tcPr>
            <w:tcW w:w="3287" w:type="dxa"/>
            <w:shd w:val="clear" w:color="auto" w:fill="C6EFCE"/>
            <w:vAlign w:val="center"/>
            <w:hideMark/>
          </w:tcPr>
          <w:p w:rsidRPr="00E03285" w:rsidR="00D87E44" w:rsidRDefault="00D87E44" w14:paraId="154592E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2.8: Brownfields Revitalisation - Investment 1: Investment aid for regeneration of specific brownfield sites</w:t>
            </w:r>
          </w:p>
        </w:tc>
        <w:tc>
          <w:tcPr>
            <w:tcW w:w="2325" w:type="dxa"/>
            <w:shd w:val="clear" w:color="auto" w:fill="C6EFCE"/>
            <w:vAlign w:val="center"/>
            <w:hideMark/>
          </w:tcPr>
          <w:p w:rsidRPr="00E03285" w:rsidR="00D87E44" w:rsidRDefault="00D87E44" w14:paraId="154592E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40480E" w:rsidR="00D87E44" w:rsidRDefault="00D87E44" w14:paraId="154592EF" w14:textId="77777777">
            <w:pPr>
              <w:spacing w:before="0" w:after="0" w:line="240" w:lineRule="auto"/>
              <w:jc w:val="center"/>
              <w:rPr>
                <w:rFonts w:eastAsia="Times New Roman"/>
                <w:noProof/>
                <w:color w:val="006100"/>
                <w:sz w:val="20"/>
                <w:szCs w:val="20"/>
                <w:lang w:val="en-IE"/>
              </w:rPr>
            </w:pPr>
            <w:r w:rsidRPr="1237C29A">
              <w:rPr>
                <w:rFonts w:eastAsia="Times New Roman"/>
                <w:noProof/>
                <w:color w:val="006100"/>
                <w:sz w:val="20"/>
                <w:szCs w:val="20"/>
                <w:lang w:val="en-IE"/>
              </w:rPr>
              <w:t>Submission</w:t>
            </w:r>
            <w:r w:rsidRPr="0040480E">
              <w:rPr>
                <w:rFonts w:eastAsia="Times New Roman"/>
                <w:noProof/>
                <w:color w:val="006100"/>
                <w:sz w:val="20"/>
                <w:szCs w:val="20"/>
                <w:lang w:val="en-IE"/>
              </w:rPr>
              <w:t xml:space="preserve"> of </w:t>
            </w:r>
            <w:r w:rsidRPr="1237C29A">
              <w:rPr>
                <w:rFonts w:eastAsia="Times New Roman"/>
                <w:noProof/>
                <w:color w:val="006100"/>
                <w:sz w:val="20"/>
                <w:szCs w:val="20"/>
                <w:lang w:val="en-IE"/>
              </w:rPr>
              <w:t xml:space="preserve">completion certificates for at least 10 projects </w:t>
            </w:r>
          </w:p>
        </w:tc>
      </w:tr>
      <w:tr w:rsidRPr="00E03285" w:rsidR="00D226F4" w:rsidTr="004A6335" w14:paraId="154592F5" w14:textId="77777777">
        <w:trPr>
          <w:trHeight w:val="600"/>
        </w:trPr>
        <w:tc>
          <w:tcPr>
            <w:tcW w:w="1774" w:type="dxa"/>
            <w:shd w:val="clear" w:color="auto" w:fill="C6EFCE"/>
            <w:vAlign w:val="center"/>
            <w:hideMark/>
          </w:tcPr>
          <w:p w:rsidRPr="00E03285" w:rsidR="00D87E44" w:rsidRDefault="00D87E44" w14:paraId="154592F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171</w:t>
            </w:r>
          </w:p>
        </w:tc>
        <w:tc>
          <w:tcPr>
            <w:tcW w:w="3287" w:type="dxa"/>
            <w:shd w:val="clear" w:color="auto" w:fill="C6EFCE"/>
            <w:vAlign w:val="center"/>
            <w:hideMark/>
          </w:tcPr>
          <w:p w:rsidRPr="00E03285" w:rsidR="00D87E44" w:rsidRDefault="00D87E44" w14:paraId="154592F2"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3.1: Innovation in Education in the Context of Digitalisation - Investment 1: Support for the revised curriculum and digital skills of teachers</w:t>
            </w:r>
          </w:p>
        </w:tc>
        <w:tc>
          <w:tcPr>
            <w:tcW w:w="2325" w:type="dxa"/>
            <w:shd w:val="clear" w:color="auto" w:fill="C6EFCE"/>
            <w:vAlign w:val="center"/>
            <w:hideMark/>
          </w:tcPr>
          <w:p w:rsidRPr="00E03285" w:rsidR="00D87E44" w:rsidRDefault="00D87E44" w14:paraId="154592F3"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F4" w14:textId="77777777">
            <w:pPr>
              <w:spacing w:before="0" w:after="0" w:line="240" w:lineRule="auto"/>
              <w:jc w:val="center"/>
              <w:rPr>
                <w:rFonts w:eastAsia="Times New Roman"/>
                <w:noProof/>
                <w:color w:val="006100"/>
                <w:sz w:val="20"/>
                <w:szCs w:val="20"/>
                <w:lang w:val="en-IE"/>
              </w:rPr>
            </w:pPr>
            <w:r w:rsidRPr="0040480E">
              <w:rPr>
                <w:rFonts w:eastAsia="Times New Roman"/>
                <w:noProof/>
                <w:color w:val="006100"/>
                <w:sz w:val="20"/>
                <w:szCs w:val="20"/>
                <w:lang w:val="en-IE"/>
              </w:rPr>
              <w:t xml:space="preserve">Number of schools which received </w:t>
            </w:r>
            <w:r w:rsidRPr="2700E2F4">
              <w:rPr>
                <w:rFonts w:eastAsia="Times New Roman"/>
                <w:noProof/>
                <w:color w:val="006100"/>
                <w:sz w:val="20"/>
                <w:szCs w:val="20"/>
                <w:lang w:val="en-IE"/>
              </w:rPr>
              <w:t xml:space="preserve">training </w:t>
            </w:r>
            <w:r w:rsidRPr="66B47676">
              <w:rPr>
                <w:rFonts w:eastAsia="Times New Roman"/>
                <w:noProof/>
                <w:color w:val="006100"/>
                <w:sz w:val="20"/>
                <w:szCs w:val="20"/>
                <w:lang w:val="en-IE"/>
              </w:rPr>
              <w:t xml:space="preserve">of pedagogical staff in digital skills or IT literacy </w:t>
            </w:r>
          </w:p>
        </w:tc>
      </w:tr>
      <w:tr w:rsidRPr="00E03285" w:rsidR="00D226F4" w:rsidTr="004A6335" w14:paraId="154592FA" w14:textId="77777777">
        <w:trPr>
          <w:trHeight w:val="990"/>
        </w:trPr>
        <w:tc>
          <w:tcPr>
            <w:tcW w:w="1774" w:type="dxa"/>
            <w:shd w:val="clear" w:color="auto" w:fill="C6EFCE"/>
            <w:vAlign w:val="center"/>
            <w:hideMark/>
          </w:tcPr>
          <w:p w:rsidRPr="00E03285" w:rsidR="00D87E44" w:rsidRDefault="00D87E44" w14:paraId="154592F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22</w:t>
            </w:r>
          </w:p>
        </w:tc>
        <w:tc>
          <w:tcPr>
            <w:tcW w:w="3287" w:type="dxa"/>
            <w:shd w:val="clear" w:color="auto" w:fill="C6EFCE"/>
            <w:vAlign w:val="center"/>
            <w:hideMark/>
          </w:tcPr>
          <w:p w:rsidRPr="00E03285" w:rsidR="00D87E44" w:rsidRDefault="00D87E44" w14:paraId="154592F7"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1.2: Digital Public Administration Systems - Investment 2:</w:t>
            </w:r>
            <w:r w:rsidRPr="00E03285">
              <w:rPr>
                <w:noProof/>
              </w:rPr>
              <w:br/>
            </w:r>
            <w:r w:rsidRPr="00E03285">
              <w:rPr>
                <w:rFonts w:eastAsia="Times New Roman"/>
                <w:noProof/>
                <w:color w:val="006100"/>
                <w:sz w:val="20"/>
                <w:szCs w:val="20"/>
                <w:lang w:val="en-IE"/>
              </w:rPr>
              <w:t>Development of core registries and facilities for eGovernment</w:t>
            </w:r>
          </w:p>
        </w:tc>
        <w:tc>
          <w:tcPr>
            <w:tcW w:w="2325" w:type="dxa"/>
            <w:shd w:val="clear" w:color="auto" w:fill="C6EFCE"/>
            <w:vAlign w:val="center"/>
            <w:hideMark/>
          </w:tcPr>
          <w:p w:rsidRPr="00E03285" w:rsidR="00D87E44" w:rsidRDefault="00D87E44" w14:paraId="154592F8"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043" w:type="dxa"/>
            <w:gridSpan w:val="2"/>
            <w:shd w:val="clear" w:color="auto" w:fill="C6EFCE"/>
            <w:vAlign w:val="center"/>
            <w:hideMark/>
          </w:tcPr>
          <w:p w:rsidRPr="00E03285" w:rsidR="00D87E44" w:rsidRDefault="00D87E44" w14:paraId="154592F9" w14:textId="77777777">
            <w:pPr>
              <w:spacing w:before="0" w:after="0" w:line="240" w:lineRule="auto"/>
              <w:jc w:val="center"/>
              <w:rPr>
                <w:noProof/>
              </w:rPr>
            </w:pPr>
            <w:r w:rsidRPr="387B5440">
              <w:rPr>
                <w:rFonts w:eastAsia="Times New Roman"/>
                <w:noProof/>
                <w:color w:val="006100"/>
                <w:sz w:val="20"/>
                <w:szCs w:val="20"/>
                <w:lang w:val="en-IE"/>
              </w:rPr>
              <w:t>Communication and IT systems for the Zeleneč Data Centre</w:t>
            </w:r>
          </w:p>
        </w:tc>
      </w:tr>
      <w:tr w:rsidRPr="00E03285" w:rsidR="00D226F4" w:rsidTr="004A6335" w14:paraId="154592FF" w14:textId="77777777">
        <w:trPr>
          <w:trHeight w:val="600"/>
        </w:trPr>
        <w:tc>
          <w:tcPr>
            <w:tcW w:w="1774" w:type="dxa"/>
            <w:shd w:val="clear" w:color="auto" w:fill="C6EFCE"/>
            <w:vAlign w:val="center"/>
            <w:hideMark/>
          </w:tcPr>
          <w:p w:rsidRPr="00E03285" w:rsidR="00D87E44" w:rsidRDefault="00D87E44" w14:paraId="154592F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180</w:t>
            </w:r>
          </w:p>
        </w:tc>
        <w:tc>
          <w:tcPr>
            <w:tcW w:w="3287" w:type="dxa"/>
            <w:shd w:val="clear" w:color="auto" w:fill="C6EFCE"/>
            <w:vAlign w:val="center"/>
            <w:hideMark/>
          </w:tcPr>
          <w:p w:rsidRPr="00E03285" w:rsidR="00D87E44" w:rsidRDefault="00D87E44" w14:paraId="154592FC"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3.2: Adaptation of School Programmes - Investment 1: Construction of selected key academic sites</w:t>
            </w:r>
          </w:p>
        </w:tc>
        <w:tc>
          <w:tcPr>
            <w:tcW w:w="2325" w:type="dxa"/>
            <w:shd w:val="clear" w:color="auto" w:fill="C6EFCE"/>
            <w:vAlign w:val="center"/>
            <w:hideMark/>
          </w:tcPr>
          <w:p w:rsidRPr="00E03285" w:rsidR="00D87E44" w:rsidRDefault="00D87E44" w14:paraId="154592FD"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2F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Number of square metres of new university area</w:t>
            </w:r>
          </w:p>
        </w:tc>
      </w:tr>
      <w:tr w:rsidRPr="00E03285" w:rsidR="00D226F4" w:rsidTr="004A6335" w14:paraId="15459304" w14:textId="77777777">
        <w:trPr>
          <w:trHeight w:val="795"/>
        </w:trPr>
        <w:tc>
          <w:tcPr>
            <w:tcW w:w="1774" w:type="dxa"/>
            <w:shd w:val="clear" w:color="auto" w:fill="C6EFCE"/>
            <w:vAlign w:val="center"/>
            <w:hideMark/>
          </w:tcPr>
          <w:p w:rsidRPr="00E03285" w:rsidR="00D87E44" w:rsidRDefault="00D87E44" w14:paraId="1545930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190</w:t>
            </w:r>
          </w:p>
        </w:tc>
        <w:tc>
          <w:tcPr>
            <w:tcW w:w="3287" w:type="dxa"/>
            <w:shd w:val="clear" w:color="auto" w:fill="C6EFCE"/>
            <w:vAlign w:val="center"/>
            <w:hideMark/>
          </w:tcPr>
          <w:p w:rsidRPr="00E03285" w:rsidR="00D87E44" w:rsidRDefault="00D87E44" w14:paraId="15459301"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3.3: Modernisation of Employment Services and Labour Market Development - Investment 2: Increasing the capacity of </w:t>
            </w:r>
            <w:r>
              <w:rPr>
                <w:rFonts w:eastAsia="Times New Roman"/>
                <w:noProof/>
                <w:color w:val="006100"/>
                <w:sz w:val="20"/>
                <w:szCs w:val="20"/>
                <w:lang w:val="en-IE"/>
              </w:rPr>
              <w:t xml:space="preserve">pre-school </w:t>
            </w:r>
            <w:r w:rsidRPr="00E03285">
              <w:rPr>
                <w:rFonts w:eastAsia="Times New Roman"/>
                <w:noProof/>
                <w:color w:val="006100"/>
                <w:sz w:val="20"/>
                <w:szCs w:val="20"/>
                <w:lang w:val="en-IE"/>
              </w:rPr>
              <w:t>facilities</w:t>
            </w:r>
          </w:p>
        </w:tc>
        <w:tc>
          <w:tcPr>
            <w:tcW w:w="2325" w:type="dxa"/>
            <w:shd w:val="clear" w:color="auto" w:fill="C6EFCE"/>
            <w:vAlign w:val="center"/>
            <w:hideMark/>
          </w:tcPr>
          <w:p w:rsidRPr="00E03285" w:rsidR="00D87E44" w:rsidRDefault="00D87E44" w14:paraId="1545930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0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Number of new pre-school facilities</w:t>
            </w:r>
          </w:p>
        </w:tc>
      </w:tr>
      <w:tr w:rsidRPr="00E03285" w:rsidR="00D226F4" w:rsidTr="004A6335" w14:paraId="15459309" w14:textId="77777777">
        <w:trPr>
          <w:trHeight w:val="1272"/>
        </w:trPr>
        <w:tc>
          <w:tcPr>
            <w:tcW w:w="1774" w:type="dxa"/>
            <w:shd w:val="clear" w:color="auto" w:fill="C6EFCE"/>
            <w:vAlign w:val="center"/>
            <w:hideMark/>
          </w:tcPr>
          <w:p w:rsidRPr="00E03285" w:rsidR="00D87E44" w:rsidRDefault="00D87E44" w14:paraId="15459305"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195</w:t>
            </w:r>
          </w:p>
        </w:tc>
        <w:tc>
          <w:tcPr>
            <w:tcW w:w="3287" w:type="dxa"/>
            <w:shd w:val="clear" w:color="auto" w:fill="C6EFCE"/>
            <w:vAlign w:val="center"/>
            <w:hideMark/>
          </w:tcPr>
          <w:p w:rsidRPr="00E03285" w:rsidR="00D87E44" w:rsidRDefault="00D87E44" w14:paraId="1545930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3.3: Modernisation of Employment Services and Labour Market Development - Investment 3: Development and modernisation of social care infrastructure</w:t>
            </w:r>
          </w:p>
        </w:tc>
        <w:tc>
          <w:tcPr>
            <w:tcW w:w="2325" w:type="dxa"/>
            <w:shd w:val="clear" w:color="auto" w:fill="C6EFCE"/>
            <w:vAlign w:val="center"/>
            <w:hideMark/>
          </w:tcPr>
          <w:p w:rsidRPr="00E03285" w:rsidR="00D87E44" w:rsidRDefault="00D87E44" w14:paraId="15459307"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0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Number of community-based residential, outpatient, outreach, prevention and counselling facilities constructed or </w:t>
            </w:r>
            <w:r w:rsidRPr="4BFF32D7">
              <w:rPr>
                <w:rFonts w:eastAsia="Times New Roman"/>
                <w:noProof/>
                <w:color w:val="006100"/>
                <w:sz w:val="20"/>
                <w:szCs w:val="20"/>
                <w:lang w:val="en-IE"/>
              </w:rPr>
              <w:t>renovated</w:t>
            </w:r>
          </w:p>
        </w:tc>
      </w:tr>
      <w:tr w:rsidRPr="00E03285" w:rsidR="00D226F4" w:rsidTr="004A6335" w14:paraId="1545930E" w14:textId="77777777">
        <w:trPr>
          <w:trHeight w:val="300"/>
        </w:trPr>
        <w:tc>
          <w:tcPr>
            <w:tcW w:w="1774" w:type="dxa"/>
            <w:shd w:val="clear" w:color="auto" w:fill="C6EFCE"/>
            <w:vAlign w:val="center"/>
            <w:hideMark/>
          </w:tcPr>
          <w:p w:rsidRPr="00E03285" w:rsidR="00D87E44" w:rsidRDefault="00D87E44" w14:paraId="1545930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201</w:t>
            </w:r>
          </w:p>
        </w:tc>
        <w:tc>
          <w:tcPr>
            <w:tcW w:w="3287" w:type="dxa"/>
            <w:shd w:val="clear" w:color="auto" w:fill="C6EFCE"/>
            <w:vAlign w:val="center"/>
            <w:hideMark/>
          </w:tcPr>
          <w:p w:rsidRPr="00E03285" w:rsidR="00D87E44" w:rsidRDefault="00D87E44" w14:paraId="1545930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4.2: New Quasi-Equity Instruments for the Promotion of Entrepreneurship and Development of Czech-Moravian Guarantee and Development Bank (ČMZRB) as a National Development Bank - Investment 1: Development of a new line of </w:t>
            </w:r>
            <w:r w:rsidRPr="00E03285">
              <w:rPr>
                <w:rFonts w:eastAsia="Times New Roman"/>
                <w:noProof/>
                <w:color w:val="006100"/>
                <w:sz w:val="20"/>
                <w:szCs w:val="20"/>
                <w:lang w:val="en-IE"/>
              </w:rPr>
              <w:t>quasi-equity and green loan instruments supporting entrepreneurship</w:t>
            </w:r>
          </w:p>
        </w:tc>
        <w:tc>
          <w:tcPr>
            <w:tcW w:w="2325" w:type="dxa"/>
            <w:shd w:val="clear" w:color="auto" w:fill="C6EFCE"/>
            <w:vAlign w:val="center"/>
            <w:hideMark/>
          </w:tcPr>
          <w:p w:rsidRPr="00E03285" w:rsidR="00D87E44" w:rsidRDefault="00D87E44" w14:paraId="1545930C" w14:textId="77777777">
            <w:pPr>
              <w:spacing w:before="0" w:after="0"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Milestone</w:t>
            </w:r>
          </w:p>
        </w:tc>
        <w:tc>
          <w:tcPr>
            <w:tcW w:w="3043" w:type="dxa"/>
            <w:gridSpan w:val="2"/>
            <w:shd w:val="clear" w:color="auto" w:fill="C6EFCE"/>
            <w:vAlign w:val="center"/>
            <w:hideMark/>
          </w:tcPr>
          <w:p w:rsidRPr="00E03285" w:rsidR="00D87E44" w:rsidRDefault="00D87E44" w14:paraId="1545930D"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 xml:space="preserve">Legal agreements signed with final beneficiaries and </w:t>
            </w:r>
            <w:r w:rsidRPr="427E542F">
              <w:rPr>
                <w:rFonts w:eastAsia="Times New Roman"/>
                <w:noProof/>
                <w:color w:val="006100"/>
                <w:sz w:val="20"/>
                <w:szCs w:val="20"/>
                <w:lang w:val="en-IE"/>
              </w:rPr>
              <w:t>transfer of funds</w:t>
            </w:r>
          </w:p>
        </w:tc>
      </w:tr>
      <w:tr w:rsidRPr="00E03285" w:rsidR="00D226F4" w:rsidTr="004A6335" w14:paraId="15459313" w14:textId="77777777">
        <w:trPr>
          <w:trHeight w:val="600"/>
        </w:trPr>
        <w:tc>
          <w:tcPr>
            <w:tcW w:w="1774" w:type="dxa"/>
            <w:shd w:val="clear" w:color="auto" w:fill="C6EFCE"/>
            <w:vAlign w:val="center"/>
            <w:hideMark/>
          </w:tcPr>
          <w:p w:rsidRPr="00E03285" w:rsidR="00D87E44" w:rsidRDefault="00D87E44" w14:paraId="1545930F"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241</w:t>
            </w:r>
          </w:p>
        </w:tc>
        <w:tc>
          <w:tcPr>
            <w:tcW w:w="3287" w:type="dxa"/>
            <w:shd w:val="clear" w:color="auto" w:fill="C6EFCE"/>
            <w:vAlign w:val="center"/>
            <w:hideMark/>
          </w:tcPr>
          <w:p w:rsidRPr="00E03285" w:rsidR="00D87E44" w:rsidRDefault="00D87E44" w14:paraId="15459310"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6.2: The National Plan to Strengthen Oncological Prevention and Care - Investment 1: Building and </w:t>
            </w:r>
            <w:r w:rsidRPr="00E03285">
              <w:rPr>
                <w:rFonts w:eastAsia="Times New Roman"/>
                <w:noProof/>
                <w:color w:val="006100"/>
                <w:sz w:val="20"/>
                <w:szCs w:val="20"/>
                <w:lang w:val="en-IE"/>
              </w:rPr>
              <w:lastRenderedPageBreak/>
              <w:t>establishment of the Czech Oncological Institute</w:t>
            </w:r>
          </w:p>
        </w:tc>
        <w:tc>
          <w:tcPr>
            <w:tcW w:w="2325" w:type="dxa"/>
            <w:shd w:val="clear" w:color="auto" w:fill="C6EFCE"/>
            <w:vAlign w:val="center"/>
            <w:hideMark/>
          </w:tcPr>
          <w:p w:rsidRPr="00E03285" w:rsidR="00D87E44" w:rsidRDefault="00D87E44" w14:paraId="15459311"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lastRenderedPageBreak/>
              <w:t>Milestone</w:t>
            </w:r>
          </w:p>
        </w:tc>
        <w:tc>
          <w:tcPr>
            <w:tcW w:w="3043" w:type="dxa"/>
            <w:gridSpan w:val="2"/>
            <w:shd w:val="clear" w:color="auto" w:fill="C6EFCE"/>
            <w:vAlign w:val="center"/>
            <w:hideMark/>
          </w:tcPr>
          <w:p w:rsidRPr="00E03285" w:rsidR="00D87E44" w:rsidRDefault="00D87E44" w14:paraId="15459312"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The Czech Oncology Institute</w:t>
            </w:r>
          </w:p>
        </w:tc>
      </w:tr>
      <w:tr w:rsidRPr="00E03285" w:rsidR="00D226F4" w:rsidTr="004A6335" w14:paraId="15459318" w14:textId="77777777">
        <w:trPr>
          <w:trHeight w:val="795"/>
        </w:trPr>
        <w:tc>
          <w:tcPr>
            <w:tcW w:w="1774" w:type="dxa"/>
            <w:shd w:val="clear" w:color="auto" w:fill="C6EFCE"/>
            <w:vAlign w:val="center"/>
            <w:hideMark/>
          </w:tcPr>
          <w:p w:rsidRPr="00E03285" w:rsidR="00D87E44" w:rsidRDefault="00D87E44" w14:paraId="1545931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242</w:t>
            </w:r>
          </w:p>
        </w:tc>
        <w:tc>
          <w:tcPr>
            <w:tcW w:w="3287" w:type="dxa"/>
            <w:shd w:val="clear" w:color="auto" w:fill="C6EFCE"/>
            <w:vAlign w:val="center"/>
            <w:hideMark/>
          </w:tcPr>
          <w:p w:rsidRPr="00E03285" w:rsidR="00D87E44" w:rsidRDefault="00D87E44" w14:paraId="1545931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6.2: The National Plan to Strengthen Oncological </w:t>
            </w:r>
            <w:r w:rsidRPr="00E03285">
              <w:rPr>
                <w:rFonts w:eastAsia="Times New Roman"/>
                <w:noProof/>
                <w:color w:val="006100"/>
                <w:sz w:val="20"/>
                <w:szCs w:val="20"/>
                <w:lang w:val="en-IE"/>
              </w:rPr>
              <w:t>Prevention and Care - Investment 2: Developing highly specialised oncological and hematooncological care</w:t>
            </w:r>
          </w:p>
        </w:tc>
        <w:tc>
          <w:tcPr>
            <w:tcW w:w="2325" w:type="dxa"/>
            <w:shd w:val="clear" w:color="auto" w:fill="C6EFCE"/>
            <w:vAlign w:val="center"/>
            <w:hideMark/>
          </w:tcPr>
          <w:p w:rsidRPr="00E03285" w:rsidR="00D87E44" w:rsidRDefault="00D87E44" w14:paraId="15459316"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17"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S</w:t>
            </w:r>
            <w:r w:rsidRPr="00E03285">
              <w:rPr>
                <w:rFonts w:eastAsia="Times New Roman"/>
                <w:noProof/>
                <w:color w:val="006100"/>
                <w:sz w:val="20"/>
                <w:szCs w:val="20"/>
                <w:lang w:val="en-IE"/>
              </w:rPr>
              <w:t>upported facilities providing oncological and hematooncological care</w:t>
            </w:r>
          </w:p>
        </w:tc>
      </w:tr>
      <w:tr w:rsidRPr="00E03285" w:rsidR="00D226F4" w:rsidTr="004A6335" w14:paraId="1545931D" w14:textId="77777777">
        <w:trPr>
          <w:trHeight w:val="795"/>
        </w:trPr>
        <w:tc>
          <w:tcPr>
            <w:tcW w:w="1774" w:type="dxa"/>
            <w:shd w:val="clear" w:color="auto" w:fill="C6EFCE"/>
            <w:vAlign w:val="center"/>
            <w:hideMark/>
          </w:tcPr>
          <w:p w:rsidRPr="00E03285" w:rsidR="00D87E44" w:rsidRDefault="00D87E44" w14:paraId="15459319"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249</w:t>
            </w:r>
          </w:p>
        </w:tc>
        <w:tc>
          <w:tcPr>
            <w:tcW w:w="3287" w:type="dxa"/>
            <w:shd w:val="clear" w:color="auto" w:fill="C6EFCE"/>
            <w:vAlign w:val="center"/>
            <w:hideMark/>
          </w:tcPr>
          <w:p w:rsidRPr="00E03285" w:rsidR="00D87E44" w:rsidRDefault="00D87E44" w14:paraId="1545931A"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rPr>
              <w:t>C 1.2: Digital Public Administration Systems</w:t>
            </w:r>
            <w:r>
              <w:rPr>
                <w:rFonts w:eastAsia="Times New Roman"/>
                <w:noProof/>
                <w:color w:val="006100"/>
                <w:sz w:val="20"/>
                <w:szCs w:val="20"/>
              </w:rPr>
              <w:t xml:space="preserve"> </w:t>
            </w:r>
            <w:r w:rsidRPr="00E03285">
              <w:rPr>
                <w:rFonts w:eastAsia="Times New Roman"/>
                <w:noProof/>
                <w:color w:val="006100"/>
                <w:sz w:val="20"/>
                <w:szCs w:val="20"/>
              </w:rPr>
              <w:t>-</w:t>
            </w:r>
            <w:r w:rsidRPr="005313DB">
              <w:rPr>
                <w:rFonts w:eastAsia="Times New Roman"/>
                <w:noProof/>
                <w:color w:val="006100"/>
                <w:sz w:val="20"/>
                <w:szCs w:val="20"/>
              </w:rPr>
              <w:t>Investment 6: De</w:t>
            </w:r>
            <w:r w:rsidRPr="00E03285">
              <w:rPr>
                <w:rFonts w:eastAsia="Times New Roman"/>
                <w:noProof/>
                <w:color w:val="006100"/>
                <w:sz w:val="20"/>
                <w:szCs w:val="20"/>
              </w:rPr>
              <w:t>velopment of information systems in social area</w:t>
            </w:r>
          </w:p>
        </w:tc>
        <w:tc>
          <w:tcPr>
            <w:tcW w:w="2325" w:type="dxa"/>
            <w:shd w:val="clear" w:color="auto" w:fill="C6EFCE"/>
            <w:vAlign w:val="center"/>
            <w:hideMark/>
          </w:tcPr>
          <w:p w:rsidRPr="00E03285" w:rsidR="00D87E44" w:rsidRDefault="00D87E44" w14:paraId="1545931B"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rPr>
              <w:t>Target</w:t>
            </w:r>
          </w:p>
        </w:tc>
        <w:tc>
          <w:tcPr>
            <w:tcW w:w="3043" w:type="dxa"/>
            <w:gridSpan w:val="2"/>
            <w:shd w:val="clear" w:color="auto" w:fill="C6EFCE"/>
            <w:vAlign w:val="center"/>
            <w:hideMark/>
          </w:tcPr>
          <w:p w:rsidRPr="00E03285" w:rsidR="00D87E44" w:rsidRDefault="00D87E44" w14:paraId="1545931C" w14:textId="77777777">
            <w:pPr>
              <w:spacing w:before="0" w:after="0" w:line="240" w:lineRule="auto"/>
              <w:jc w:val="center"/>
              <w:rPr>
                <w:rFonts w:eastAsia="Times New Roman"/>
                <w:noProof/>
                <w:color w:val="006100"/>
                <w:sz w:val="20"/>
                <w:szCs w:val="20"/>
                <w:lang w:val="en-IE"/>
              </w:rPr>
            </w:pPr>
            <w:r w:rsidRPr="387B5440">
              <w:rPr>
                <w:rFonts w:eastAsia="Times New Roman"/>
                <w:noProof/>
                <w:color w:val="006100"/>
                <w:sz w:val="20"/>
                <w:szCs w:val="20"/>
              </w:rPr>
              <w:t>Upgraded information systems in the area of social policy</w:t>
            </w:r>
          </w:p>
        </w:tc>
      </w:tr>
      <w:tr w:rsidRPr="00E03285" w:rsidR="00E3458A" w:rsidTr="004A6335" w14:paraId="15459322" w14:textId="77777777">
        <w:trPr>
          <w:trHeight w:val="795"/>
        </w:trPr>
        <w:tc>
          <w:tcPr>
            <w:tcW w:w="1774" w:type="dxa"/>
            <w:shd w:val="clear" w:color="auto" w:fill="C6EFCE"/>
            <w:vAlign w:val="center"/>
            <w:hideMark/>
          </w:tcPr>
          <w:p w:rsidRPr="00E03285" w:rsidR="00D87E44" w:rsidRDefault="00D87E44" w14:paraId="1545931E"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66</w:t>
            </w:r>
          </w:p>
        </w:tc>
        <w:tc>
          <w:tcPr>
            <w:tcW w:w="3287" w:type="dxa"/>
            <w:shd w:val="clear" w:color="auto" w:fill="C6EFCE"/>
            <w:vAlign w:val="center"/>
            <w:hideMark/>
          </w:tcPr>
          <w:p w:rsidRPr="00E03285" w:rsidR="00D87E44" w:rsidRDefault="00D87E44" w14:paraId="1545931F"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rPr>
              <w:t>C 1.4: Digital Economy and Society, Innovative Start-Ups and New Technology - Investment 12: Building quantum communication infrastructure</w:t>
            </w:r>
          </w:p>
        </w:tc>
        <w:tc>
          <w:tcPr>
            <w:tcW w:w="2325" w:type="dxa"/>
            <w:shd w:val="clear" w:color="auto" w:fill="C6EFCE"/>
            <w:vAlign w:val="center"/>
            <w:hideMark/>
          </w:tcPr>
          <w:p w:rsidRPr="00E03285" w:rsidR="00D87E44" w:rsidRDefault="00D87E44" w14:paraId="15459320" w14:textId="77777777">
            <w:pPr>
              <w:spacing w:before="0" w:after="0" w:line="240" w:lineRule="auto"/>
              <w:jc w:val="center"/>
              <w:rPr>
                <w:rFonts w:eastAsia="Times New Roman"/>
                <w:noProof/>
                <w:color w:val="006100"/>
                <w:sz w:val="20"/>
                <w:szCs w:val="20"/>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21" w14:textId="77777777">
            <w:pPr>
              <w:spacing w:before="0" w:after="0" w:line="240" w:lineRule="auto"/>
              <w:jc w:val="center"/>
              <w:rPr>
                <w:rFonts w:eastAsia="Times New Roman"/>
                <w:noProof/>
                <w:color w:val="006100"/>
                <w:sz w:val="20"/>
                <w:szCs w:val="20"/>
              </w:rPr>
            </w:pPr>
            <w:r w:rsidRPr="00AB38C2">
              <w:rPr>
                <w:rFonts w:eastAsia="Times New Roman"/>
                <w:noProof/>
                <w:color w:val="006100"/>
                <w:sz w:val="20"/>
                <w:szCs w:val="20"/>
              </w:rPr>
              <w:t>Disbursement of funds for optical quantum network</w:t>
            </w:r>
          </w:p>
        </w:tc>
      </w:tr>
      <w:tr w:rsidRPr="00E03285" w:rsidR="00D226F4" w:rsidTr="004A6335" w14:paraId="15459327" w14:textId="77777777">
        <w:trPr>
          <w:trHeight w:val="300"/>
        </w:trPr>
        <w:tc>
          <w:tcPr>
            <w:tcW w:w="1774" w:type="dxa"/>
            <w:shd w:val="clear" w:color="auto" w:fill="C6EFCE"/>
            <w:vAlign w:val="center"/>
            <w:hideMark/>
          </w:tcPr>
          <w:p w:rsidRPr="00E03285" w:rsidR="00D87E44" w:rsidRDefault="00D87E44" w14:paraId="1545932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255</w:t>
            </w:r>
          </w:p>
        </w:tc>
        <w:tc>
          <w:tcPr>
            <w:tcW w:w="3287" w:type="dxa"/>
            <w:shd w:val="clear" w:color="auto" w:fill="C6EFCE"/>
            <w:vAlign w:val="center"/>
            <w:hideMark/>
          </w:tcPr>
          <w:p w:rsidRPr="00E03285" w:rsidR="00D87E44" w:rsidRDefault="00D87E44" w14:paraId="15459324"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C 1.5: Digital Transformation of Enterprises   - Investment 4: IPCEI Microelectronics and Communication Technologies</w:t>
            </w:r>
          </w:p>
        </w:tc>
        <w:tc>
          <w:tcPr>
            <w:tcW w:w="2325" w:type="dxa"/>
            <w:shd w:val="clear" w:color="auto" w:fill="C6EFCE"/>
            <w:vAlign w:val="center"/>
            <w:hideMark/>
          </w:tcPr>
          <w:p w:rsidRPr="00E03285" w:rsidR="00D87E44" w:rsidRDefault="00D87E44" w14:paraId="15459325" w14:textId="77777777">
            <w:pPr>
              <w:spacing w:before="0" w:after="0"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26" w14:textId="77777777">
            <w:pPr>
              <w:spacing w:before="0" w:after="0" w:line="240" w:lineRule="auto"/>
              <w:jc w:val="center"/>
              <w:rPr>
                <w:rFonts w:eastAsia="Times New Roman"/>
                <w:noProof/>
                <w:color w:val="006100"/>
                <w:sz w:val="20"/>
                <w:szCs w:val="20"/>
                <w:lang w:val="en-IE"/>
              </w:rPr>
            </w:pPr>
            <w:r w:rsidRPr="68CDBA41">
              <w:rPr>
                <w:rFonts w:eastAsia="Times New Roman"/>
                <w:noProof/>
                <w:color w:val="006100"/>
                <w:sz w:val="20"/>
                <w:szCs w:val="20"/>
                <w:lang w:val="en-IE"/>
              </w:rPr>
              <w:t>Pilot</w:t>
            </w:r>
            <w:r w:rsidRPr="00E03285">
              <w:rPr>
                <w:rFonts w:eastAsia="Times New Roman"/>
                <w:noProof/>
                <w:color w:val="006100"/>
                <w:sz w:val="20"/>
                <w:szCs w:val="20"/>
                <w:lang w:val="en-IE"/>
              </w:rPr>
              <w:t xml:space="preserve"> solutions</w:t>
            </w:r>
          </w:p>
        </w:tc>
      </w:tr>
      <w:tr w:rsidRPr="00E03285" w:rsidR="00D226F4" w:rsidTr="004A6335" w14:paraId="1545932C" w14:textId="77777777">
        <w:trPr>
          <w:trHeight w:val="648"/>
        </w:trPr>
        <w:tc>
          <w:tcPr>
            <w:tcW w:w="1774" w:type="dxa"/>
            <w:shd w:val="clear" w:color="auto" w:fill="C6EFCE"/>
            <w:vAlign w:val="center"/>
            <w:hideMark/>
          </w:tcPr>
          <w:p w:rsidRPr="00E03285" w:rsidR="00D87E44" w:rsidRDefault="00D87E44" w14:paraId="1545932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258</w:t>
            </w:r>
          </w:p>
        </w:tc>
        <w:tc>
          <w:tcPr>
            <w:tcW w:w="3287" w:type="dxa"/>
            <w:shd w:val="clear" w:color="auto" w:fill="C6EFCE"/>
            <w:vAlign w:val="center"/>
            <w:hideMark/>
          </w:tcPr>
          <w:p w:rsidRPr="00E03285" w:rsidR="00D87E44" w:rsidRDefault="00D87E44" w14:paraId="15459329"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1.7: Digital Transformation of Public </w:t>
            </w:r>
            <w:r w:rsidRPr="00E03285">
              <w:rPr>
                <w:rFonts w:eastAsia="Times New Roman"/>
                <w:noProof/>
                <w:color w:val="006100"/>
                <w:sz w:val="20"/>
                <w:szCs w:val="20"/>
                <w:lang w:val="en-IE"/>
              </w:rPr>
              <w:t>Administration - Investment 2: Improvement of the management system for digitalised services</w:t>
            </w:r>
          </w:p>
        </w:tc>
        <w:tc>
          <w:tcPr>
            <w:tcW w:w="2325" w:type="dxa"/>
            <w:shd w:val="clear" w:color="auto" w:fill="C6EFCE"/>
            <w:vAlign w:val="center"/>
            <w:hideMark/>
          </w:tcPr>
          <w:p w:rsidRPr="00E03285" w:rsidR="00D87E44" w:rsidRDefault="00D87E44" w14:paraId="1545932A"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3043" w:type="dxa"/>
            <w:gridSpan w:val="2"/>
            <w:shd w:val="clear" w:color="auto" w:fill="C6EFCE"/>
            <w:vAlign w:val="center"/>
            <w:hideMark/>
          </w:tcPr>
          <w:p w:rsidRPr="00E03285" w:rsidR="00D87E44" w:rsidRDefault="00D87E44" w14:paraId="1545932B" w14:textId="77777777">
            <w:pPr>
              <w:spacing w:line="240" w:lineRule="auto"/>
              <w:jc w:val="center"/>
              <w:rPr>
                <w:rFonts w:eastAsia="Times New Roman"/>
                <w:noProof/>
                <w:color w:val="006100"/>
                <w:sz w:val="20"/>
                <w:szCs w:val="20"/>
                <w:lang w:val="en-IE"/>
              </w:rPr>
            </w:pPr>
            <w:r w:rsidRPr="72040B35">
              <w:rPr>
                <w:rFonts w:eastAsia="Times New Roman"/>
                <w:noProof/>
                <w:color w:val="006100"/>
                <w:sz w:val="20"/>
                <w:szCs w:val="20"/>
                <w:lang w:val="en-IE"/>
              </w:rPr>
              <w:t>Update of ICT management in public administration</w:t>
            </w:r>
          </w:p>
        </w:tc>
      </w:tr>
      <w:tr w:rsidR="00D226F4" w:rsidTr="004A6335" w14:paraId="15459331" w14:textId="77777777">
        <w:trPr>
          <w:trHeight w:val="300"/>
        </w:trPr>
        <w:tc>
          <w:tcPr>
            <w:tcW w:w="1774" w:type="dxa"/>
            <w:shd w:val="clear" w:color="auto" w:fill="C6EFCE"/>
            <w:vAlign w:val="center"/>
            <w:hideMark/>
          </w:tcPr>
          <w:p w:rsidR="00D87E44" w:rsidRDefault="00D87E44" w14:paraId="1545932D" w14:textId="77777777">
            <w:pPr>
              <w:spacing w:line="240" w:lineRule="auto"/>
              <w:jc w:val="center"/>
              <w:rPr>
                <w:rFonts w:eastAsia="Times New Roman"/>
                <w:noProof/>
                <w:color w:val="006100"/>
                <w:sz w:val="20"/>
                <w:szCs w:val="20"/>
                <w:lang w:val="en-IE"/>
              </w:rPr>
            </w:pPr>
            <w:r w:rsidRPr="342B9E94">
              <w:rPr>
                <w:rFonts w:eastAsia="Times New Roman"/>
                <w:noProof/>
                <w:color w:val="006100"/>
                <w:sz w:val="20"/>
                <w:szCs w:val="20"/>
                <w:lang w:val="en-IE"/>
              </w:rPr>
              <w:t>271</w:t>
            </w:r>
          </w:p>
        </w:tc>
        <w:tc>
          <w:tcPr>
            <w:tcW w:w="3287" w:type="dxa"/>
            <w:shd w:val="clear" w:color="auto" w:fill="C6EFCE"/>
            <w:vAlign w:val="center"/>
            <w:hideMark/>
          </w:tcPr>
          <w:p w:rsidR="00D87E44" w:rsidRDefault="00D87E44" w14:paraId="1545932E" w14:textId="77777777">
            <w:pPr>
              <w:spacing w:line="240" w:lineRule="auto"/>
              <w:jc w:val="center"/>
              <w:rPr>
                <w:noProof/>
                <w:color w:val="006100"/>
                <w:sz w:val="20"/>
                <w:szCs w:val="20"/>
              </w:rPr>
            </w:pPr>
            <w:r w:rsidRPr="342B9E94">
              <w:rPr>
                <w:rFonts w:eastAsia="Times New Roman"/>
                <w:noProof/>
                <w:color w:val="006100"/>
                <w:sz w:val="20"/>
                <w:szCs w:val="20"/>
              </w:rPr>
              <w:t>C 2.10: Affordable Housing - Investment 3:  Co-investment facility</w:t>
            </w:r>
          </w:p>
        </w:tc>
        <w:tc>
          <w:tcPr>
            <w:tcW w:w="2325" w:type="dxa"/>
            <w:shd w:val="clear" w:color="auto" w:fill="C6EFCE"/>
            <w:vAlign w:val="center"/>
            <w:hideMark/>
          </w:tcPr>
          <w:p w:rsidR="00D87E44" w:rsidRDefault="00D87E44" w14:paraId="1545932F" w14:textId="77777777">
            <w:pPr>
              <w:spacing w:line="240" w:lineRule="auto"/>
              <w:jc w:val="center"/>
              <w:rPr>
                <w:noProof/>
                <w:color w:val="006100"/>
                <w:sz w:val="20"/>
                <w:szCs w:val="20"/>
              </w:rPr>
            </w:pPr>
            <w:r w:rsidRPr="342B9E94">
              <w:rPr>
                <w:rFonts w:eastAsia="Times New Roman"/>
                <w:noProof/>
                <w:color w:val="006100"/>
                <w:sz w:val="20"/>
                <w:szCs w:val="20"/>
              </w:rPr>
              <w:t>Target</w:t>
            </w:r>
          </w:p>
        </w:tc>
        <w:tc>
          <w:tcPr>
            <w:tcW w:w="3043" w:type="dxa"/>
            <w:gridSpan w:val="2"/>
            <w:shd w:val="clear" w:color="auto" w:fill="C6EFCE"/>
            <w:vAlign w:val="center"/>
            <w:hideMark/>
          </w:tcPr>
          <w:p w:rsidR="00D87E44" w:rsidRDefault="00D87E44" w14:paraId="15459330" w14:textId="77777777">
            <w:pPr>
              <w:spacing w:line="240" w:lineRule="auto"/>
              <w:jc w:val="center"/>
              <w:rPr>
                <w:noProof/>
                <w:color w:val="006100"/>
                <w:sz w:val="20"/>
                <w:szCs w:val="20"/>
              </w:rPr>
            </w:pPr>
            <w:r w:rsidRPr="4A45BCA2">
              <w:rPr>
                <w:rFonts w:eastAsia="Times New Roman"/>
                <w:noProof/>
                <w:color w:val="006100"/>
                <w:sz w:val="20"/>
                <w:szCs w:val="20"/>
              </w:rPr>
              <w:t>Legal</w:t>
            </w:r>
            <w:r w:rsidRPr="4A45BCA2">
              <w:rPr>
                <w:noProof/>
                <w:color w:val="006100"/>
                <w:sz w:val="20"/>
                <w:szCs w:val="20"/>
              </w:rPr>
              <w:t xml:space="preserve"> agreement</w:t>
            </w:r>
            <w:r w:rsidRPr="4A45BCA2">
              <w:rPr>
                <w:rFonts w:eastAsia="Times New Roman"/>
                <w:noProof/>
                <w:color w:val="006100"/>
                <w:sz w:val="20"/>
                <w:szCs w:val="20"/>
              </w:rPr>
              <w:t xml:space="preserve"> signed with final beneficiary </w:t>
            </w:r>
          </w:p>
        </w:tc>
      </w:tr>
      <w:tr w:rsidR="00D226F4" w:rsidTr="004A6335" w14:paraId="15459337" w14:textId="77777777">
        <w:trPr>
          <w:trHeight w:val="300"/>
        </w:trPr>
        <w:tc>
          <w:tcPr>
            <w:tcW w:w="1774" w:type="dxa"/>
            <w:shd w:val="clear" w:color="auto" w:fill="C6EFCE"/>
            <w:vAlign w:val="center"/>
          </w:tcPr>
          <w:p w:rsidRPr="342B9E94" w:rsidR="00D87E44" w:rsidRDefault="00D87E44" w14:paraId="15459332" w14:textId="77777777">
            <w:pPr>
              <w:spacing w:line="240" w:lineRule="auto"/>
              <w:jc w:val="center"/>
              <w:rPr>
                <w:rFonts w:eastAsia="Times New Roman"/>
                <w:noProof/>
                <w:color w:val="006100"/>
                <w:sz w:val="20"/>
                <w:szCs w:val="20"/>
                <w:lang w:val="en-IE"/>
              </w:rPr>
            </w:pPr>
            <w:r w:rsidRPr="50A0F14C">
              <w:rPr>
                <w:rFonts w:eastAsia="Times New Roman"/>
                <w:noProof/>
                <w:color w:val="006100"/>
                <w:sz w:val="20"/>
                <w:szCs w:val="20"/>
                <w:lang w:val="en-IE"/>
              </w:rPr>
              <w:t>272</w:t>
            </w:r>
          </w:p>
        </w:tc>
        <w:tc>
          <w:tcPr>
            <w:tcW w:w="3287" w:type="dxa"/>
            <w:shd w:val="clear" w:color="auto" w:fill="C6EFCE"/>
            <w:vAlign w:val="center"/>
          </w:tcPr>
          <w:p w:rsidR="00D87E44" w:rsidRDefault="00D87E44" w14:paraId="15459333" w14:textId="77777777">
            <w:pPr>
              <w:spacing w:before="0" w:after="0" w:line="240" w:lineRule="auto"/>
              <w:jc w:val="center"/>
              <w:rPr>
                <w:rFonts w:eastAsia="Times New Roman"/>
                <w:noProof/>
                <w:color w:val="006100"/>
                <w:sz w:val="20"/>
                <w:szCs w:val="20"/>
              </w:rPr>
            </w:pPr>
            <w:r w:rsidRPr="50A0F14C">
              <w:rPr>
                <w:rFonts w:eastAsia="Times New Roman"/>
                <w:noProof/>
                <w:color w:val="006100"/>
                <w:sz w:val="20"/>
                <w:szCs w:val="20"/>
              </w:rPr>
              <w:t xml:space="preserve">C 2.10: Affordable Housing </w:t>
            </w:r>
            <w:r>
              <w:rPr>
                <w:rFonts w:eastAsia="Times New Roman"/>
                <w:noProof/>
                <w:color w:val="006100"/>
                <w:sz w:val="20"/>
                <w:szCs w:val="20"/>
              </w:rPr>
              <w:t>–</w:t>
            </w:r>
            <w:r w:rsidRPr="50A0F14C">
              <w:rPr>
                <w:rFonts w:eastAsia="Times New Roman"/>
                <w:noProof/>
                <w:color w:val="006100"/>
                <w:sz w:val="20"/>
                <w:szCs w:val="20"/>
              </w:rPr>
              <w:t xml:space="preserve"> Investment</w:t>
            </w:r>
            <w:r>
              <w:rPr>
                <w:rFonts w:eastAsia="Times New Roman"/>
                <w:noProof/>
                <w:color w:val="006100"/>
                <w:sz w:val="20"/>
                <w:szCs w:val="20"/>
              </w:rPr>
              <w:t> </w:t>
            </w:r>
            <w:r w:rsidRPr="50A0F14C">
              <w:rPr>
                <w:rFonts w:eastAsia="Times New Roman"/>
                <w:noProof/>
                <w:color w:val="006100"/>
                <w:sz w:val="20"/>
                <w:szCs w:val="20"/>
              </w:rPr>
              <w:t xml:space="preserve">3:  </w:t>
            </w:r>
          </w:p>
          <w:p w:rsidRPr="342B9E94" w:rsidR="00D87E44" w:rsidRDefault="00D87E44" w14:paraId="15459334" w14:textId="77777777">
            <w:pPr>
              <w:spacing w:line="240" w:lineRule="auto"/>
              <w:jc w:val="center"/>
              <w:rPr>
                <w:rFonts w:eastAsia="Times New Roman"/>
                <w:noProof/>
                <w:color w:val="006100"/>
                <w:sz w:val="20"/>
                <w:szCs w:val="20"/>
              </w:rPr>
            </w:pPr>
            <w:r w:rsidRPr="50A0F14C">
              <w:rPr>
                <w:rFonts w:eastAsia="Times New Roman"/>
                <w:noProof/>
                <w:color w:val="006100"/>
                <w:sz w:val="20"/>
                <w:szCs w:val="20"/>
              </w:rPr>
              <w:t>Co-investment facility</w:t>
            </w:r>
          </w:p>
        </w:tc>
        <w:tc>
          <w:tcPr>
            <w:tcW w:w="2325" w:type="dxa"/>
            <w:shd w:val="clear" w:color="auto" w:fill="C6EFCE"/>
            <w:vAlign w:val="center"/>
          </w:tcPr>
          <w:p w:rsidRPr="342B9E94" w:rsidR="00D87E44" w:rsidRDefault="00D87E44" w14:paraId="15459335" w14:textId="77777777">
            <w:pPr>
              <w:spacing w:line="240" w:lineRule="auto"/>
              <w:jc w:val="center"/>
              <w:rPr>
                <w:rFonts w:eastAsia="Times New Roman"/>
                <w:noProof/>
                <w:color w:val="006100"/>
                <w:sz w:val="20"/>
                <w:szCs w:val="20"/>
              </w:rPr>
            </w:pPr>
            <w:r w:rsidRPr="50A0F14C">
              <w:rPr>
                <w:rFonts w:eastAsia="Times New Roman"/>
                <w:noProof/>
                <w:color w:val="006100"/>
                <w:sz w:val="20"/>
                <w:szCs w:val="20"/>
              </w:rPr>
              <w:t>Milestone</w:t>
            </w:r>
          </w:p>
        </w:tc>
        <w:tc>
          <w:tcPr>
            <w:tcW w:w="3043" w:type="dxa"/>
            <w:gridSpan w:val="2"/>
            <w:shd w:val="clear" w:color="auto" w:fill="C6EFCE"/>
            <w:vAlign w:val="center"/>
          </w:tcPr>
          <w:p w:rsidRPr="342B9E94" w:rsidR="00D87E44" w:rsidRDefault="00D87E44" w14:paraId="15459336" w14:textId="77777777">
            <w:pPr>
              <w:spacing w:line="240" w:lineRule="auto"/>
              <w:jc w:val="center"/>
              <w:rPr>
                <w:rFonts w:eastAsia="Times New Roman"/>
                <w:noProof/>
                <w:color w:val="006100"/>
                <w:sz w:val="20"/>
                <w:szCs w:val="20"/>
              </w:rPr>
            </w:pPr>
            <w:r w:rsidRPr="50A0F14C">
              <w:rPr>
                <w:rFonts w:eastAsia="Times New Roman"/>
                <w:noProof/>
                <w:color w:val="006100"/>
                <w:sz w:val="20"/>
                <w:szCs w:val="20"/>
              </w:rPr>
              <w:t xml:space="preserve">Transfer of funds </w:t>
            </w:r>
          </w:p>
        </w:tc>
      </w:tr>
      <w:tr w:rsidR="00D226F4" w:rsidTr="004A6335" w14:paraId="1545933C" w14:textId="77777777">
        <w:trPr>
          <w:trHeight w:val="300"/>
        </w:trPr>
        <w:tc>
          <w:tcPr>
            <w:tcW w:w="1774" w:type="dxa"/>
            <w:shd w:val="clear" w:color="auto" w:fill="C6EFCE"/>
            <w:vAlign w:val="center"/>
            <w:hideMark/>
          </w:tcPr>
          <w:p w:rsidR="00D87E44" w:rsidRDefault="00D87E44" w14:paraId="15459338" w14:textId="77777777">
            <w:pPr>
              <w:spacing w:line="240" w:lineRule="auto"/>
              <w:jc w:val="center"/>
              <w:rPr>
                <w:rFonts w:eastAsia="Times New Roman"/>
                <w:noProof/>
                <w:color w:val="004300"/>
                <w:sz w:val="20"/>
                <w:szCs w:val="20"/>
                <w:lang w:val="en-IE"/>
              </w:rPr>
            </w:pPr>
            <w:r w:rsidRPr="387B5440">
              <w:rPr>
                <w:rFonts w:eastAsia="Times New Roman"/>
                <w:noProof/>
                <w:color w:val="004300"/>
                <w:sz w:val="20"/>
                <w:szCs w:val="20"/>
                <w:lang w:val="en-IE"/>
              </w:rPr>
              <w:t>278</w:t>
            </w:r>
          </w:p>
        </w:tc>
        <w:tc>
          <w:tcPr>
            <w:tcW w:w="3287" w:type="dxa"/>
            <w:shd w:val="clear" w:color="auto" w:fill="C6EFCE"/>
            <w:vAlign w:val="center"/>
            <w:hideMark/>
          </w:tcPr>
          <w:p w:rsidR="00D87E44" w:rsidRDefault="00D87E44" w14:paraId="15459339"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 xml:space="preserve">C 3.3: Modernisation of Employment Services and Labour Market Development - Investment 4: </w:t>
            </w:r>
            <w:r w:rsidRPr="387B5440">
              <w:rPr>
                <w:rFonts w:eastAsia="Times New Roman"/>
                <w:noProof/>
                <w:color w:val="006100"/>
                <w:sz w:val="20"/>
                <w:szCs w:val="20"/>
                <w:lang w:val="en-IE"/>
              </w:rPr>
              <w:t>Development and modernisation of infrastructure in the field of care for children at risk</w:t>
            </w:r>
          </w:p>
        </w:tc>
        <w:tc>
          <w:tcPr>
            <w:tcW w:w="2325" w:type="dxa"/>
            <w:shd w:val="clear" w:color="auto" w:fill="C6EFCE"/>
            <w:vAlign w:val="center"/>
            <w:hideMark/>
          </w:tcPr>
          <w:p w:rsidR="00D87E44" w:rsidRDefault="00D87E44" w14:paraId="1545933A"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3043" w:type="dxa"/>
            <w:gridSpan w:val="2"/>
            <w:shd w:val="clear" w:color="auto" w:fill="C6EFCE"/>
            <w:vAlign w:val="center"/>
            <w:hideMark/>
          </w:tcPr>
          <w:p w:rsidR="00D87E44" w:rsidRDefault="00D87E44" w14:paraId="1545933B" w14:textId="77777777">
            <w:pPr>
              <w:spacing w:before="0" w:after="0" w:line="240" w:lineRule="auto"/>
              <w:jc w:val="center"/>
              <w:rPr>
                <w:rFonts w:eastAsia="Times New Roman"/>
                <w:noProof/>
                <w:color w:val="006100"/>
                <w:sz w:val="20"/>
                <w:szCs w:val="20"/>
                <w:lang w:val="en-IE"/>
              </w:rPr>
            </w:pPr>
            <w:r w:rsidRPr="45033632">
              <w:rPr>
                <w:rFonts w:eastAsia="Times New Roman"/>
                <w:noProof/>
                <w:color w:val="006100"/>
                <w:sz w:val="20"/>
                <w:szCs w:val="20"/>
                <w:lang w:val="en-IE"/>
              </w:rPr>
              <w:t xml:space="preserve">Flats and houses for </w:t>
            </w:r>
            <w:r w:rsidRPr="387B5440">
              <w:rPr>
                <w:rFonts w:eastAsia="Times New Roman"/>
                <w:noProof/>
                <w:color w:val="006100"/>
                <w:sz w:val="20"/>
                <w:szCs w:val="20"/>
                <w:lang w:val="en-IE"/>
              </w:rPr>
              <w:t xml:space="preserve">children at risk </w:t>
            </w:r>
          </w:p>
        </w:tc>
      </w:tr>
      <w:tr w:rsidRPr="00E03285" w:rsidR="00D226F4" w:rsidTr="004A6335" w14:paraId="15459341" w14:textId="77777777">
        <w:trPr>
          <w:trHeight w:val="648"/>
        </w:trPr>
        <w:tc>
          <w:tcPr>
            <w:tcW w:w="1774" w:type="dxa"/>
            <w:shd w:val="clear" w:color="auto" w:fill="C6EFCE"/>
            <w:vAlign w:val="center"/>
            <w:hideMark/>
          </w:tcPr>
          <w:p w:rsidRPr="00E03285" w:rsidR="00D87E44" w:rsidRDefault="00D87E44" w14:paraId="1545933D"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289</w:t>
            </w:r>
          </w:p>
        </w:tc>
        <w:tc>
          <w:tcPr>
            <w:tcW w:w="3287" w:type="dxa"/>
            <w:shd w:val="clear" w:color="auto" w:fill="C6EFCE"/>
            <w:vAlign w:val="center"/>
            <w:hideMark/>
          </w:tcPr>
          <w:p w:rsidRPr="00E03285" w:rsidR="00D87E44" w:rsidRDefault="00D87E44" w14:paraId="1545933E"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4.4: Enhancing the Efficiency of Public Administration - Reform 1: Increase efficiency, pro-client </w:t>
            </w:r>
            <w:r w:rsidRPr="00E03285">
              <w:rPr>
                <w:rFonts w:eastAsia="Times New Roman"/>
                <w:noProof/>
                <w:color w:val="006100"/>
                <w:sz w:val="20"/>
                <w:szCs w:val="20"/>
                <w:lang w:val="en-IE"/>
              </w:rPr>
              <w:t>orientation and use of the principles of evidence-based decision-making in public administration</w:t>
            </w:r>
          </w:p>
        </w:tc>
        <w:tc>
          <w:tcPr>
            <w:tcW w:w="2325" w:type="dxa"/>
            <w:shd w:val="clear" w:color="auto" w:fill="C6EFCE"/>
            <w:vAlign w:val="center"/>
            <w:hideMark/>
          </w:tcPr>
          <w:p w:rsidRPr="00E03285" w:rsidR="00D87E44" w:rsidRDefault="00D87E44" w14:paraId="1545933F"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40" w14:textId="77777777">
            <w:pPr>
              <w:spacing w:line="240" w:lineRule="auto"/>
              <w:jc w:val="center"/>
              <w:rPr>
                <w:rFonts w:eastAsia="Times New Roman"/>
                <w:noProof/>
                <w:color w:val="006100"/>
                <w:sz w:val="20"/>
                <w:szCs w:val="20"/>
                <w:lang w:val="en-IE"/>
              </w:rPr>
            </w:pPr>
            <w:r w:rsidRPr="0D43739B">
              <w:rPr>
                <w:rFonts w:eastAsia="Times New Roman"/>
                <w:noProof/>
                <w:color w:val="006100"/>
                <w:sz w:val="20"/>
                <w:szCs w:val="20"/>
                <w:lang w:val="en-IE"/>
              </w:rPr>
              <w:t>Actions aiming at better HR in the public administration and automating administrative procedures</w:t>
            </w:r>
          </w:p>
        </w:tc>
      </w:tr>
      <w:tr w:rsidRPr="00E03285" w:rsidR="00D226F4" w:rsidTr="004A6335" w14:paraId="15459346" w14:textId="77777777">
        <w:trPr>
          <w:trHeight w:val="648"/>
        </w:trPr>
        <w:tc>
          <w:tcPr>
            <w:tcW w:w="1774" w:type="dxa"/>
            <w:shd w:val="clear" w:color="auto" w:fill="C6EFCE"/>
            <w:vAlign w:val="center"/>
            <w:hideMark/>
          </w:tcPr>
          <w:p w:rsidRPr="00E03285" w:rsidR="00D87E44" w:rsidRDefault="00D87E44" w14:paraId="15459342"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299</w:t>
            </w:r>
          </w:p>
        </w:tc>
        <w:tc>
          <w:tcPr>
            <w:tcW w:w="3287" w:type="dxa"/>
            <w:shd w:val="clear" w:color="auto" w:fill="C6EFCE"/>
            <w:vAlign w:val="center"/>
            <w:hideMark/>
          </w:tcPr>
          <w:p w:rsidRPr="00E03285" w:rsidR="00D87E44" w:rsidRDefault="00D87E44" w14:paraId="15459343"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7.1:  Renewable </w:t>
            </w:r>
            <w:r>
              <w:rPr>
                <w:rFonts w:eastAsia="Times New Roman"/>
                <w:noProof/>
                <w:color w:val="006100"/>
                <w:sz w:val="20"/>
                <w:szCs w:val="20"/>
                <w:lang w:val="en-IE"/>
              </w:rPr>
              <w:t>E</w:t>
            </w:r>
            <w:r w:rsidRPr="00E03285">
              <w:rPr>
                <w:rFonts w:eastAsia="Times New Roman"/>
                <w:noProof/>
                <w:color w:val="006100"/>
                <w:sz w:val="20"/>
                <w:szCs w:val="20"/>
                <w:lang w:val="en-IE"/>
              </w:rPr>
              <w:t xml:space="preserve">nergy and </w:t>
            </w:r>
            <w:r>
              <w:rPr>
                <w:rFonts w:eastAsia="Times New Roman"/>
                <w:noProof/>
                <w:color w:val="006100"/>
                <w:sz w:val="20"/>
                <w:szCs w:val="20"/>
                <w:lang w:val="en-IE"/>
              </w:rPr>
              <w:t>E</w:t>
            </w:r>
            <w:r w:rsidRPr="00E03285">
              <w:rPr>
                <w:rFonts w:eastAsia="Times New Roman"/>
                <w:noProof/>
                <w:color w:val="006100"/>
                <w:sz w:val="20"/>
                <w:szCs w:val="20"/>
                <w:lang w:val="en-IE"/>
              </w:rPr>
              <w:t xml:space="preserve">lectricity </w:t>
            </w:r>
            <w:r>
              <w:rPr>
                <w:rFonts w:eastAsia="Times New Roman"/>
                <w:noProof/>
                <w:color w:val="006100"/>
                <w:sz w:val="20"/>
                <w:szCs w:val="20"/>
                <w:lang w:val="en-IE"/>
              </w:rPr>
              <w:t>I</w:t>
            </w:r>
            <w:r w:rsidRPr="00E03285">
              <w:rPr>
                <w:rFonts w:eastAsia="Times New Roman"/>
                <w:noProof/>
                <w:color w:val="006100"/>
                <w:sz w:val="20"/>
                <w:szCs w:val="20"/>
                <w:lang w:val="en-IE"/>
              </w:rPr>
              <w:t>nfrastructure (REPowerEU) - Investment 1: Modernisation and digitalisation of the regional distribution systems</w:t>
            </w:r>
          </w:p>
        </w:tc>
        <w:tc>
          <w:tcPr>
            <w:tcW w:w="2325" w:type="dxa"/>
            <w:shd w:val="clear" w:color="auto" w:fill="C6EFCE"/>
            <w:vAlign w:val="center"/>
            <w:hideMark/>
          </w:tcPr>
          <w:p w:rsidRPr="00E03285" w:rsidR="00D87E44" w:rsidRDefault="00D87E44" w14:paraId="15459344"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3043" w:type="dxa"/>
            <w:gridSpan w:val="2"/>
            <w:shd w:val="clear" w:color="auto" w:fill="C6EFCE"/>
            <w:vAlign w:val="center"/>
            <w:hideMark/>
          </w:tcPr>
          <w:p w:rsidRPr="00E03285" w:rsidR="00D87E44" w:rsidRDefault="00D87E44" w14:paraId="15459345" w14:textId="77777777">
            <w:pPr>
              <w:spacing w:line="240" w:lineRule="auto"/>
              <w:jc w:val="center"/>
              <w:rPr>
                <w:rFonts w:eastAsia="Times New Roman"/>
                <w:noProof/>
                <w:color w:val="004300"/>
                <w:sz w:val="18"/>
                <w:szCs w:val="18"/>
                <w:lang w:val="en-IE"/>
              </w:rPr>
            </w:pPr>
            <w:r>
              <w:rPr>
                <w:rFonts w:eastAsia="Times New Roman"/>
                <w:noProof/>
                <w:color w:val="006100"/>
                <w:sz w:val="20"/>
                <w:szCs w:val="20"/>
                <w:lang w:val="en-IE"/>
              </w:rPr>
              <w:t>I</w:t>
            </w:r>
            <w:r w:rsidRPr="001A38FF">
              <w:rPr>
                <w:rFonts w:eastAsia="Times New Roman"/>
                <w:noProof/>
                <w:color w:val="006100"/>
                <w:sz w:val="20"/>
                <w:szCs w:val="20"/>
                <w:lang w:val="en-IE"/>
              </w:rPr>
              <w:t xml:space="preserve">nvestments </w:t>
            </w:r>
            <w:r>
              <w:rPr>
                <w:rFonts w:eastAsia="Times New Roman"/>
                <w:noProof/>
                <w:color w:val="006100"/>
                <w:sz w:val="20"/>
                <w:szCs w:val="20"/>
                <w:lang w:val="en-IE"/>
              </w:rPr>
              <w:t xml:space="preserve">in </w:t>
            </w:r>
            <w:r w:rsidRPr="001A38FF">
              <w:rPr>
                <w:rFonts w:eastAsia="Times New Roman"/>
                <w:noProof/>
                <w:color w:val="006100"/>
                <w:sz w:val="20"/>
                <w:szCs w:val="20"/>
                <w:lang w:val="en-IE"/>
              </w:rPr>
              <w:t xml:space="preserve">distribution networks </w:t>
            </w:r>
          </w:p>
        </w:tc>
      </w:tr>
      <w:tr w:rsidRPr="00E03285" w:rsidR="00D226F4" w:rsidTr="004A6335" w14:paraId="1545934B" w14:textId="77777777">
        <w:trPr>
          <w:trHeight w:val="648"/>
        </w:trPr>
        <w:tc>
          <w:tcPr>
            <w:tcW w:w="1774" w:type="dxa"/>
            <w:shd w:val="clear" w:color="auto" w:fill="C6EFCE"/>
            <w:vAlign w:val="center"/>
            <w:hideMark/>
          </w:tcPr>
          <w:p w:rsidRPr="00E03285" w:rsidR="00D87E44" w:rsidRDefault="00D87E44" w14:paraId="15459347"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311</w:t>
            </w:r>
          </w:p>
        </w:tc>
        <w:tc>
          <w:tcPr>
            <w:tcW w:w="3287" w:type="dxa"/>
            <w:shd w:val="clear" w:color="auto" w:fill="C6EFCE"/>
            <w:vAlign w:val="center"/>
            <w:hideMark/>
          </w:tcPr>
          <w:p w:rsidRPr="00E03285" w:rsidR="00D87E44" w:rsidRDefault="00D87E44" w14:paraId="1545934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7.2 Supporting </w:t>
            </w:r>
            <w:r>
              <w:rPr>
                <w:rFonts w:eastAsia="Times New Roman"/>
                <w:noProof/>
                <w:color w:val="006100"/>
                <w:sz w:val="20"/>
                <w:szCs w:val="20"/>
                <w:lang w:val="en-IE"/>
              </w:rPr>
              <w:t>D</w:t>
            </w:r>
            <w:r w:rsidRPr="00E03285">
              <w:rPr>
                <w:rFonts w:eastAsia="Times New Roman"/>
                <w:noProof/>
                <w:color w:val="006100"/>
                <w:sz w:val="20"/>
                <w:szCs w:val="20"/>
                <w:lang w:val="en-IE"/>
              </w:rPr>
              <w:t xml:space="preserve">ecentralisation and </w:t>
            </w:r>
            <w:r>
              <w:rPr>
                <w:rFonts w:eastAsia="Times New Roman"/>
                <w:noProof/>
                <w:color w:val="006100"/>
                <w:sz w:val="20"/>
                <w:szCs w:val="20"/>
                <w:lang w:val="en-IE"/>
              </w:rPr>
              <w:t>D</w:t>
            </w:r>
            <w:r w:rsidRPr="00E03285">
              <w:rPr>
                <w:rFonts w:eastAsia="Times New Roman"/>
                <w:noProof/>
                <w:color w:val="006100"/>
                <w:sz w:val="20"/>
                <w:szCs w:val="20"/>
                <w:lang w:val="en-IE"/>
              </w:rPr>
              <w:t xml:space="preserve">igitalisation of the </w:t>
            </w:r>
            <w:r>
              <w:rPr>
                <w:rFonts w:eastAsia="Times New Roman"/>
                <w:noProof/>
                <w:color w:val="006100"/>
                <w:sz w:val="20"/>
                <w:szCs w:val="20"/>
                <w:lang w:val="en-IE"/>
              </w:rPr>
              <w:t>E</w:t>
            </w:r>
            <w:r w:rsidRPr="00E03285">
              <w:rPr>
                <w:rFonts w:eastAsia="Times New Roman"/>
                <w:noProof/>
                <w:color w:val="006100"/>
                <w:sz w:val="20"/>
                <w:szCs w:val="20"/>
                <w:lang w:val="en-IE"/>
              </w:rPr>
              <w:t xml:space="preserve">nergy </w:t>
            </w:r>
            <w:r>
              <w:rPr>
                <w:rFonts w:eastAsia="Times New Roman"/>
                <w:noProof/>
                <w:color w:val="006100"/>
                <w:sz w:val="20"/>
                <w:szCs w:val="20"/>
                <w:lang w:val="en-IE"/>
              </w:rPr>
              <w:lastRenderedPageBreak/>
              <w:t>S</w:t>
            </w:r>
            <w:r w:rsidRPr="00E03285">
              <w:rPr>
                <w:rFonts w:eastAsia="Times New Roman"/>
                <w:noProof/>
                <w:color w:val="006100"/>
                <w:sz w:val="20"/>
                <w:szCs w:val="20"/>
                <w:lang w:val="en-IE"/>
              </w:rPr>
              <w:t xml:space="preserve">ector (REPOWER EU) - </w:t>
            </w:r>
            <w:r>
              <w:rPr>
                <w:rFonts w:eastAsia="Times New Roman"/>
                <w:noProof/>
                <w:color w:val="006100"/>
                <w:sz w:val="20"/>
                <w:szCs w:val="20"/>
                <w:lang w:val="en-IE"/>
              </w:rPr>
              <w:t>Reform</w:t>
            </w:r>
            <w:r w:rsidRPr="00E03285">
              <w:rPr>
                <w:rFonts w:eastAsia="Times New Roman"/>
                <w:noProof/>
                <w:color w:val="006100"/>
                <w:sz w:val="20"/>
                <w:szCs w:val="20"/>
                <w:lang w:val="en-IE"/>
              </w:rPr>
              <w:t xml:space="preserve"> </w:t>
            </w:r>
            <w:r>
              <w:rPr>
                <w:rFonts w:eastAsia="Times New Roman"/>
                <w:noProof/>
                <w:color w:val="006100"/>
                <w:sz w:val="20"/>
                <w:szCs w:val="20"/>
                <w:lang w:val="en-IE"/>
              </w:rPr>
              <w:t>3</w:t>
            </w:r>
            <w:r w:rsidRPr="00E03285">
              <w:rPr>
                <w:rFonts w:eastAsia="Times New Roman"/>
                <w:noProof/>
                <w:color w:val="006100"/>
                <w:sz w:val="20"/>
                <w:szCs w:val="20"/>
                <w:lang w:val="en-IE"/>
              </w:rPr>
              <w:t>:  Electricity Data Centre</w:t>
            </w:r>
          </w:p>
        </w:tc>
        <w:tc>
          <w:tcPr>
            <w:tcW w:w="2325" w:type="dxa"/>
            <w:shd w:val="clear" w:color="auto" w:fill="C6EFCE"/>
            <w:vAlign w:val="center"/>
            <w:hideMark/>
          </w:tcPr>
          <w:p w:rsidRPr="00E03285" w:rsidR="00D87E44" w:rsidRDefault="00D87E44" w14:paraId="15459349"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lastRenderedPageBreak/>
              <w:t>Milestone</w:t>
            </w:r>
          </w:p>
        </w:tc>
        <w:tc>
          <w:tcPr>
            <w:tcW w:w="3043" w:type="dxa"/>
            <w:gridSpan w:val="2"/>
            <w:shd w:val="clear" w:color="auto" w:fill="C6EFCE"/>
            <w:vAlign w:val="center"/>
            <w:hideMark/>
          </w:tcPr>
          <w:p w:rsidRPr="00E03285" w:rsidR="00D87E44" w:rsidRDefault="00D87E44" w14:paraId="1545934A"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Electricity Data Centre: technical flexibility functionalities</w:t>
            </w:r>
          </w:p>
        </w:tc>
      </w:tr>
      <w:tr w:rsidRPr="00E03285" w:rsidR="00E3458A" w:rsidTr="004A6335" w14:paraId="15459350" w14:textId="77777777">
        <w:trPr>
          <w:gridAfter w:val="1"/>
          <w:wAfter w:w="146" w:type="dxa"/>
          <w:trHeight w:val="648"/>
        </w:trPr>
        <w:tc>
          <w:tcPr>
            <w:tcW w:w="1774" w:type="dxa"/>
            <w:shd w:val="clear" w:color="auto" w:fill="C6EFCE"/>
            <w:vAlign w:val="center"/>
            <w:hideMark/>
          </w:tcPr>
          <w:p w:rsidRPr="00E03285" w:rsidR="00D87E44" w:rsidRDefault="00D87E44" w14:paraId="1545934C"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314</w:t>
            </w:r>
          </w:p>
        </w:tc>
        <w:tc>
          <w:tcPr>
            <w:tcW w:w="3287" w:type="dxa"/>
            <w:shd w:val="clear" w:color="auto" w:fill="C6EFCE"/>
            <w:vAlign w:val="center"/>
            <w:hideMark/>
          </w:tcPr>
          <w:p w:rsidRPr="00E03285" w:rsidR="00D87E44" w:rsidRDefault="00D87E44" w14:paraId="1545934D"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7.2 Supporting </w:t>
            </w:r>
            <w:r>
              <w:rPr>
                <w:rFonts w:eastAsia="Times New Roman"/>
                <w:noProof/>
                <w:color w:val="006100"/>
                <w:sz w:val="20"/>
                <w:szCs w:val="20"/>
                <w:lang w:val="en-IE"/>
              </w:rPr>
              <w:t>D</w:t>
            </w:r>
            <w:r w:rsidRPr="00E03285">
              <w:rPr>
                <w:rFonts w:eastAsia="Times New Roman"/>
                <w:noProof/>
                <w:color w:val="006100"/>
                <w:sz w:val="20"/>
                <w:szCs w:val="20"/>
                <w:lang w:val="en-IE"/>
              </w:rPr>
              <w:t xml:space="preserve">ecentralisation and </w:t>
            </w:r>
            <w:r>
              <w:rPr>
                <w:rFonts w:eastAsia="Times New Roman"/>
                <w:noProof/>
                <w:color w:val="006100"/>
                <w:sz w:val="20"/>
                <w:szCs w:val="20"/>
                <w:lang w:val="en-IE"/>
              </w:rPr>
              <w:t>D</w:t>
            </w:r>
            <w:r w:rsidRPr="00E03285">
              <w:rPr>
                <w:rFonts w:eastAsia="Times New Roman"/>
                <w:noProof/>
                <w:color w:val="006100"/>
                <w:sz w:val="20"/>
                <w:szCs w:val="20"/>
                <w:lang w:val="en-IE"/>
              </w:rPr>
              <w:t xml:space="preserve">igitalisation of the </w:t>
            </w:r>
            <w:r>
              <w:rPr>
                <w:rFonts w:eastAsia="Times New Roman"/>
                <w:noProof/>
                <w:color w:val="006100"/>
                <w:sz w:val="20"/>
                <w:szCs w:val="20"/>
                <w:lang w:val="en-IE"/>
              </w:rPr>
              <w:t>E</w:t>
            </w:r>
            <w:r w:rsidRPr="00E03285">
              <w:rPr>
                <w:rFonts w:eastAsia="Times New Roman"/>
                <w:noProof/>
                <w:color w:val="006100"/>
                <w:sz w:val="20"/>
                <w:szCs w:val="20"/>
                <w:lang w:val="en-IE"/>
              </w:rPr>
              <w:t xml:space="preserve">nergy </w:t>
            </w:r>
            <w:r>
              <w:rPr>
                <w:rFonts w:eastAsia="Times New Roman"/>
                <w:noProof/>
                <w:color w:val="006100"/>
                <w:sz w:val="20"/>
                <w:szCs w:val="20"/>
                <w:lang w:val="en-IE"/>
              </w:rPr>
              <w:t>S</w:t>
            </w:r>
            <w:r w:rsidRPr="00E03285">
              <w:rPr>
                <w:rFonts w:eastAsia="Times New Roman"/>
                <w:noProof/>
                <w:color w:val="006100"/>
                <w:sz w:val="20"/>
                <w:szCs w:val="20"/>
                <w:lang w:val="en-IE"/>
              </w:rPr>
              <w:t>ector (REPOWER EU) - Reform 1: Energy communities</w:t>
            </w:r>
          </w:p>
        </w:tc>
        <w:tc>
          <w:tcPr>
            <w:tcW w:w="2325" w:type="dxa"/>
            <w:shd w:val="clear" w:color="auto" w:fill="C6EFCE"/>
            <w:vAlign w:val="center"/>
            <w:hideMark/>
          </w:tcPr>
          <w:p w:rsidRPr="00E03285" w:rsidR="00D87E44" w:rsidRDefault="00D87E44" w14:paraId="1545934E"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Milestone</w:t>
            </w:r>
          </w:p>
        </w:tc>
        <w:tc>
          <w:tcPr>
            <w:tcW w:w="2897" w:type="dxa"/>
            <w:shd w:val="clear" w:color="auto" w:fill="C6EFCE"/>
            <w:vAlign w:val="center"/>
            <w:hideMark/>
          </w:tcPr>
          <w:p w:rsidRPr="00E03285" w:rsidR="00D87E44" w:rsidRDefault="00D87E44" w14:paraId="1545934F"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Guidelines on energy communities</w:t>
            </w:r>
          </w:p>
        </w:tc>
      </w:tr>
      <w:tr w:rsidR="00E3458A" w:rsidTr="004A6335" w14:paraId="15459355" w14:textId="77777777">
        <w:trPr>
          <w:gridAfter w:val="1"/>
          <w:wAfter w:w="146" w:type="dxa"/>
          <w:trHeight w:val="648"/>
        </w:trPr>
        <w:tc>
          <w:tcPr>
            <w:tcW w:w="1774" w:type="dxa"/>
            <w:shd w:val="clear" w:color="auto" w:fill="C6EFCE"/>
            <w:vAlign w:val="center"/>
            <w:hideMark/>
          </w:tcPr>
          <w:p w:rsidRPr="00FF1320" w:rsidR="00D87E44" w:rsidRDefault="00D87E44" w14:paraId="15459351" w14:textId="77777777">
            <w:pPr>
              <w:spacing w:line="240" w:lineRule="auto"/>
              <w:jc w:val="center"/>
              <w:rPr>
                <w:color w:val="004300"/>
                <w:sz w:val="20"/>
                <w:lang w:val="en-IE"/>
              </w:rPr>
            </w:pPr>
            <w:r w:rsidRPr="00FF1320">
              <w:rPr>
                <w:color w:val="004300"/>
                <w:sz w:val="20"/>
                <w:lang w:val="en-IE"/>
              </w:rPr>
              <w:t>32</w:t>
            </w:r>
            <w:r w:rsidRPr="387B5440">
              <w:rPr>
                <w:rFonts w:eastAsia="Times New Roman"/>
                <w:noProof/>
                <w:color w:val="004300"/>
                <w:sz w:val="20"/>
                <w:szCs w:val="20"/>
                <w:lang w:val="en-IE"/>
              </w:rPr>
              <w:t>6</w:t>
            </w:r>
          </w:p>
        </w:tc>
        <w:tc>
          <w:tcPr>
            <w:tcW w:w="3287" w:type="dxa"/>
            <w:shd w:val="clear" w:color="auto" w:fill="C6EFCE"/>
            <w:vAlign w:val="center"/>
            <w:hideMark/>
          </w:tcPr>
          <w:p w:rsidR="00D87E44" w:rsidRDefault="00D87E44" w14:paraId="15459352"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C 7.4: School Adaptation – Promoting green skills and sustainability in universities (REPOWEREU) - Reform 1: Transformation of universities to adapt to changing needs of the labour market</w:t>
            </w:r>
          </w:p>
        </w:tc>
        <w:tc>
          <w:tcPr>
            <w:tcW w:w="2325" w:type="dxa"/>
            <w:shd w:val="clear" w:color="auto" w:fill="C6EFCE"/>
            <w:vAlign w:val="center"/>
            <w:hideMark/>
          </w:tcPr>
          <w:p w:rsidR="00D87E44" w:rsidRDefault="00D87E44" w14:paraId="15459353" w14:textId="77777777">
            <w:pPr>
              <w:spacing w:line="240" w:lineRule="auto"/>
              <w:jc w:val="center"/>
              <w:rPr>
                <w:rFonts w:eastAsia="Times New Roman"/>
                <w:noProof/>
                <w:color w:val="006100"/>
                <w:sz w:val="20"/>
                <w:szCs w:val="20"/>
                <w:lang w:val="en-IE"/>
              </w:rPr>
            </w:pPr>
            <w:r w:rsidRPr="387B5440">
              <w:rPr>
                <w:rFonts w:eastAsia="Times New Roman"/>
                <w:noProof/>
                <w:color w:val="006100"/>
                <w:sz w:val="20"/>
                <w:szCs w:val="20"/>
                <w:lang w:val="en-IE"/>
              </w:rPr>
              <w:t>Target</w:t>
            </w:r>
          </w:p>
        </w:tc>
        <w:tc>
          <w:tcPr>
            <w:tcW w:w="2897" w:type="dxa"/>
            <w:shd w:val="clear" w:color="auto" w:fill="C6EFCE"/>
            <w:vAlign w:val="center"/>
            <w:hideMark/>
          </w:tcPr>
          <w:p w:rsidR="00D87E44" w:rsidRDefault="00D87E44" w14:paraId="15459354"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Accreditation of study programmes</w:t>
            </w:r>
          </w:p>
        </w:tc>
      </w:tr>
      <w:tr w:rsidRPr="00E03285" w:rsidR="00E3458A" w:rsidTr="004A6335" w14:paraId="1545935A" w14:textId="77777777">
        <w:trPr>
          <w:gridAfter w:val="1"/>
          <w:wAfter w:w="146" w:type="dxa"/>
          <w:trHeight w:val="648"/>
        </w:trPr>
        <w:tc>
          <w:tcPr>
            <w:tcW w:w="1774" w:type="dxa"/>
            <w:shd w:val="clear" w:color="auto" w:fill="C6EFCE"/>
            <w:vAlign w:val="center"/>
            <w:hideMark/>
          </w:tcPr>
          <w:p w:rsidRPr="00E03285" w:rsidR="00D87E44" w:rsidRDefault="00D87E44" w14:paraId="15459356"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346</w:t>
            </w:r>
          </w:p>
        </w:tc>
        <w:tc>
          <w:tcPr>
            <w:tcW w:w="3287" w:type="dxa"/>
            <w:shd w:val="clear" w:color="auto" w:fill="C6EFCE"/>
            <w:vAlign w:val="center"/>
            <w:hideMark/>
          </w:tcPr>
          <w:p w:rsidRPr="00E03285" w:rsidR="00D87E44" w:rsidRDefault="00D87E44" w14:paraId="15459357"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C 7.7 Simplifying </w:t>
            </w:r>
            <w:r>
              <w:rPr>
                <w:rFonts w:eastAsia="Times New Roman"/>
                <w:noProof/>
                <w:color w:val="006100"/>
                <w:sz w:val="20"/>
                <w:szCs w:val="20"/>
                <w:lang w:val="en-IE"/>
              </w:rPr>
              <w:t>E</w:t>
            </w:r>
            <w:r w:rsidRPr="00E03285">
              <w:rPr>
                <w:rFonts w:eastAsia="Times New Roman"/>
                <w:noProof/>
                <w:color w:val="006100"/>
                <w:sz w:val="20"/>
                <w:szCs w:val="20"/>
                <w:lang w:val="en-IE"/>
              </w:rPr>
              <w:t xml:space="preserve">nvironmental </w:t>
            </w:r>
            <w:r>
              <w:rPr>
                <w:rFonts w:eastAsia="Times New Roman"/>
                <w:noProof/>
                <w:color w:val="006100"/>
                <w:sz w:val="20"/>
                <w:szCs w:val="20"/>
                <w:lang w:val="en-IE"/>
              </w:rPr>
              <w:t>P</w:t>
            </w:r>
            <w:r w:rsidRPr="00E03285">
              <w:rPr>
                <w:rFonts w:eastAsia="Times New Roman"/>
                <w:noProof/>
                <w:color w:val="006100"/>
                <w:sz w:val="20"/>
                <w:szCs w:val="20"/>
                <w:lang w:val="en-IE"/>
              </w:rPr>
              <w:t xml:space="preserve">ermitting </w:t>
            </w:r>
            <w:r>
              <w:rPr>
                <w:rFonts w:eastAsia="Times New Roman"/>
                <w:noProof/>
                <w:color w:val="006100"/>
                <w:sz w:val="20"/>
                <w:szCs w:val="20"/>
                <w:lang w:val="en-IE"/>
              </w:rPr>
              <w:t>P</w:t>
            </w:r>
            <w:r w:rsidRPr="00E03285">
              <w:rPr>
                <w:rFonts w:eastAsia="Times New Roman"/>
                <w:noProof/>
                <w:color w:val="006100"/>
                <w:sz w:val="20"/>
                <w:szCs w:val="20"/>
                <w:lang w:val="en-IE"/>
              </w:rPr>
              <w:t xml:space="preserve">rocesses and </w:t>
            </w:r>
            <w:r>
              <w:rPr>
                <w:rFonts w:eastAsia="Times New Roman"/>
                <w:noProof/>
                <w:color w:val="006100"/>
                <w:sz w:val="20"/>
                <w:szCs w:val="20"/>
                <w:lang w:val="en-IE"/>
              </w:rPr>
              <w:t>D</w:t>
            </w:r>
            <w:r w:rsidRPr="00E03285">
              <w:rPr>
                <w:rFonts w:eastAsia="Times New Roman"/>
                <w:noProof/>
                <w:color w:val="006100"/>
                <w:sz w:val="20"/>
                <w:szCs w:val="20"/>
                <w:lang w:val="en-IE"/>
              </w:rPr>
              <w:t xml:space="preserve">efining </w:t>
            </w:r>
            <w:r>
              <w:rPr>
                <w:rFonts w:eastAsia="Times New Roman"/>
                <w:noProof/>
                <w:color w:val="006100"/>
                <w:sz w:val="20"/>
                <w:szCs w:val="20"/>
                <w:lang w:val="en-IE"/>
              </w:rPr>
              <w:t>A</w:t>
            </w:r>
            <w:r w:rsidRPr="00E03285">
              <w:rPr>
                <w:rFonts w:eastAsia="Times New Roman"/>
                <w:noProof/>
                <w:color w:val="006100"/>
                <w:sz w:val="20"/>
                <w:szCs w:val="20"/>
                <w:lang w:val="en-IE"/>
              </w:rPr>
              <w:t xml:space="preserve">reas for the </w:t>
            </w:r>
            <w:r>
              <w:rPr>
                <w:rFonts w:eastAsia="Times New Roman"/>
                <w:noProof/>
                <w:color w:val="006100"/>
                <w:sz w:val="20"/>
                <w:szCs w:val="20"/>
                <w:lang w:val="en-IE"/>
              </w:rPr>
              <w:t>D</w:t>
            </w:r>
            <w:r w:rsidRPr="00E03285">
              <w:rPr>
                <w:rFonts w:eastAsia="Times New Roman"/>
                <w:noProof/>
                <w:color w:val="006100"/>
                <w:sz w:val="20"/>
                <w:szCs w:val="20"/>
                <w:lang w:val="en-IE"/>
              </w:rPr>
              <w:t xml:space="preserve">evelopment of </w:t>
            </w:r>
            <w:r>
              <w:rPr>
                <w:rFonts w:eastAsia="Times New Roman"/>
                <w:noProof/>
                <w:color w:val="006100"/>
                <w:sz w:val="20"/>
                <w:szCs w:val="20"/>
                <w:lang w:val="en-IE"/>
              </w:rPr>
              <w:t>R</w:t>
            </w:r>
            <w:r w:rsidRPr="00E03285">
              <w:rPr>
                <w:rFonts w:eastAsia="Times New Roman"/>
                <w:noProof/>
                <w:color w:val="006100"/>
                <w:sz w:val="20"/>
                <w:szCs w:val="20"/>
                <w:lang w:val="en-IE"/>
              </w:rPr>
              <w:t xml:space="preserve">enewable </w:t>
            </w:r>
            <w:r>
              <w:rPr>
                <w:rFonts w:eastAsia="Times New Roman"/>
                <w:noProof/>
                <w:color w:val="006100"/>
                <w:sz w:val="20"/>
                <w:szCs w:val="20"/>
                <w:lang w:val="en-IE"/>
              </w:rPr>
              <w:t>E</w:t>
            </w:r>
            <w:r w:rsidRPr="00E03285">
              <w:rPr>
                <w:rFonts w:eastAsia="Times New Roman"/>
                <w:noProof/>
                <w:color w:val="006100"/>
                <w:sz w:val="20"/>
                <w:szCs w:val="20"/>
                <w:lang w:val="en-IE"/>
              </w:rPr>
              <w:t xml:space="preserve">nergy </w:t>
            </w:r>
            <w:r>
              <w:rPr>
                <w:rFonts w:eastAsia="Times New Roman"/>
                <w:noProof/>
                <w:color w:val="006100"/>
                <w:sz w:val="20"/>
                <w:szCs w:val="20"/>
                <w:lang w:val="en-IE"/>
              </w:rPr>
              <w:t>S</w:t>
            </w:r>
            <w:r w:rsidRPr="00E03285">
              <w:rPr>
                <w:rFonts w:eastAsia="Times New Roman"/>
                <w:noProof/>
                <w:color w:val="006100"/>
                <w:sz w:val="20"/>
                <w:szCs w:val="20"/>
                <w:lang w:val="en-IE"/>
              </w:rPr>
              <w:t>ources (REPOWER EU) - Reform 2: Renewables acceleration areas</w:t>
            </w:r>
          </w:p>
        </w:tc>
        <w:tc>
          <w:tcPr>
            <w:tcW w:w="2325" w:type="dxa"/>
            <w:shd w:val="clear" w:color="auto" w:fill="C6EFCE"/>
            <w:vAlign w:val="center"/>
            <w:hideMark/>
          </w:tcPr>
          <w:p w:rsidRPr="00E03285" w:rsidR="00D87E44" w:rsidRDefault="00D87E44" w14:paraId="15459358"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Target</w:t>
            </w:r>
          </w:p>
        </w:tc>
        <w:tc>
          <w:tcPr>
            <w:tcW w:w="2897" w:type="dxa"/>
            <w:shd w:val="clear" w:color="auto" w:fill="C6EFCE"/>
            <w:vAlign w:val="center"/>
            <w:hideMark/>
          </w:tcPr>
          <w:p w:rsidRPr="00E03285" w:rsidR="00D87E44" w:rsidRDefault="00D87E44" w14:paraId="15459359"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 xml:space="preserve">Designation of renewables </w:t>
            </w:r>
            <w:r w:rsidRPr="00E03285">
              <w:rPr>
                <w:rFonts w:eastAsia="Times New Roman"/>
                <w:noProof/>
                <w:color w:val="006100"/>
                <w:sz w:val="20"/>
                <w:szCs w:val="20"/>
                <w:lang w:val="en-IE"/>
              </w:rPr>
              <w:t>acceleration areas</w:t>
            </w:r>
          </w:p>
        </w:tc>
      </w:tr>
      <w:tr w:rsidRPr="00E03285" w:rsidR="00E3458A" w:rsidTr="004A6335" w14:paraId="1545935F" w14:textId="77777777">
        <w:trPr>
          <w:gridAfter w:val="1"/>
          <w:wAfter w:w="146" w:type="dxa"/>
          <w:trHeight w:val="648"/>
        </w:trPr>
        <w:tc>
          <w:tcPr>
            <w:tcW w:w="1774" w:type="dxa"/>
            <w:shd w:val="clear" w:color="auto" w:fill="C6EFCE"/>
            <w:vAlign w:val="center"/>
            <w:hideMark/>
          </w:tcPr>
          <w:p w:rsidRPr="00E03285" w:rsidR="00D87E44" w:rsidRDefault="00D87E44" w14:paraId="1545935B"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347</w:t>
            </w:r>
          </w:p>
        </w:tc>
        <w:tc>
          <w:tcPr>
            <w:tcW w:w="3287" w:type="dxa"/>
            <w:shd w:val="clear" w:color="auto" w:fill="C6EFCE"/>
            <w:vAlign w:val="center"/>
            <w:hideMark/>
          </w:tcPr>
          <w:p w:rsidRPr="00957D67" w:rsidR="00D87E44" w:rsidRDefault="00D87E44" w14:paraId="1545935C" w14:textId="77777777">
            <w:pPr>
              <w:spacing w:line="240" w:lineRule="auto"/>
              <w:jc w:val="center"/>
              <w:rPr>
                <w:rFonts w:eastAsia="Times New Roman"/>
                <w:noProof/>
                <w:color w:val="006100"/>
                <w:sz w:val="20"/>
                <w:szCs w:val="20"/>
                <w:lang w:val="en-IE"/>
              </w:rPr>
            </w:pPr>
            <w:r w:rsidRPr="005313DB">
              <w:rPr>
                <w:noProof/>
                <w:color w:val="006100"/>
                <w:sz w:val="20"/>
                <w:szCs w:val="20"/>
                <w:lang w:val="en-IE"/>
              </w:rPr>
              <w:t>C 1.7 Digital Transformation of Public Administration - Reform</w:t>
            </w:r>
            <w:r w:rsidRPr="00146B99">
              <w:rPr>
                <w:noProof/>
                <w:color w:val="006100"/>
                <w:sz w:val="20"/>
                <w:szCs w:val="20"/>
                <w:lang w:val="en-IE"/>
              </w:rPr>
              <w:t xml:space="preserve"> 1: </w:t>
            </w:r>
            <w:r w:rsidRPr="65B926C5">
              <w:rPr>
                <w:noProof/>
                <w:color w:val="006100"/>
                <w:sz w:val="20"/>
                <w:szCs w:val="20"/>
                <w:lang w:val="en-IE"/>
              </w:rPr>
              <w:t>Legislative act on data management and controlled access to data</w:t>
            </w:r>
          </w:p>
        </w:tc>
        <w:tc>
          <w:tcPr>
            <w:tcW w:w="2325" w:type="dxa"/>
            <w:shd w:val="clear" w:color="auto" w:fill="C6EFCE"/>
            <w:vAlign w:val="center"/>
            <w:hideMark/>
          </w:tcPr>
          <w:p w:rsidRPr="00E03285" w:rsidR="00D87E44" w:rsidP="4A45BCA2" w:rsidRDefault="00D87E44" w14:paraId="1545935D"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 xml:space="preserve"> Milestone</w:t>
            </w:r>
          </w:p>
        </w:tc>
        <w:tc>
          <w:tcPr>
            <w:tcW w:w="2897" w:type="dxa"/>
            <w:shd w:val="clear" w:color="auto" w:fill="C6EFCE"/>
            <w:vAlign w:val="center"/>
            <w:hideMark/>
          </w:tcPr>
          <w:p w:rsidRPr="00E03285" w:rsidR="00D87E44" w:rsidP="00756143" w:rsidRDefault="00D87E44" w14:paraId="1545935E" w14:textId="77777777">
            <w:pPr>
              <w:spacing w:line="240" w:lineRule="auto"/>
              <w:jc w:val="center"/>
              <w:rPr>
                <w:rFonts w:eastAsia="Times New Roman"/>
                <w:noProof/>
                <w:color w:val="006100"/>
                <w:sz w:val="20"/>
                <w:szCs w:val="20"/>
                <w:lang w:val="en-IE"/>
              </w:rPr>
            </w:pPr>
            <w:r w:rsidRPr="4A45BCA2">
              <w:rPr>
                <w:rFonts w:eastAsia="Times New Roman"/>
                <w:noProof/>
                <w:color w:val="006100"/>
                <w:sz w:val="20"/>
                <w:szCs w:val="20"/>
                <w:lang w:val="en-IE"/>
              </w:rPr>
              <w:t>Legislative act on data management and controlled access to data</w:t>
            </w:r>
          </w:p>
        </w:tc>
      </w:tr>
      <w:tr w:rsidRPr="00E03285" w:rsidR="00E3458A" w:rsidTr="004A6335" w14:paraId="15459364" w14:textId="77777777">
        <w:trPr>
          <w:gridAfter w:val="1"/>
          <w:wAfter w:w="146" w:type="dxa"/>
          <w:trHeight w:val="648"/>
        </w:trPr>
        <w:tc>
          <w:tcPr>
            <w:tcW w:w="1774" w:type="dxa"/>
            <w:shd w:val="clear" w:color="auto" w:fill="C6EFCE"/>
            <w:vAlign w:val="center"/>
            <w:hideMark/>
          </w:tcPr>
          <w:p w:rsidRPr="00E03285" w:rsidR="00D87E44" w:rsidRDefault="00D87E44" w14:paraId="15459360" w14:textId="77777777">
            <w:pPr>
              <w:spacing w:line="240" w:lineRule="auto"/>
              <w:jc w:val="center"/>
              <w:rPr>
                <w:rFonts w:eastAsia="Times New Roman"/>
                <w:noProof/>
                <w:color w:val="006100"/>
                <w:sz w:val="20"/>
                <w:szCs w:val="20"/>
                <w:lang w:val="en-IE"/>
              </w:rPr>
            </w:pPr>
            <w:r w:rsidRPr="00E03285">
              <w:rPr>
                <w:rFonts w:eastAsia="Times New Roman"/>
                <w:noProof/>
                <w:color w:val="006100"/>
                <w:sz w:val="20"/>
                <w:szCs w:val="20"/>
                <w:lang w:val="en-IE"/>
              </w:rPr>
              <w:t>348</w:t>
            </w:r>
          </w:p>
        </w:tc>
        <w:tc>
          <w:tcPr>
            <w:tcW w:w="3287" w:type="dxa"/>
            <w:shd w:val="clear" w:color="auto" w:fill="C6EFCE"/>
            <w:vAlign w:val="center"/>
            <w:hideMark/>
          </w:tcPr>
          <w:p w:rsidRPr="00957D67" w:rsidR="00D87E44" w:rsidRDefault="00D87E44" w14:paraId="15459361" w14:textId="77777777">
            <w:pPr>
              <w:spacing w:line="240" w:lineRule="auto"/>
              <w:jc w:val="center"/>
              <w:rPr>
                <w:rFonts w:eastAsia="Times New Roman"/>
                <w:noProof/>
                <w:color w:val="006100"/>
                <w:sz w:val="20"/>
                <w:szCs w:val="20"/>
                <w:lang w:val="en-IE"/>
              </w:rPr>
            </w:pPr>
            <w:r w:rsidRPr="00BA7112">
              <w:rPr>
                <w:noProof/>
                <w:color w:val="006100"/>
                <w:sz w:val="20"/>
                <w:szCs w:val="20"/>
                <w:lang w:val="en-IE"/>
              </w:rPr>
              <w:t xml:space="preserve">C 2.1: </w:t>
            </w:r>
            <w:r w:rsidRPr="00BA7112">
              <w:rPr>
                <w:noProof/>
                <w:color w:val="006100"/>
                <w:sz w:val="20"/>
                <w:szCs w:val="20"/>
                <w:lang w:val="en-IE"/>
              </w:rPr>
              <w:t>Sustainable Transport - Investment 1: Application of modern technologies to railway infrastructure</w:t>
            </w:r>
          </w:p>
        </w:tc>
        <w:tc>
          <w:tcPr>
            <w:tcW w:w="2325" w:type="dxa"/>
            <w:shd w:val="clear" w:color="auto" w:fill="C6EFCE"/>
            <w:vAlign w:val="center"/>
            <w:hideMark/>
          </w:tcPr>
          <w:p w:rsidRPr="00957D67" w:rsidR="00D87E44" w:rsidRDefault="00D87E44" w14:paraId="15459362" w14:textId="77777777">
            <w:pPr>
              <w:spacing w:line="240" w:lineRule="auto"/>
              <w:jc w:val="center"/>
              <w:rPr>
                <w:rFonts w:eastAsia="Times New Roman"/>
                <w:noProof/>
                <w:color w:val="006100"/>
                <w:sz w:val="20"/>
                <w:szCs w:val="20"/>
                <w:lang w:val="en-IE"/>
              </w:rPr>
            </w:pPr>
            <w:r w:rsidRPr="00957D67">
              <w:rPr>
                <w:rFonts w:eastAsia="Times New Roman"/>
                <w:noProof/>
                <w:color w:val="006100"/>
                <w:sz w:val="20"/>
                <w:szCs w:val="20"/>
                <w:lang w:val="en-IE"/>
              </w:rPr>
              <w:t>Target</w:t>
            </w:r>
          </w:p>
        </w:tc>
        <w:tc>
          <w:tcPr>
            <w:tcW w:w="2897" w:type="dxa"/>
            <w:shd w:val="clear" w:color="auto" w:fill="C6EFCE"/>
            <w:vAlign w:val="center"/>
            <w:hideMark/>
          </w:tcPr>
          <w:p w:rsidRPr="00957D67" w:rsidR="00D87E44" w:rsidRDefault="00D87E44" w14:paraId="15459363" w14:textId="77777777">
            <w:pPr>
              <w:spacing w:line="240" w:lineRule="auto"/>
              <w:jc w:val="center"/>
              <w:rPr>
                <w:rFonts w:eastAsia="Times New Roman"/>
                <w:noProof/>
                <w:color w:val="006100"/>
                <w:sz w:val="20"/>
                <w:szCs w:val="20"/>
                <w:lang w:val="en-IE"/>
              </w:rPr>
            </w:pPr>
            <w:r w:rsidRPr="329896E8">
              <w:rPr>
                <w:noProof/>
                <w:color w:val="006100"/>
                <w:sz w:val="20"/>
                <w:szCs w:val="20"/>
                <w:lang w:val="en-IE"/>
              </w:rPr>
              <w:t>Coverage</w:t>
            </w:r>
            <w:r w:rsidRPr="00BA7112">
              <w:rPr>
                <w:noProof/>
                <w:color w:val="006100"/>
                <w:sz w:val="20"/>
                <w:szCs w:val="20"/>
                <w:lang w:val="en-IE"/>
              </w:rPr>
              <w:t xml:space="preserve"> of 67,6 km of lines with </w:t>
            </w:r>
            <w:r w:rsidRPr="329896E8">
              <w:rPr>
                <w:noProof/>
                <w:color w:val="006100"/>
                <w:sz w:val="20"/>
                <w:szCs w:val="20"/>
                <w:lang w:val="en-IE"/>
              </w:rPr>
              <w:t xml:space="preserve">ETCS </w:t>
            </w:r>
          </w:p>
        </w:tc>
      </w:tr>
      <w:tr w:rsidRPr="00E03285" w:rsidR="00E3458A" w:rsidTr="004A6335" w14:paraId="15459369" w14:textId="77777777">
        <w:trPr>
          <w:gridAfter w:val="1"/>
          <w:wAfter w:w="146" w:type="dxa"/>
          <w:trHeight w:val="648"/>
        </w:trPr>
        <w:tc>
          <w:tcPr>
            <w:tcW w:w="1774" w:type="dxa"/>
            <w:shd w:val="clear" w:color="auto" w:fill="C6EFCE"/>
            <w:vAlign w:val="center"/>
          </w:tcPr>
          <w:p w:rsidRPr="007D6957" w:rsidR="00D87E44" w:rsidRDefault="00D87E44" w14:paraId="15459365" w14:textId="77777777">
            <w:pPr>
              <w:spacing w:before="0" w:after="0" w:line="240" w:lineRule="auto"/>
              <w:jc w:val="center"/>
              <w:rPr>
                <w:noProof/>
                <w:color w:val="006100"/>
                <w:sz w:val="20"/>
              </w:rPr>
            </w:pPr>
          </w:p>
        </w:tc>
        <w:tc>
          <w:tcPr>
            <w:tcW w:w="3287" w:type="dxa"/>
            <w:shd w:val="clear" w:color="auto" w:fill="C6EFCE"/>
            <w:vAlign w:val="center"/>
          </w:tcPr>
          <w:p w:rsidRPr="00E03285" w:rsidR="00D87E44" w:rsidRDefault="00D87E44" w14:paraId="15459366" w14:textId="77777777">
            <w:pPr>
              <w:spacing w:before="0" w:after="0" w:line="240" w:lineRule="auto"/>
              <w:jc w:val="center"/>
              <w:rPr>
                <w:rFonts w:eastAsia="Times New Roman"/>
                <w:noProof/>
                <w:color w:val="006100"/>
                <w:sz w:val="20"/>
                <w:szCs w:val="20"/>
                <w:lang w:val="en-IE"/>
              </w:rPr>
            </w:pPr>
          </w:p>
        </w:tc>
        <w:tc>
          <w:tcPr>
            <w:tcW w:w="2325" w:type="dxa"/>
            <w:shd w:val="clear" w:color="auto" w:fill="C6EFCE"/>
            <w:vAlign w:val="center"/>
            <w:hideMark/>
          </w:tcPr>
          <w:p w:rsidRPr="00E03285" w:rsidR="00D87E44" w:rsidRDefault="00D87E44" w14:paraId="15459367" w14:textId="77777777">
            <w:pPr>
              <w:spacing w:before="0" w:after="0" w:line="240" w:lineRule="auto"/>
              <w:jc w:val="center"/>
              <w:rPr>
                <w:rFonts w:eastAsia="Times New Roman"/>
                <w:b/>
                <w:noProof/>
                <w:color w:val="006100"/>
                <w:sz w:val="20"/>
                <w:szCs w:val="20"/>
                <w:lang w:val="en-IE"/>
              </w:rPr>
            </w:pPr>
            <w:r w:rsidRPr="00E03285">
              <w:rPr>
                <w:rFonts w:eastAsia="Times New Roman"/>
                <w:b/>
                <w:noProof/>
                <w:color w:val="006100"/>
                <w:sz w:val="20"/>
                <w:szCs w:val="20"/>
                <w:lang w:val="en-IE"/>
              </w:rPr>
              <w:t>Instalment Amount</w:t>
            </w:r>
          </w:p>
        </w:tc>
        <w:tc>
          <w:tcPr>
            <w:tcW w:w="2897" w:type="dxa"/>
            <w:shd w:val="clear" w:color="auto" w:fill="C6EFCE"/>
            <w:vAlign w:val="center"/>
            <w:hideMark/>
          </w:tcPr>
          <w:p w:rsidRPr="00E03285" w:rsidR="00D87E44" w:rsidRDefault="00D87E44" w14:paraId="15459368" w14:textId="77777777">
            <w:pPr>
              <w:spacing w:before="0" w:after="0" w:line="240" w:lineRule="auto"/>
              <w:jc w:val="center"/>
              <w:rPr>
                <w:rFonts w:eastAsia="Times New Roman"/>
                <w:b/>
                <w:noProof/>
                <w:color w:val="006100"/>
                <w:sz w:val="20"/>
                <w:szCs w:val="20"/>
                <w:lang w:val="en-IE"/>
              </w:rPr>
            </w:pPr>
            <w:r w:rsidRPr="29C93A69">
              <w:rPr>
                <w:rFonts w:eastAsia="Times New Roman"/>
                <w:b/>
                <w:bCs/>
                <w:noProof/>
                <w:color w:val="006100"/>
                <w:sz w:val="20"/>
                <w:szCs w:val="20"/>
                <w:lang w:val="en-IE"/>
              </w:rPr>
              <w:t>EUR</w:t>
            </w:r>
            <w:r>
              <w:rPr>
                <w:rFonts w:eastAsia="Times New Roman"/>
                <w:b/>
                <w:bCs/>
                <w:noProof/>
                <w:color w:val="006100"/>
                <w:sz w:val="20"/>
                <w:szCs w:val="20"/>
                <w:lang w:val="en-IE"/>
              </w:rPr>
              <w:t xml:space="preserve"> </w:t>
            </w:r>
            <w:r w:rsidRPr="29C93A69">
              <w:rPr>
                <w:rFonts w:eastAsia="Times New Roman"/>
                <w:b/>
                <w:bCs/>
                <w:noProof/>
                <w:color w:val="006100"/>
                <w:sz w:val="20"/>
                <w:szCs w:val="20"/>
                <w:lang w:val="en-IE"/>
              </w:rPr>
              <w:t>1</w:t>
            </w:r>
            <w:r>
              <w:rPr>
                <w:rFonts w:eastAsia="Times New Roman"/>
                <w:b/>
                <w:bCs/>
                <w:noProof/>
                <w:color w:val="006100"/>
                <w:sz w:val="20"/>
                <w:szCs w:val="20"/>
                <w:lang w:val="en-IE"/>
              </w:rPr>
              <w:t> </w:t>
            </w:r>
            <w:r w:rsidRPr="29C93A69">
              <w:rPr>
                <w:rFonts w:eastAsia="Times New Roman"/>
                <w:b/>
                <w:bCs/>
                <w:noProof/>
                <w:color w:val="006100"/>
                <w:sz w:val="20"/>
                <w:szCs w:val="20"/>
                <w:lang w:val="en-IE"/>
              </w:rPr>
              <w:t>058</w:t>
            </w:r>
            <w:r>
              <w:rPr>
                <w:rFonts w:eastAsia="Times New Roman"/>
                <w:b/>
                <w:bCs/>
                <w:noProof/>
                <w:color w:val="006100"/>
                <w:sz w:val="20"/>
                <w:szCs w:val="20"/>
                <w:lang w:val="en-IE"/>
              </w:rPr>
              <w:t> </w:t>
            </w:r>
            <w:r w:rsidRPr="29C93A69">
              <w:rPr>
                <w:rFonts w:eastAsia="Times New Roman"/>
                <w:b/>
                <w:bCs/>
                <w:noProof/>
                <w:color w:val="006100"/>
                <w:sz w:val="20"/>
                <w:szCs w:val="20"/>
                <w:lang w:val="en-IE"/>
              </w:rPr>
              <w:t>870</w:t>
            </w:r>
            <w:r>
              <w:rPr>
                <w:rFonts w:eastAsia="Times New Roman"/>
                <w:b/>
                <w:bCs/>
                <w:noProof/>
                <w:color w:val="006100"/>
                <w:sz w:val="20"/>
                <w:szCs w:val="20"/>
                <w:lang w:val="en-IE"/>
              </w:rPr>
              <w:t> </w:t>
            </w:r>
            <w:r w:rsidRPr="29C93A69">
              <w:rPr>
                <w:rFonts w:eastAsia="Times New Roman"/>
                <w:b/>
                <w:bCs/>
                <w:noProof/>
                <w:color w:val="006100"/>
                <w:sz w:val="20"/>
                <w:szCs w:val="20"/>
                <w:lang w:val="en-IE"/>
              </w:rPr>
              <w:t>489</w:t>
            </w:r>
          </w:p>
        </w:tc>
      </w:tr>
    </w:tbl>
    <w:p w:rsidR="00D87E44" w:rsidP="00D226F4" w:rsidRDefault="00D87E44" w14:paraId="1545936A" w14:textId="77777777">
      <w:pPr>
        <w:rPr>
          <w:noProof/>
        </w:rPr>
      </w:pPr>
      <w:r>
        <w:rPr>
          <w:noProof/>
        </w:rPr>
        <w:br w:type="page"/>
      </w:r>
    </w:p>
    <w:p w:rsidR="00D87E44" w:rsidP="00D226F4" w:rsidRDefault="00D87E44" w14:paraId="1545936B" w14:textId="77777777">
      <w:pPr>
        <w:spacing w:before="0" w:after="0" w:line="240" w:lineRule="auto"/>
        <w:rPr>
          <w:rFonts w:eastAsia="Times New Roman"/>
          <w:b/>
          <w:noProof/>
          <w:lang w:val="en-IE"/>
        </w:rPr>
      </w:pPr>
      <w:r w:rsidRPr="749A9F39">
        <w:rPr>
          <w:rFonts w:eastAsia="Times New Roman"/>
          <w:b/>
          <w:noProof/>
          <w:sz w:val="28"/>
          <w:szCs w:val="28"/>
          <w:lang w:val="en-IE"/>
        </w:rPr>
        <w:lastRenderedPageBreak/>
        <w:t>2. Loan</w:t>
      </w:r>
      <w:r w:rsidRPr="0E1C017C">
        <w:rPr>
          <w:rFonts w:eastAsia="Times New Roman"/>
          <w:b/>
          <w:noProof/>
          <w:sz w:val="28"/>
          <w:szCs w:val="28"/>
          <w:lang w:val="en-IE"/>
        </w:rPr>
        <w:t>s</w:t>
      </w:r>
      <w:r w:rsidRPr="0E1C017C">
        <w:rPr>
          <w:rFonts w:eastAsia="Times New Roman"/>
          <w:b/>
          <w:noProof/>
          <w:lang w:val="en-IE"/>
        </w:rPr>
        <w:t xml:space="preserve"> </w:t>
      </w:r>
    </w:p>
    <w:p w:rsidR="00D87E44" w:rsidP="00D226F4" w:rsidRDefault="00D87E44" w14:paraId="1545936C" w14:textId="77777777">
      <w:pPr>
        <w:spacing w:before="0" w:after="0" w:line="240" w:lineRule="auto"/>
        <w:rPr>
          <w:rFonts w:eastAsia="Times New Roman"/>
          <w:noProof/>
          <w:sz w:val="20"/>
          <w:szCs w:val="20"/>
          <w:lang w:val="en-IE"/>
        </w:rPr>
      </w:pPr>
    </w:p>
    <w:p w:rsidR="00D87E44" w:rsidP="00D226F4" w:rsidRDefault="00D87E44" w14:paraId="1545936D" w14:textId="77777777">
      <w:pPr>
        <w:spacing w:before="0" w:after="0" w:line="240" w:lineRule="auto"/>
        <w:rPr>
          <w:rFonts w:eastAsia="Times New Roman"/>
          <w:noProof/>
          <w:lang w:val="en-IE"/>
        </w:rPr>
      </w:pPr>
      <w:r w:rsidRPr="7E3EB000">
        <w:rPr>
          <w:rFonts w:eastAsia="Times New Roman"/>
          <w:noProof/>
          <w:szCs w:val="24"/>
          <w:lang w:val="en-IE"/>
        </w:rPr>
        <w:t xml:space="preserve">The instalments referred to in Article 2a(2) shall be </w:t>
      </w:r>
      <w:r w:rsidRPr="7E3EB000">
        <w:rPr>
          <w:rFonts w:eastAsia="Times New Roman"/>
          <w:noProof/>
          <w:szCs w:val="24"/>
          <w:lang w:val="en-IE"/>
        </w:rPr>
        <w:t>organised in the following manner:</w:t>
      </w:r>
    </w:p>
    <w:p w:rsidR="00D87E44" w:rsidP="00D226F4" w:rsidRDefault="00D87E44" w14:paraId="1545936E" w14:textId="77777777">
      <w:pPr>
        <w:spacing w:before="0" w:after="0" w:line="240" w:lineRule="auto"/>
        <w:rPr>
          <w:rFonts w:eastAsia="Times New Roman"/>
          <w:noProof/>
          <w:sz w:val="20"/>
          <w:szCs w:val="20"/>
          <w:lang w:val="en-IE"/>
        </w:rPr>
      </w:pPr>
    </w:p>
    <w:p w:rsidR="00D87E44" w:rsidP="00D226F4" w:rsidRDefault="00D87E44" w14:paraId="1545936F" w14:textId="77777777">
      <w:pPr>
        <w:spacing w:before="0" w:after="0" w:line="240" w:lineRule="auto"/>
        <w:rPr>
          <w:rFonts w:eastAsia="Times New Roman"/>
          <w:noProof/>
          <w:szCs w:val="24"/>
          <w:lang w:val="en-IE"/>
        </w:rPr>
      </w:pPr>
      <w:r w:rsidRPr="322F3FA0">
        <w:rPr>
          <w:rFonts w:eastAsia="Times New Roman"/>
          <w:noProof/>
          <w:szCs w:val="24"/>
          <w:lang w:val="en-IE"/>
        </w:rPr>
        <w:t xml:space="preserve">2.1. First </w:t>
      </w:r>
      <w:r>
        <w:rPr>
          <w:rFonts w:eastAsia="Times New Roman"/>
          <w:noProof/>
          <w:szCs w:val="24"/>
          <w:lang w:val="en-IE"/>
        </w:rPr>
        <w:t>Instalment</w:t>
      </w:r>
      <w:r w:rsidRPr="322F3FA0">
        <w:rPr>
          <w:rFonts w:eastAsia="Times New Roman"/>
          <w:noProof/>
          <w:szCs w:val="24"/>
          <w:lang w:val="en-IE"/>
        </w:rPr>
        <w:t xml:space="preserve"> (loan support):</w:t>
      </w:r>
    </w:p>
    <w:p w:rsidR="00D87E44" w:rsidP="00D226F4" w:rsidRDefault="00D87E44" w14:paraId="15459370" w14:textId="77777777">
      <w:pPr>
        <w:spacing w:before="0" w:after="0" w:line="240" w:lineRule="auto"/>
        <w:rPr>
          <w:rFonts w:eastAsia="Times New Roman"/>
          <w:noProof/>
          <w:color w:val="006100"/>
          <w:sz w:val="20"/>
          <w:szCs w:val="20"/>
          <w:lang w:val="en-IE"/>
        </w:rPr>
      </w:pPr>
    </w:p>
    <w:tbl>
      <w:tblPr>
        <w:tblW w:w="0" w:type="auto"/>
        <w:tblInd w:w="-601" w:type="dxa"/>
        <w:tblLook w:val="04A0" w:firstRow="1" w:lastRow="0" w:firstColumn="1" w:lastColumn="0" w:noHBand="0" w:noVBand="1"/>
      </w:tblPr>
      <w:tblGrid>
        <w:gridCol w:w="1298"/>
        <w:gridCol w:w="3821"/>
        <w:gridCol w:w="1804"/>
        <w:gridCol w:w="3296"/>
      </w:tblGrid>
      <w:tr w:rsidR="00E3458A" w:rsidTr="00F82987" w14:paraId="15459375" w14:textId="77777777">
        <w:trPr>
          <w:trHeight w:val="825"/>
        </w:trPr>
        <w:tc>
          <w:tcPr>
            <w:tcW w:w="1276" w:type="dxa"/>
            <w:tcBorders>
              <w:top w:val="single" w:color="auto" w:sz="8" w:space="0"/>
              <w:left w:val="single" w:color="auto" w:sz="8" w:space="0"/>
              <w:bottom w:val="single" w:color="auto" w:sz="8" w:space="0"/>
              <w:right w:val="single" w:color="auto" w:sz="8" w:space="0"/>
            </w:tcBorders>
            <w:shd w:val="clear" w:color="auto" w:fill="BDD7EE"/>
            <w:vAlign w:val="center"/>
          </w:tcPr>
          <w:p w:rsidR="00D87E44" w:rsidRDefault="00D87E44" w14:paraId="15459371" w14:textId="77777777">
            <w:pPr>
              <w:spacing w:before="0" w:after="0" w:line="240" w:lineRule="auto"/>
              <w:jc w:val="center"/>
              <w:rPr>
                <w:rFonts w:eastAsia="Times New Roman"/>
                <w:noProof/>
                <w:color w:val="006100"/>
                <w:sz w:val="20"/>
                <w:szCs w:val="20"/>
                <w:lang w:val="en-IE"/>
              </w:rPr>
            </w:pPr>
            <w:r w:rsidRPr="00FF1320">
              <w:rPr>
                <w:b/>
                <w:color w:val="000000" w:themeColor="text1"/>
                <w:lang w:val="en-IE"/>
              </w:rPr>
              <w:t>Sequential Number</w:t>
            </w:r>
          </w:p>
        </w:tc>
        <w:tc>
          <w:tcPr>
            <w:tcW w:w="3969" w:type="dxa"/>
            <w:tcBorders>
              <w:top w:val="single" w:color="auto" w:sz="8" w:space="0"/>
              <w:left w:val="nil"/>
              <w:bottom w:val="single" w:color="auto" w:sz="8" w:space="0"/>
              <w:right w:val="single" w:color="auto" w:sz="8" w:space="0"/>
            </w:tcBorders>
            <w:shd w:val="clear" w:color="auto" w:fill="BDD7EE"/>
            <w:vAlign w:val="center"/>
          </w:tcPr>
          <w:p w:rsidR="00D87E44" w:rsidRDefault="00D87E44" w14:paraId="15459372" w14:textId="77777777">
            <w:pPr>
              <w:spacing w:before="0" w:after="0" w:line="240" w:lineRule="auto"/>
              <w:jc w:val="center"/>
              <w:rPr>
                <w:rFonts w:eastAsia="Times New Roman"/>
                <w:noProof/>
                <w:color w:val="006100"/>
                <w:sz w:val="20"/>
                <w:szCs w:val="20"/>
                <w:lang w:val="en-IE"/>
              </w:rPr>
            </w:pPr>
            <w:r w:rsidRPr="00FF1320">
              <w:rPr>
                <w:b/>
                <w:color w:val="000000" w:themeColor="text1"/>
                <w:lang w:val="en-IE"/>
              </w:rPr>
              <w:t>Related Measure (Reform or Investment)</w:t>
            </w:r>
          </w:p>
        </w:tc>
        <w:tc>
          <w:tcPr>
            <w:tcW w:w="1843" w:type="dxa"/>
            <w:tcBorders>
              <w:top w:val="single" w:color="auto" w:sz="8" w:space="0"/>
              <w:left w:val="nil"/>
              <w:bottom w:val="single" w:color="auto" w:sz="8" w:space="0"/>
              <w:right w:val="single" w:color="auto" w:sz="8" w:space="0"/>
            </w:tcBorders>
            <w:shd w:val="clear" w:color="auto" w:fill="BDD7EE"/>
            <w:vAlign w:val="center"/>
          </w:tcPr>
          <w:p w:rsidR="00D87E44" w:rsidRDefault="00D87E44" w14:paraId="15459373" w14:textId="77777777">
            <w:pPr>
              <w:spacing w:before="0" w:after="0" w:line="240" w:lineRule="auto"/>
              <w:jc w:val="center"/>
              <w:rPr>
                <w:rFonts w:eastAsia="Times New Roman"/>
                <w:noProof/>
                <w:color w:val="006100"/>
                <w:sz w:val="20"/>
                <w:szCs w:val="20"/>
                <w:lang w:val="en-IE"/>
              </w:rPr>
            </w:pPr>
            <w:r w:rsidRPr="00FF1320">
              <w:rPr>
                <w:b/>
                <w:color w:val="000000" w:themeColor="text1"/>
                <w:lang w:val="en-IE"/>
              </w:rPr>
              <w:t>Milestone / Target</w:t>
            </w:r>
          </w:p>
        </w:tc>
        <w:tc>
          <w:tcPr>
            <w:tcW w:w="3402" w:type="dxa"/>
            <w:tcBorders>
              <w:top w:val="single" w:color="auto" w:sz="8" w:space="0"/>
              <w:left w:val="nil"/>
              <w:bottom w:val="single" w:color="auto" w:sz="8" w:space="0"/>
              <w:right w:val="single" w:color="auto" w:sz="8" w:space="0"/>
            </w:tcBorders>
            <w:shd w:val="clear" w:color="auto" w:fill="BDD7EE"/>
            <w:vAlign w:val="center"/>
          </w:tcPr>
          <w:p w:rsidR="00D87E44" w:rsidRDefault="00D87E44" w14:paraId="15459374" w14:textId="77777777">
            <w:pPr>
              <w:spacing w:before="0" w:after="0" w:line="240" w:lineRule="auto"/>
              <w:jc w:val="center"/>
              <w:rPr>
                <w:rFonts w:eastAsia="Times New Roman"/>
                <w:noProof/>
                <w:color w:val="006100"/>
                <w:sz w:val="20"/>
                <w:szCs w:val="20"/>
                <w:lang w:val="en-IE"/>
              </w:rPr>
            </w:pPr>
            <w:r w:rsidRPr="00FF1320">
              <w:rPr>
                <w:b/>
                <w:color w:val="000000" w:themeColor="text1"/>
                <w:lang w:val="en-IE"/>
              </w:rPr>
              <w:t>Name</w:t>
            </w:r>
          </w:p>
        </w:tc>
      </w:tr>
      <w:tr w:rsidR="00E3458A" w:rsidTr="00F82987" w14:paraId="1545937B" w14:textId="77777777">
        <w:trPr>
          <w:trHeight w:val="1185"/>
        </w:trPr>
        <w:tc>
          <w:tcPr>
            <w:tcW w:w="1276" w:type="dxa"/>
            <w:tcBorders>
              <w:top w:val="nil"/>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76" w14:textId="77777777">
            <w:pPr>
              <w:spacing w:before="0" w:after="0" w:line="240" w:lineRule="auto"/>
              <w:jc w:val="center"/>
              <w:rPr>
                <w:rFonts w:eastAsia="Times New Roman"/>
                <w:noProof/>
                <w:color w:val="006100"/>
                <w:sz w:val="20"/>
                <w:szCs w:val="20"/>
                <w:lang w:val="en-IE"/>
              </w:rPr>
            </w:pPr>
            <w:r w:rsidRPr="1007385A">
              <w:rPr>
                <w:rFonts w:eastAsia="Times New Roman"/>
                <w:noProof/>
                <w:color w:val="006100"/>
                <w:sz w:val="20"/>
                <w:szCs w:val="20"/>
                <w:lang w:val="en-IE"/>
              </w:rPr>
              <w:t>247</w:t>
            </w:r>
          </w:p>
        </w:tc>
        <w:tc>
          <w:tcPr>
            <w:tcW w:w="3969" w:type="dxa"/>
            <w:tcBorders>
              <w:top w:val="nil"/>
              <w:left w:val="nil"/>
              <w:bottom w:val="single" w:color="000000" w:themeColor="text1" w:sz="8" w:space="0"/>
              <w:right w:val="single" w:color="000000" w:themeColor="text1" w:sz="8" w:space="0"/>
            </w:tcBorders>
            <w:shd w:val="clear" w:color="auto" w:fill="C6EFCE"/>
            <w:vAlign w:val="center"/>
          </w:tcPr>
          <w:p w:rsidR="00D87E44" w:rsidRDefault="00D87E44" w14:paraId="15459377" w14:textId="77777777">
            <w:pPr>
              <w:spacing w:before="0" w:after="0" w:line="240" w:lineRule="auto"/>
              <w:jc w:val="center"/>
              <w:rPr>
                <w:rFonts w:eastAsia="Times New Roman"/>
                <w:noProof/>
                <w:color w:val="006100"/>
                <w:sz w:val="20"/>
                <w:szCs w:val="20"/>
              </w:rPr>
            </w:pPr>
            <w:r w:rsidRPr="1007385A">
              <w:rPr>
                <w:rFonts w:eastAsia="Times New Roman"/>
                <w:noProof/>
                <w:color w:val="006100"/>
                <w:sz w:val="20"/>
                <w:szCs w:val="20"/>
              </w:rPr>
              <w:t>C1.2: Digital Public Administration Systems-</w:t>
            </w:r>
          </w:p>
          <w:p w:rsidR="00D87E44" w:rsidRDefault="00D87E44" w14:paraId="15459378" w14:textId="77777777">
            <w:pPr>
              <w:spacing w:before="0" w:after="0" w:line="240" w:lineRule="auto"/>
              <w:jc w:val="center"/>
              <w:rPr>
                <w:rFonts w:eastAsia="Times New Roman"/>
                <w:noProof/>
                <w:color w:val="006100"/>
                <w:sz w:val="20"/>
                <w:szCs w:val="20"/>
              </w:rPr>
            </w:pPr>
            <w:r w:rsidRPr="1007385A">
              <w:rPr>
                <w:rFonts w:eastAsia="Times New Roman"/>
                <w:noProof/>
                <w:color w:val="006100"/>
                <w:sz w:val="20"/>
                <w:szCs w:val="20"/>
              </w:rPr>
              <w:t xml:space="preserve">Investment Top-up of </w:t>
            </w:r>
            <w:r w:rsidRPr="003C3B28">
              <w:rPr>
                <w:rFonts w:eastAsia="Times New Roman"/>
                <w:noProof/>
                <w:color w:val="006100"/>
                <w:sz w:val="20"/>
                <w:szCs w:val="20"/>
              </w:rPr>
              <w:t>cybersecurity</w:t>
            </w:r>
            <w:r w:rsidRPr="1007385A">
              <w:rPr>
                <w:rFonts w:eastAsia="Times New Roman"/>
                <w:noProof/>
                <w:color w:val="006100"/>
                <w:sz w:val="20"/>
                <w:szCs w:val="20"/>
              </w:rPr>
              <w:t xml:space="preserve"> investment </w:t>
            </w:r>
          </w:p>
        </w:tc>
        <w:tc>
          <w:tcPr>
            <w:tcW w:w="1843" w:type="dxa"/>
            <w:tcBorders>
              <w:top w:val="nil"/>
              <w:left w:val="nil"/>
              <w:bottom w:val="single" w:color="000000" w:themeColor="text1" w:sz="8" w:space="0"/>
              <w:right w:val="single" w:color="000000" w:themeColor="text1" w:sz="8" w:space="0"/>
            </w:tcBorders>
            <w:shd w:val="clear" w:color="auto" w:fill="C6EFCE"/>
            <w:vAlign w:val="center"/>
          </w:tcPr>
          <w:p w:rsidR="00D87E44" w:rsidRDefault="00D87E44" w14:paraId="15459379" w14:textId="77777777">
            <w:pPr>
              <w:spacing w:before="0" w:after="0" w:line="240" w:lineRule="auto"/>
              <w:jc w:val="center"/>
              <w:rPr>
                <w:rFonts w:eastAsia="Times New Roman"/>
                <w:noProof/>
                <w:color w:val="006100"/>
                <w:sz w:val="20"/>
                <w:szCs w:val="20"/>
              </w:rPr>
            </w:pPr>
            <w:r w:rsidRPr="1007385A">
              <w:rPr>
                <w:rFonts w:eastAsia="Times New Roman"/>
                <w:noProof/>
                <w:color w:val="006100"/>
                <w:sz w:val="20"/>
                <w:szCs w:val="20"/>
              </w:rPr>
              <w:t xml:space="preserve">Milestone </w:t>
            </w:r>
          </w:p>
        </w:tc>
        <w:tc>
          <w:tcPr>
            <w:tcW w:w="3402" w:type="dxa"/>
            <w:tcBorders>
              <w:top w:val="nil"/>
              <w:left w:val="nil"/>
              <w:bottom w:val="single" w:color="000000" w:themeColor="text1" w:sz="4" w:space="0"/>
              <w:right w:val="single" w:color="000000" w:themeColor="text1" w:sz="8" w:space="0"/>
            </w:tcBorders>
            <w:shd w:val="clear" w:color="auto" w:fill="C6EFCE"/>
            <w:vAlign w:val="center"/>
          </w:tcPr>
          <w:p w:rsidR="00D87E44" w:rsidRDefault="00D87E44" w14:paraId="1545937A" w14:textId="77777777">
            <w:pPr>
              <w:spacing w:before="0" w:after="0" w:line="240" w:lineRule="auto"/>
              <w:jc w:val="center"/>
              <w:rPr>
                <w:rFonts w:eastAsia="Times New Roman"/>
                <w:noProof/>
                <w:color w:val="006100"/>
                <w:sz w:val="20"/>
                <w:szCs w:val="20"/>
              </w:rPr>
            </w:pPr>
            <w:r w:rsidRPr="1007385A">
              <w:rPr>
                <w:rFonts w:eastAsia="Times New Roman"/>
                <w:noProof/>
                <w:color w:val="006100"/>
                <w:sz w:val="20"/>
                <w:szCs w:val="20"/>
              </w:rPr>
              <w:t xml:space="preserve">Publication of the call related to the strengthening of information systems in accordance with Act No 181/2014 Coll. on </w:t>
            </w:r>
            <w:r w:rsidRPr="003C3B28">
              <w:rPr>
                <w:rFonts w:eastAsia="Times New Roman"/>
                <w:noProof/>
                <w:color w:val="006100"/>
                <w:sz w:val="20"/>
                <w:szCs w:val="20"/>
              </w:rPr>
              <w:t>cybersecurity</w:t>
            </w:r>
          </w:p>
        </w:tc>
      </w:tr>
      <w:tr w:rsidR="00E3458A" w:rsidTr="00F82987" w14:paraId="15459380" w14:textId="77777777">
        <w:trPr>
          <w:trHeight w:val="795"/>
        </w:trPr>
        <w:tc>
          <w:tcPr>
            <w:tcW w:w="1273" w:type="dxa"/>
            <w:tcBorders>
              <w:top w:val="single" w:color="000000" w:themeColor="text1" w:sz="4" w:space="0"/>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7C" w14:textId="77777777">
            <w:pPr>
              <w:spacing w:line="240" w:lineRule="auto"/>
              <w:jc w:val="center"/>
              <w:rPr>
                <w:rFonts w:eastAsia="Times New Roman"/>
                <w:noProof/>
                <w:color w:val="006100"/>
                <w:sz w:val="20"/>
                <w:szCs w:val="20"/>
                <w:lang w:val="en-IE"/>
              </w:rPr>
            </w:pPr>
            <w:r w:rsidRPr="781FE9D9">
              <w:rPr>
                <w:rFonts w:eastAsia="Times New Roman"/>
                <w:noProof/>
                <w:color w:val="006100"/>
                <w:sz w:val="20"/>
                <w:szCs w:val="20"/>
                <w:lang w:val="en-IE"/>
              </w:rPr>
              <w:t>254</w:t>
            </w:r>
          </w:p>
        </w:tc>
        <w:tc>
          <w:tcPr>
            <w:tcW w:w="1273" w:type="dxa"/>
            <w:tcBorders>
              <w:top w:val="nil"/>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7D" w14:textId="77777777">
            <w:pPr>
              <w:spacing w:before="0" w:after="0" w:line="240" w:lineRule="auto"/>
              <w:jc w:val="center"/>
              <w:rPr>
                <w:rFonts w:eastAsia="Times New Roman"/>
                <w:noProof/>
                <w:color w:val="006100"/>
                <w:sz w:val="20"/>
                <w:szCs w:val="20"/>
                <w:lang w:val="en-IE"/>
              </w:rPr>
            </w:pPr>
            <w:r w:rsidRPr="24639318">
              <w:rPr>
                <w:rFonts w:eastAsia="Times New Roman"/>
                <w:noProof/>
                <w:color w:val="006100"/>
                <w:sz w:val="20"/>
                <w:szCs w:val="20"/>
                <w:lang w:val="en-IE"/>
              </w:rPr>
              <w:t xml:space="preserve">C1.5: Digital Transformation of Enterprises- </w:t>
            </w:r>
            <w:r w:rsidRPr="0420B2DD">
              <w:rPr>
                <w:rFonts w:eastAsia="Times New Roman"/>
                <w:noProof/>
                <w:color w:val="006100"/>
                <w:sz w:val="20"/>
                <w:szCs w:val="20"/>
                <w:lang w:val="en-IE"/>
              </w:rPr>
              <w:t xml:space="preserve">Investment 4: IPCEI </w:t>
            </w:r>
            <w:r w:rsidRPr="0420B2DD">
              <w:rPr>
                <w:rFonts w:eastAsia="Times New Roman"/>
                <w:noProof/>
                <w:color w:val="006100"/>
                <w:sz w:val="20"/>
                <w:szCs w:val="20"/>
                <w:lang w:val="en-IE"/>
              </w:rPr>
              <w:t>Microelectronics and Communication Technologies</w:t>
            </w:r>
          </w:p>
        </w:tc>
        <w:tc>
          <w:tcPr>
            <w:tcW w:w="1273" w:type="dxa"/>
            <w:tcBorders>
              <w:top w:val="nil"/>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7E" w14:textId="77777777">
            <w:pPr>
              <w:spacing w:before="0" w:after="0" w:line="240" w:lineRule="auto"/>
              <w:jc w:val="center"/>
              <w:rPr>
                <w:rFonts w:eastAsia="Times New Roman"/>
                <w:noProof/>
                <w:color w:val="006100"/>
                <w:sz w:val="20"/>
                <w:szCs w:val="20"/>
                <w:lang w:val="en-IE"/>
              </w:rPr>
            </w:pPr>
            <w:r w:rsidRPr="0420B2DD">
              <w:rPr>
                <w:rFonts w:eastAsia="Times New Roman"/>
                <w:noProof/>
                <w:color w:val="006100"/>
                <w:sz w:val="20"/>
                <w:szCs w:val="20"/>
                <w:lang w:val="en-IE"/>
              </w:rPr>
              <w:t>Milestone</w:t>
            </w:r>
          </w:p>
        </w:tc>
        <w:tc>
          <w:tcPr>
            <w:tcW w:w="1273" w:type="dxa"/>
            <w:tcBorders>
              <w:top w:val="single" w:color="000000" w:themeColor="text1" w:sz="4" w:space="0"/>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7F" w14:textId="77777777">
            <w:pPr>
              <w:spacing w:before="0" w:after="0" w:line="240" w:lineRule="auto"/>
              <w:jc w:val="center"/>
              <w:rPr>
                <w:rFonts w:eastAsia="Times New Roman"/>
                <w:noProof/>
                <w:color w:val="006100"/>
                <w:sz w:val="20"/>
                <w:szCs w:val="20"/>
                <w:lang w:val="en-IE"/>
              </w:rPr>
            </w:pPr>
            <w:r w:rsidRPr="0420B2DD">
              <w:rPr>
                <w:rFonts w:eastAsia="Times New Roman"/>
                <w:noProof/>
                <w:color w:val="006100"/>
                <w:sz w:val="20"/>
                <w:szCs w:val="20"/>
                <w:lang w:val="en-IE"/>
              </w:rPr>
              <w:t>Signature of grant agreements</w:t>
            </w:r>
          </w:p>
        </w:tc>
      </w:tr>
      <w:tr w:rsidR="00E3458A" w:rsidTr="00F82987" w14:paraId="15459385" w14:textId="77777777">
        <w:trPr>
          <w:trHeight w:val="795"/>
        </w:trPr>
        <w:tc>
          <w:tcPr>
            <w:tcW w:w="1273" w:type="dxa"/>
            <w:tcBorders>
              <w:top w:val="single" w:color="000000" w:themeColor="text1" w:sz="4" w:space="0"/>
              <w:left w:val="single" w:color="auto" w:sz="8" w:space="0"/>
              <w:bottom w:val="single" w:color="000000" w:themeColor="text1" w:sz="4" w:space="0"/>
              <w:right w:val="single" w:color="000000" w:themeColor="text1" w:sz="8" w:space="0"/>
            </w:tcBorders>
            <w:shd w:val="clear" w:color="auto" w:fill="C6EFCE"/>
            <w:vAlign w:val="center"/>
          </w:tcPr>
          <w:p w:rsidR="00D87E44" w:rsidRDefault="00D87E44" w14:paraId="15459381" w14:textId="77777777">
            <w:pPr>
              <w:spacing w:before="0" w:after="0" w:line="240" w:lineRule="auto"/>
              <w:jc w:val="center"/>
              <w:rPr>
                <w:rFonts w:eastAsia="Times New Roman"/>
                <w:noProof/>
                <w:color w:val="006100"/>
                <w:sz w:val="20"/>
                <w:szCs w:val="20"/>
                <w:lang w:val="en-IE"/>
              </w:rPr>
            </w:pPr>
          </w:p>
        </w:tc>
        <w:tc>
          <w:tcPr>
            <w:tcW w:w="3843"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tcPr>
          <w:p w:rsidR="00D87E44" w:rsidRDefault="00D87E44" w14:paraId="15459382" w14:textId="77777777">
            <w:pPr>
              <w:spacing w:before="0" w:after="0" w:line="240" w:lineRule="auto"/>
              <w:jc w:val="center"/>
              <w:rPr>
                <w:rFonts w:eastAsia="Times New Roman"/>
                <w:noProof/>
                <w:color w:val="006100"/>
                <w:sz w:val="20"/>
                <w:szCs w:val="20"/>
                <w:lang w:val="en-IE"/>
              </w:rPr>
            </w:pPr>
          </w:p>
        </w:tc>
        <w:tc>
          <w:tcPr>
            <w:tcW w:w="1809" w:type="dxa"/>
            <w:tcBorders>
              <w:top w:val="single" w:color="000000" w:themeColor="text1" w:sz="4" w:space="0"/>
              <w:left w:val="nil"/>
              <w:bottom w:val="single" w:color="000000" w:themeColor="text1" w:sz="8" w:space="0"/>
              <w:right w:val="single" w:color="000000" w:themeColor="text1" w:sz="8" w:space="0"/>
            </w:tcBorders>
            <w:shd w:val="clear" w:color="auto" w:fill="C6EFCE"/>
            <w:vAlign w:val="center"/>
          </w:tcPr>
          <w:p w:rsidR="00D87E44" w:rsidRDefault="00D87E44" w14:paraId="15459383"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Instalment amount</w:t>
            </w:r>
          </w:p>
        </w:tc>
        <w:tc>
          <w:tcPr>
            <w:tcW w:w="3295" w:type="dxa"/>
            <w:tcBorders>
              <w:top w:val="single" w:color="000000" w:themeColor="text1" w:sz="4" w:space="0"/>
              <w:left w:val="nil"/>
              <w:bottom w:val="single" w:color="000000" w:themeColor="text1" w:sz="4" w:space="0"/>
              <w:right w:val="single" w:color="000000" w:themeColor="text1" w:sz="8" w:space="0"/>
            </w:tcBorders>
            <w:shd w:val="clear" w:color="auto" w:fill="C6EFCE"/>
            <w:vAlign w:val="center"/>
          </w:tcPr>
          <w:p w:rsidR="00D87E44" w:rsidRDefault="00D87E44" w14:paraId="15459384" w14:textId="77777777">
            <w:pPr>
              <w:spacing w:before="0" w:after="0" w:line="240" w:lineRule="auto"/>
              <w:jc w:val="center"/>
              <w:rPr>
                <w:rFonts w:eastAsia="Times New Roman"/>
                <w:b/>
                <w:noProof/>
                <w:color w:val="006100"/>
                <w:sz w:val="20"/>
                <w:szCs w:val="20"/>
                <w:lang w:val="en-IE"/>
              </w:rPr>
            </w:pPr>
            <w:r w:rsidRPr="7E3EB000">
              <w:rPr>
                <w:rFonts w:eastAsia="Times New Roman"/>
                <w:b/>
                <w:noProof/>
                <w:color w:val="006100"/>
                <w:sz w:val="20"/>
                <w:szCs w:val="20"/>
                <w:lang w:val="en-IE"/>
              </w:rPr>
              <w:t>EUR</w:t>
            </w:r>
            <w:r>
              <w:rPr>
                <w:rFonts w:eastAsia="Times New Roman"/>
                <w:noProof/>
                <w:color w:val="006100"/>
                <w:sz w:val="20"/>
                <w:szCs w:val="20"/>
                <w:lang w:val="en-IE" w:eastAsia="en-GB"/>
              </w:rPr>
              <w:t> </w:t>
            </w:r>
            <w:r w:rsidRPr="7E3EB000">
              <w:rPr>
                <w:rFonts w:eastAsia="Times New Roman"/>
                <w:b/>
                <w:noProof/>
                <w:color w:val="006100"/>
                <w:sz w:val="20"/>
                <w:szCs w:val="20"/>
                <w:lang w:val="en-IE"/>
              </w:rPr>
              <w:t>190</w:t>
            </w:r>
            <w:r>
              <w:rPr>
                <w:rFonts w:eastAsia="Times New Roman"/>
                <w:noProof/>
                <w:color w:val="006100"/>
                <w:sz w:val="20"/>
                <w:szCs w:val="20"/>
                <w:lang w:val="en-IE" w:eastAsia="en-GB"/>
              </w:rPr>
              <w:t> </w:t>
            </w:r>
            <w:r w:rsidRPr="7E3EB000">
              <w:rPr>
                <w:rFonts w:eastAsia="Times New Roman"/>
                <w:b/>
                <w:noProof/>
                <w:color w:val="006100"/>
                <w:sz w:val="20"/>
                <w:szCs w:val="20"/>
                <w:lang w:val="en-IE"/>
              </w:rPr>
              <w:t>898</w:t>
            </w:r>
            <w:r>
              <w:rPr>
                <w:rFonts w:eastAsia="Times New Roman"/>
                <w:noProof/>
                <w:color w:val="006100"/>
                <w:sz w:val="20"/>
                <w:szCs w:val="20"/>
                <w:lang w:val="en-IE" w:eastAsia="en-GB"/>
              </w:rPr>
              <w:t> </w:t>
            </w:r>
            <w:r w:rsidRPr="7E3EB000">
              <w:rPr>
                <w:rFonts w:eastAsia="Times New Roman"/>
                <w:b/>
                <w:noProof/>
                <w:color w:val="006100"/>
                <w:sz w:val="20"/>
                <w:szCs w:val="20"/>
                <w:lang w:val="en-IE"/>
              </w:rPr>
              <w:t>548</w:t>
            </w:r>
          </w:p>
        </w:tc>
      </w:tr>
    </w:tbl>
    <w:p w:rsidR="00D87E44" w:rsidP="00D226F4" w:rsidRDefault="00D87E44" w14:paraId="15459386" w14:textId="77777777">
      <w:pPr>
        <w:spacing w:before="0" w:after="0" w:line="240" w:lineRule="auto"/>
        <w:rPr>
          <w:rFonts w:eastAsia="Times New Roman"/>
          <w:noProof/>
          <w:color w:val="006100"/>
          <w:sz w:val="20"/>
          <w:szCs w:val="20"/>
        </w:rPr>
      </w:pPr>
    </w:p>
    <w:p w:rsidR="00D87E44" w:rsidP="00D226F4" w:rsidRDefault="00D87E44" w14:paraId="15459387" w14:textId="77777777">
      <w:pPr>
        <w:spacing w:before="0" w:after="0" w:line="240" w:lineRule="auto"/>
        <w:rPr>
          <w:rFonts w:eastAsia="Times New Roman"/>
          <w:noProof/>
          <w:szCs w:val="24"/>
          <w:lang w:val="en-IE"/>
        </w:rPr>
      </w:pPr>
      <w:r w:rsidRPr="1D02475B">
        <w:rPr>
          <w:rFonts w:eastAsia="Times New Roman"/>
          <w:noProof/>
          <w:szCs w:val="24"/>
          <w:lang w:val="en-IE"/>
        </w:rPr>
        <w:t xml:space="preserve">2.2. Second </w:t>
      </w:r>
      <w:r>
        <w:rPr>
          <w:rFonts w:eastAsia="Times New Roman"/>
          <w:noProof/>
          <w:szCs w:val="24"/>
          <w:lang w:val="en-IE"/>
        </w:rPr>
        <w:t>Instalment</w:t>
      </w:r>
      <w:r w:rsidRPr="1D02475B">
        <w:rPr>
          <w:rFonts w:eastAsia="Times New Roman"/>
          <w:noProof/>
          <w:szCs w:val="24"/>
          <w:lang w:val="en-IE"/>
        </w:rPr>
        <w:t xml:space="preserve"> (loan support):</w:t>
      </w:r>
    </w:p>
    <w:p w:rsidR="00D87E44" w:rsidP="00D226F4" w:rsidRDefault="00D87E44" w14:paraId="15459388" w14:textId="77777777">
      <w:pPr>
        <w:spacing w:before="0" w:after="0" w:line="240" w:lineRule="auto"/>
        <w:jc w:val="center"/>
        <w:rPr>
          <w:rFonts w:eastAsia="Times New Roman"/>
          <w:noProof/>
          <w:color w:val="006100"/>
          <w:sz w:val="20"/>
          <w:szCs w:val="20"/>
          <w:lang w:val="en-IE"/>
        </w:rPr>
      </w:pPr>
    </w:p>
    <w:tbl>
      <w:tblPr>
        <w:tblW w:w="10372"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300"/>
        <w:gridCol w:w="3827"/>
        <w:gridCol w:w="1843"/>
        <w:gridCol w:w="3402"/>
      </w:tblGrid>
      <w:tr w:rsidR="00E3458A" w:rsidTr="003A550A" w14:paraId="1545938D" w14:textId="77777777">
        <w:trPr>
          <w:trHeight w:val="825"/>
        </w:trPr>
        <w:tc>
          <w:tcPr>
            <w:tcW w:w="1300" w:type="dxa"/>
            <w:shd w:val="clear" w:color="auto" w:fill="BDD7EE"/>
            <w:vAlign w:val="center"/>
          </w:tcPr>
          <w:p w:rsidRPr="00BE351A" w:rsidR="00D87E44" w:rsidRDefault="00D87E44" w14:paraId="15459389" w14:textId="77777777">
            <w:pPr>
              <w:spacing w:before="0" w:after="0" w:line="240" w:lineRule="auto"/>
              <w:jc w:val="center"/>
              <w:rPr>
                <w:rFonts w:eastAsia="Times New Roman"/>
                <w:b/>
                <w:bCs/>
                <w:noProof/>
                <w:sz w:val="20"/>
                <w:szCs w:val="20"/>
                <w:lang w:val="en-IE"/>
              </w:rPr>
            </w:pPr>
            <w:r w:rsidRPr="00BE351A">
              <w:rPr>
                <w:rFonts w:eastAsia="Times New Roman"/>
                <w:b/>
                <w:bCs/>
                <w:noProof/>
                <w:sz w:val="20"/>
                <w:szCs w:val="20"/>
                <w:lang w:val="en-IE"/>
              </w:rPr>
              <w:t>Sequential Number</w:t>
            </w:r>
          </w:p>
        </w:tc>
        <w:tc>
          <w:tcPr>
            <w:tcW w:w="3827" w:type="dxa"/>
            <w:shd w:val="clear" w:color="auto" w:fill="BDD7EE"/>
            <w:vAlign w:val="center"/>
          </w:tcPr>
          <w:p w:rsidRPr="00BE351A" w:rsidR="00D87E44" w:rsidRDefault="00D87E44" w14:paraId="1545938A" w14:textId="77777777">
            <w:pPr>
              <w:spacing w:before="0" w:after="0" w:line="240" w:lineRule="auto"/>
              <w:jc w:val="center"/>
              <w:rPr>
                <w:rFonts w:eastAsia="Times New Roman"/>
                <w:b/>
                <w:bCs/>
                <w:noProof/>
                <w:sz w:val="20"/>
                <w:szCs w:val="20"/>
                <w:lang w:val="en-IE"/>
              </w:rPr>
            </w:pPr>
            <w:r w:rsidRPr="00BE351A">
              <w:rPr>
                <w:rFonts w:eastAsia="Times New Roman"/>
                <w:b/>
                <w:bCs/>
                <w:noProof/>
                <w:sz w:val="20"/>
                <w:szCs w:val="20"/>
                <w:lang w:val="en-IE"/>
              </w:rPr>
              <w:t>Related Measure (Reform or Investment)</w:t>
            </w:r>
          </w:p>
        </w:tc>
        <w:tc>
          <w:tcPr>
            <w:tcW w:w="1843" w:type="dxa"/>
            <w:shd w:val="clear" w:color="auto" w:fill="BDD7EE"/>
            <w:vAlign w:val="center"/>
          </w:tcPr>
          <w:p w:rsidRPr="00BE351A" w:rsidR="00D87E44" w:rsidRDefault="00D87E44" w14:paraId="1545938B" w14:textId="77777777">
            <w:pPr>
              <w:spacing w:before="0" w:after="0" w:line="240" w:lineRule="auto"/>
              <w:jc w:val="center"/>
              <w:rPr>
                <w:rFonts w:eastAsia="Times New Roman"/>
                <w:b/>
                <w:bCs/>
                <w:noProof/>
                <w:sz w:val="20"/>
                <w:szCs w:val="20"/>
                <w:lang w:val="en-IE"/>
              </w:rPr>
            </w:pPr>
            <w:r w:rsidRPr="00BE351A">
              <w:rPr>
                <w:rFonts w:eastAsia="Times New Roman"/>
                <w:b/>
                <w:bCs/>
                <w:noProof/>
                <w:sz w:val="20"/>
                <w:szCs w:val="20"/>
                <w:lang w:val="en-IE"/>
              </w:rPr>
              <w:t>Milestone/Target</w:t>
            </w:r>
          </w:p>
        </w:tc>
        <w:tc>
          <w:tcPr>
            <w:tcW w:w="3402" w:type="dxa"/>
            <w:shd w:val="clear" w:color="auto" w:fill="BDD7EE"/>
            <w:vAlign w:val="center"/>
          </w:tcPr>
          <w:p w:rsidRPr="00BE351A" w:rsidR="00D87E44" w:rsidRDefault="00D87E44" w14:paraId="1545938C" w14:textId="77777777">
            <w:pPr>
              <w:spacing w:before="0" w:after="0" w:line="240" w:lineRule="auto"/>
              <w:jc w:val="center"/>
              <w:rPr>
                <w:rFonts w:eastAsia="Times New Roman"/>
                <w:b/>
                <w:bCs/>
                <w:noProof/>
                <w:sz w:val="20"/>
                <w:szCs w:val="20"/>
                <w:lang w:val="en-IE"/>
              </w:rPr>
            </w:pPr>
            <w:r w:rsidRPr="00BE351A">
              <w:rPr>
                <w:rFonts w:eastAsia="Times New Roman"/>
                <w:b/>
                <w:bCs/>
                <w:noProof/>
                <w:sz w:val="20"/>
                <w:szCs w:val="20"/>
                <w:lang w:val="en-IE"/>
              </w:rPr>
              <w:t>Name</w:t>
            </w:r>
          </w:p>
        </w:tc>
      </w:tr>
      <w:tr w:rsidR="00E3458A" w:rsidTr="003A550A" w14:paraId="15459393" w14:textId="77777777">
        <w:trPr>
          <w:trHeight w:val="795"/>
        </w:trPr>
        <w:tc>
          <w:tcPr>
            <w:tcW w:w="1300" w:type="dxa"/>
            <w:shd w:val="clear" w:color="auto" w:fill="C6EFCE"/>
            <w:vAlign w:val="center"/>
            <w:hideMark/>
          </w:tcPr>
          <w:p w:rsidR="00D87E44" w:rsidRDefault="00D87E44" w14:paraId="1545938E" w14:textId="77777777">
            <w:pPr>
              <w:spacing w:before="0" w:after="0" w:line="240" w:lineRule="auto"/>
              <w:jc w:val="center"/>
              <w:rPr>
                <w:rFonts w:eastAsia="Times New Roman"/>
                <w:noProof/>
                <w:color w:val="006100"/>
                <w:sz w:val="20"/>
                <w:szCs w:val="20"/>
                <w:lang w:val="en-IE"/>
              </w:rPr>
            </w:pPr>
            <w:r>
              <w:rPr>
                <w:rFonts w:eastAsia="Times New Roman"/>
                <w:noProof/>
                <w:color w:val="006100"/>
                <w:sz w:val="20"/>
                <w:szCs w:val="20"/>
                <w:lang w:val="en-IE"/>
              </w:rPr>
              <w:t>264</w:t>
            </w:r>
          </w:p>
        </w:tc>
        <w:tc>
          <w:tcPr>
            <w:tcW w:w="3827" w:type="dxa"/>
            <w:shd w:val="clear" w:color="auto" w:fill="C6EFCE"/>
            <w:vAlign w:val="center"/>
            <w:hideMark/>
          </w:tcPr>
          <w:p w:rsidR="00D87E44" w:rsidRDefault="00D87E44" w14:paraId="1545938F"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C 2.10: Affordable Housing - Investment 1: </w:t>
            </w:r>
          </w:p>
          <w:p w:rsidR="00D87E44" w:rsidRDefault="00D87E44" w14:paraId="15459390"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Concessional loan facility </w:t>
            </w:r>
          </w:p>
        </w:tc>
        <w:tc>
          <w:tcPr>
            <w:tcW w:w="1843" w:type="dxa"/>
            <w:shd w:val="clear" w:color="auto" w:fill="C6EFCE"/>
            <w:vAlign w:val="center"/>
            <w:hideMark/>
          </w:tcPr>
          <w:p w:rsidR="00D87E44" w:rsidRDefault="00D87E44" w14:paraId="15459391"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Milestone </w:t>
            </w:r>
          </w:p>
        </w:tc>
        <w:tc>
          <w:tcPr>
            <w:tcW w:w="3402" w:type="dxa"/>
            <w:shd w:val="clear" w:color="auto" w:fill="C6EFCE"/>
            <w:vAlign w:val="center"/>
            <w:hideMark/>
          </w:tcPr>
          <w:p w:rsidR="00D87E44" w:rsidRDefault="00D87E44" w14:paraId="15459392"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Implementing Agreement</w:t>
            </w:r>
          </w:p>
        </w:tc>
      </w:tr>
      <w:tr w:rsidR="00E3458A" w:rsidTr="003A550A" w14:paraId="15459399" w14:textId="77777777">
        <w:trPr>
          <w:trHeight w:val="795"/>
        </w:trPr>
        <w:tc>
          <w:tcPr>
            <w:tcW w:w="1300" w:type="dxa"/>
            <w:shd w:val="clear" w:color="auto" w:fill="C6EFCE"/>
            <w:vAlign w:val="center"/>
            <w:hideMark/>
          </w:tcPr>
          <w:p w:rsidR="00D87E44" w:rsidRDefault="00D87E44" w14:paraId="15459394"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267</w:t>
            </w:r>
          </w:p>
        </w:tc>
        <w:tc>
          <w:tcPr>
            <w:tcW w:w="3827" w:type="dxa"/>
            <w:shd w:val="clear" w:color="auto" w:fill="C6EFCE"/>
            <w:vAlign w:val="center"/>
            <w:hideMark/>
          </w:tcPr>
          <w:p w:rsidR="00D87E44" w:rsidRDefault="00D87E44" w14:paraId="15459395"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C 2.10: Affordable Housing - Investment 2:  </w:t>
            </w:r>
          </w:p>
          <w:p w:rsidR="00D87E44" w:rsidRDefault="00D87E44" w14:paraId="15459396"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Subordinated loan facility </w:t>
            </w:r>
          </w:p>
        </w:tc>
        <w:tc>
          <w:tcPr>
            <w:tcW w:w="1843" w:type="dxa"/>
            <w:shd w:val="clear" w:color="auto" w:fill="C6EFCE"/>
            <w:vAlign w:val="center"/>
            <w:hideMark/>
          </w:tcPr>
          <w:p w:rsidR="00D87E44" w:rsidRDefault="00D87E44" w14:paraId="15459397"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Milestone </w:t>
            </w:r>
          </w:p>
        </w:tc>
        <w:tc>
          <w:tcPr>
            <w:tcW w:w="3402" w:type="dxa"/>
            <w:shd w:val="clear" w:color="auto" w:fill="C6EFCE"/>
            <w:vAlign w:val="center"/>
            <w:hideMark/>
          </w:tcPr>
          <w:p w:rsidR="00D87E44" w:rsidRDefault="00D87E44" w14:paraId="15459398"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Implementing Agreement</w:t>
            </w:r>
          </w:p>
        </w:tc>
      </w:tr>
      <w:tr w:rsidR="00E3458A" w:rsidTr="003A550A" w14:paraId="1545939F" w14:textId="77777777">
        <w:trPr>
          <w:trHeight w:val="795"/>
        </w:trPr>
        <w:tc>
          <w:tcPr>
            <w:tcW w:w="1300" w:type="dxa"/>
            <w:shd w:val="clear" w:color="auto" w:fill="C6EFCE"/>
            <w:vAlign w:val="center"/>
            <w:hideMark/>
          </w:tcPr>
          <w:p w:rsidR="00D87E44" w:rsidRDefault="00D87E44" w14:paraId="1545939A"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270</w:t>
            </w:r>
          </w:p>
        </w:tc>
        <w:tc>
          <w:tcPr>
            <w:tcW w:w="3827" w:type="dxa"/>
            <w:shd w:val="clear" w:color="auto" w:fill="C6EFCE"/>
            <w:vAlign w:val="center"/>
            <w:hideMark/>
          </w:tcPr>
          <w:p w:rsidR="00D87E44" w:rsidRDefault="00D87E44" w14:paraId="1545939B"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C 2.10: Affordable Housing - Investment 3:  </w:t>
            </w:r>
          </w:p>
          <w:p w:rsidR="00D87E44" w:rsidRDefault="00D87E44" w14:paraId="1545939C"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Co-investment facility </w:t>
            </w:r>
          </w:p>
        </w:tc>
        <w:tc>
          <w:tcPr>
            <w:tcW w:w="1843" w:type="dxa"/>
            <w:shd w:val="clear" w:color="auto" w:fill="C6EFCE"/>
            <w:vAlign w:val="center"/>
            <w:hideMark/>
          </w:tcPr>
          <w:p w:rsidR="00D87E44" w:rsidRDefault="00D87E44" w14:paraId="1545939D"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 xml:space="preserve">Milestone </w:t>
            </w:r>
          </w:p>
        </w:tc>
        <w:tc>
          <w:tcPr>
            <w:tcW w:w="3402" w:type="dxa"/>
            <w:shd w:val="clear" w:color="auto" w:fill="C6EFCE"/>
            <w:vAlign w:val="center"/>
            <w:hideMark/>
          </w:tcPr>
          <w:p w:rsidR="00D87E44" w:rsidRDefault="00D87E44" w14:paraId="1545939E" w14:textId="77777777">
            <w:pPr>
              <w:spacing w:before="0" w:after="0" w:line="240" w:lineRule="auto"/>
              <w:jc w:val="center"/>
              <w:rPr>
                <w:rFonts w:eastAsia="Times New Roman"/>
                <w:noProof/>
                <w:color w:val="006100"/>
                <w:sz w:val="20"/>
                <w:szCs w:val="20"/>
              </w:rPr>
            </w:pPr>
            <w:r>
              <w:rPr>
                <w:rFonts w:eastAsia="Times New Roman"/>
                <w:noProof/>
                <w:color w:val="006100"/>
                <w:sz w:val="20"/>
                <w:szCs w:val="20"/>
              </w:rPr>
              <w:t>Implementing Agreement</w:t>
            </w:r>
          </w:p>
        </w:tc>
      </w:tr>
      <w:tr w:rsidR="00E3458A" w:rsidTr="003A550A" w14:paraId="154593A4" w14:textId="77777777">
        <w:trPr>
          <w:trHeight w:val="795"/>
        </w:trPr>
        <w:tc>
          <w:tcPr>
            <w:tcW w:w="1300" w:type="dxa"/>
            <w:shd w:val="clear" w:color="auto" w:fill="C6EFCE"/>
            <w:vAlign w:val="center"/>
          </w:tcPr>
          <w:p w:rsidR="00D87E44" w:rsidRDefault="00D87E44" w14:paraId="154593A0" w14:textId="77777777">
            <w:pPr>
              <w:spacing w:line="240" w:lineRule="auto"/>
              <w:jc w:val="center"/>
              <w:rPr>
                <w:rFonts w:eastAsia="Times New Roman"/>
                <w:noProof/>
                <w:color w:val="006100"/>
                <w:sz w:val="20"/>
                <w:szCs w:val="20"/>
                <w:lang w:val="en-IE"/>
              </w:rPr>
            </w:pPr>
          </w:p>
        </w:tc>
        <w:tc>
          <w:tcPr>
            <w:tcW w:w="3827" w:type="dxa"/>
            <w:shd w:val="clear" w:color="auto" w:fill="C6EFCE"/>
            <w:vAlign w:val="center"/>
          </w:tcPr>
          <w:p w:rsidR="00D87E44" w:rsidRDefault="00D87E44" w14:paraId="154593A1" w14:textId="77777777">
            <w:pPr>
              <w:spacing w:line="240" w:lineRule="auto"/>
              <w:jc w:val="center"/>
              <w:rPr>
                <w:rFonts w:eastAsia="Times New Roman"/>
                <w:noProof/>
                <w:color w:val="006100"/>
                <w:sz w:val="20"/>
                <w:szCs w:val="20"/>
                <w:lang w:val="en-IE"/>
              </w:rPr>
            </w:pPr>
          </w:p>
        </w:tc>
        <w:tc>
          <w:tcPr>
            <w:tcW w:w="1843" w:type="dxa"/>
            <w:shd w:val="clear" w:color="auto" w:fill="C6EFCE"/>
            <w:vAlign w:val="center"/>
            <w:hideMark/>
          </w:tcPr>
          <w:p w:rsidR="00D87E44" w:rsidRDefault="00D87E44" w14:paraId="154593A2" w14:textId="77777777">
            <w:pPr>
              <w:spacing w:line="240" w:lineRule="auto"/>
              <w:jc w:val="center"/>
              <w:rPr>
                <w:rFonts w:eastAsia="Times New Roman"/>
                <w:b/>
                <w:noProof/>
                <w:color w:val="006100"/>
                <w:sz w:val="20"/>
                <w:szCs w:val="20"/>
                <w:lang w:val="en-IE"/>
              </w:rPr>
            </w:pPr>
            <w:r>
              <w:rPr>
                <w:rFonts w:eastAsia="Times New Roman"/>
                <w:b/>
                <w:noProof/>
                <w:color w:val="006100"/>
                <w:sz w:val="20"/>
                <w:szCs w:val="20"/>
                <w:lang w:val="en-IE"/>
              </w:rPr>
              <w:t>Instalment amount</w:t>
            </w:r>
          </w:p>
        </w:tc>
        <w:tc>
          <w:tcPr>
            <w:tcW w:w="3402" w:type="dxa"/>
            <w:shd w:val="clear" w:color="auto" w:fill="C6EFCE"/>
            <w:vAlign w:val="center"/>
            <w:hideMark/>
          </w:tcPr>
          <w:p w:rsidR="00D87E44" w:rsidRDefault="00D87E44" w14:paraId="154593A3" w14:textId="77777777">
            <w:pPr>
              <w:spacing w:line="240" w:lineRule="auto"/>
              <w:jc w:val="center"/>
              <w:rPr>
                <w:rFonts w:eastAsia="Times New Roman"/>
                <w:b/>
                <w:noProof/>
                <w:color w:val="006100"/>
                <w:sz w:val="20"/>
                <w:szCs w:val="20"/>
                <w:lang w:val="en-IE"/>
              </w:rPr>
            </w:pPr>
            <w:r w:rsidRPr="007624AE">
              <w:rPr>
                <w:rFonts w:eastAsia="Times New Roman"/>
                <w:b/>
                <w:noProof/>
                <w:color w:val="006100"/>
                <w:sz w:val="20"/>
                <w:szCs w:val="20"/>
                <w:lang w:val="en-IE"/>
              </w:rPr>
              <w:t>EUR</w:t>
            </w:r>
            <w:r>
              <w:rPr>
                <w:rFonts w:eastAsia="Times New Roman"/>
                <w:b/>
                <w:noProof/>
                <w:color w:val="006100"/>
                <w:sz w:val="20"/>
                <w:szCs w:val="20"/>
                <w:lang w:val="en-IE"/>
              </w:rPr>
              <w:t xml:space="preserve"> </w:t>
            </w:r>
            <w:r w:rsidRPr="007624AE">
              <w:rPr>
                <w:rFonts w:eastAsia="Times New Roman"/>
                <w:b/>
                <w:noProof/>
                <w:color w:val="006100"/>
                <w:sz w:val="20"/>
                <w:szCs w:val="20"/>
                <w:lang w:val="en-IE"/>
              </w:rPr>
              <w:t>41</w:t>
            </w:r>
            <w:r>
              <w:rPr>
                <w:rFonts w:eastAsia="Times New Roman"/>
                <w:b/>
                <w:noProof/>
                <w:color w:val="006100"/>
                <w:sz w:val="20"/>
                <w:szCs w:val="20"/>
                <w:lang w:val="en-IE"/>
              </w:rPr>
              <w:t> </w:t>
            </w:r>
            <w:r w:rsidRPr="007624AE">
              <w:rPr>
                <w:rFonts w:eastAsia="Times New Roman"/>
                <w:b/>
                <w:noProof/>
                <w:color w:val="006100"/>
                <w:sz w:val="20"/>
                <w:szCs w:val="20"/>
                <w:lang w:val="en-IE"/>
              </w:rPr>
              <w:t>445</w:t>
            </w:r>
            <w:r>
              <w:rPr>
                <w:rFonts w:eastAsia="Times New Roman"/>
                <w:b/>
                <w:noProof/>
                <w:color w:val="006100"/>
                <w:sz w:val="20"/>
                <w:szCs w:val="20"/>
                <w:lang w:val="en-IE"/>
              </w:rPr>
              <w:t> </w:t>
            </w:r>
            <w:r w:rsidRPr="007624AE">
              <w:rPr>
                <w:rFonts w:eastAsia="Times New Roman"/>
                <w:b/>
                <w:noProof/>
                <w:color w:val="006100"/>
                <w:sz w:val="20"/>
                <w:szCs w:val="20"/>
                <w:lang w:val="en-IE"/>
              </w:rPr>
              <w:t>759</w:t>
            </w:r>
          </w:p>
        </w:tc>
      </w:tr>
    </w:tbl>
    <w:p w:rsidR="00D87E44" w:rsidP="00D226F4" w:rsidRDefault="00D87E44" w14:paraId="154593A5" w14:textId="77777777">
      <w:pPr>
        <w:spacing w:line="240" w:lineRule="auto"/>
        <w:jc w:val="both"/>
        <w:rPr>
          <w:rFonts w:eastAsia="Times New Roman"/>
          <w:noProof/>
          <w:lang w:val="en-IE"/>
        </w:rPr>
      </w:pPr>
    </w:p>
    <w:p w:rsidR="00D87E44" w:rsidP="00D226F4" w:rsidRDefault="00D87E44" w14:paraId="154593A6" w14:textId="77777777">
      <w:pPr>
        <w:spacing w:line="240" w:lineRule="auto"/>
        <w:rPr>
          <w:noProof/>
        </w:rPr>
      </w:pPr>
      <w:r>
        <w:rPr>
          <w:noProof/>
        </w:rPr>
        <w:br w:type="page"/>
      </w:r>
    </w:p>
    <w:p w:rsidRPr="00FF1320" w:rsidR="00D87E44" w:rsidP="00FF1320" w:rsidRDefault="00D87E44" w14:paraId="154593A7" w14:textId="77777777">
      <w:pPr>
        <w:spacing w:before="0" w:after="0" w:line="240" w:lineRule="auto"/>
        <w:jc w:val="center"/>
        <w:rPr>
          <w:color w:val="006100"/>
          <w:sz w:val="20"/>
          <w:lang w:val="en-IE"/>
        </w:rPr>
      </w:pPr>
    </w:p>
    <w:p w:rsidR="00D87E44" w:rsidP="00D226F4" w:rsidRDefault="00D87E44" w14:paraId="154593A8" w14:textId="77777777">
      <w:pPr>
        <w:spacing w:before="0" w:after="0" w:line="240" w:lineRule="auto"/>
        <w:rPr>
          <w:rFonts w:eastAsia="Times New Roman"/>
          <w:noProof/>
          <w:lang w:val="en-IE"/>
        </w:rPr>
      </w:pPr>
      <w:r w:rsidRPr="29C93A69">
        <w:rPr>
          <w:rFonts w:eastAsia="Times New Roman"/>
          <w:noProof/>
          <w:lang w:val="en-IE"/>
        </w:rPr>
        <w:t>2.3. Third Instalment (loan support):</w:t>
      </w:r>
    </w:p>
    <w:p w:rsidR="00D87E44" w:rsidP="00D226F4" w:rsidRDefault="00D87E44" w14:paraId="154593A9" w14:textId="77777777">
      <w:pPr>
        <w:spacing w:before="0" w:after="0" w:line="240" w:lineRule="auto"/>
        <w:jc w:val="center"/>
        <w:rPr>
          <w:rFonts w:eastAsia="Times New Roman"/>
          <w:noProof/>
          <w:color w:val="006100"/>
          <w:sz w:val="20"/>
          <w:szCs w:val="20"/>
          <w:lang w:val="en-IE"/>
        </w:rPr>
      </w:pPr>
    </w:p>
    <w:tbl>
      <w:tblPr>
        <w:tblW w:w="961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60"/>
        <w:gridCol w:w="3311"/>
        <w:gridCol w:w="1691"/>
        <w:gridCol w:w="3355"/>
      </w:tblGrid>
      <w:tr w:rsidR="00E3458A" w:rsidTr="00D03A72" w14:paraId="154593AE" w14:textId="77777777">
        <w:trPr>
          <w:trHeight w:val="825"/>
        </w:trPr>
        <w:tc>
          <w:tcPr>
            <w:tcW w:w="1260" w:type="dxa"/>
            <w:shd w:val="clear" w:color="auto" w:fill="BDD7EE"/>
            <w:vAlign w:val="center"/>
            <w:hideMark/>
          </w:tcPr>
          <w:p w:rsidRPr="00BE351A" w:rsidR="00D87E44" w:rsidRDefault="00D87E44" w14:paraId="154593AA" w14:textId="77777777">
            <w:pPr>
              <w:spacing w:before="0" w:after="0" w:line="240" w:lineRule="auto"/>
              <w:jc w:val="center"/>
              <w:rPr>
                <w:rFonts w:eastAsia="Times New Roman"/>
                <w:b/>
                <w:bCs/>
                <w:noProof/>
                <w:sz w:val="20"/>
                <w:szCs w:val="20"/>
                <w:lang w:val="en-IE"/>
              </w:rPr>
            </w:pPr>
            <w:r w:rsidRPr="00BE351A">
              <w:rPr>
                <w:b/>
                <w:bCs/>
                <w:noProof/>
                <w:sz w:val="20"/>
                <w:lang w:val="en-IE"/>
              </w:rPr>
              <w:t>Sequential Number</w:t>
            </w:r>
          </w:p>
        </w:tc>
        <w:tc>
          <w:tcPr>
            <w:tcW w:w="3311" w:type="dxa"/>
            <w:shd w:val="clear" w:color="auto" w:fill="BDD7EE"/>
            <w:vAlign w:val="center"/>
            <w:hideMark/>
          </w:tcPr>
          <w:p w:rsidRPr="00BE351A" w:rsidR="00D87E44" w:rsidRDefault="00D87E44" w14:paraId="154593AB" w14:textId="77777777">
            <w:pPr>
              <w:spacing w:before="0" w:after="0" w:line="240" w:lineRule="auto"/>
              <w:jc w:val="center"/>
              <w:rPr>
                <w:rFonts w:eastAsia="Times New Roman"/>
                <w:b/>
                <w:bCs/>
                <w:noProof/>
                <w:sz w:val="20"/>
                <w:szCs w:val="20"/>
                <w:lang w:val="en-IE"/>
              </w:rPr>
            </w:pPr>
            <w:r w:rsidRPr="00BE351A">
              <w:rPr>
                <w:b/>
                <w:bCs/>
                <w:noProof/>
                <w:sz w:val="20"/>
                <w:lang w:val="en-IE"/>
              </w:rPr>
              <w:t>Related Measure (Reform or Investment)</w:t>
            </w:r>
          </w:p>
        </w:tc>
        <w:tc>
          <w:tcPr>
            <w:tcW w:w="1691" w:type="dxa"/>
            <w:shd w:val="clear" w:color="auto" w:fill="BDD7EE"/>
            <w:vAlign w:val="center"/>
            <w:hideMark/>
          </w:tcPr>
          <w:p w:rsidRPr="00BE351A" w:rsidR="00D87E44" w:rsidRDefault="00D87E44" w14:paraId="154593AC" w14:textId="77777777">
            <w:pPr>
              <w:spacing w:before="0" w:after="0" w:line="240" w:lineRule="auto"/>
              <w:jc w:val="center"/>
              <w:rPr>
                <w:rFonts w:eastAsia="Times New Roman"/>
                <w:b/>
                <w:bCs/>
                <w:noProof/>
                <w:sz w:val="20"/>
                <w:szCs w:val="20"/>
                <w:lang w:val="en-IE"/>
              </w:rPr>
            </w:pPr>
            <w:r w:rsidRPr="00BE351A">
              <w:rPr>
                <w:b/>
                <w:bCs/>
                <w:noProof/>
                <w:sz w:val="20"/>
                <w:lang w:val="en-IE"/>
              </w:rPr>
              <w:t>Milestone / Target</w:t>
            </w:r>
          </w:p>
        </w:tc>
        <w:tc>
          <w:tcPr>
            <w:tcW w:w="3355" w:type="dxa"/>
            <w:shd w:val="clear" w:color="auto" w:fill="BDD7EE"/>
            <w:vAlign w:val="center"/>
            <w:hideMark/>
          </w:tcPr>
          <w:p w:rsidRPr="00BE351A" w:rsidR="00D87E44" w:rsidRDefault="00D87E44" w14:paraId="154593AD" w14:textId="77777777">
            <w:pPr>
              <w:spacing w:before="0" w:after="0" w:line="240" w:lineRule="auto"/>
              <w:jc w:val="center"/>
              <w:rPr>
                <w:rFonts w:eastAsia="Times New Roman"/>
                <w:b/>
                <w:bCs/>
                <w:noProof/>
                <w:sz w:val="20"/>
                <w:szCs w:val="20"/>
                <w:lang w:val="en-IE"/>
              </w:rPr>
            </w:pPr>
            <w:r w:rsidRPr="00BE351A">
              <w:rPr>
                <w:b/>
                <w:bCs/>
                <w:noProof/>
                <w:sz w:val="20"/>
                <w:lang w:val="en-IE"/>
              </w:rPr>
              <w:t>Name</w:t>
            </w:r>
          </w:p>
        </w:tc>
      </w:tr>
      <w:tr w:rsidR="00E3458A" w:rsidTr="00D03A72" w14:paraId="154593B4" w14:textId="77777777">
        <w:trPr>
          <w:trHeight w:val="795"/>
        </w:trPr>
        <w:tc>
          <w:tcPr>
            <w:tcW w:w="1260" w:type="dxa"/>
            <w:shd w:val="clear" w:color="auto" w:fill="C6EFCE"/>
            <w:vAlign w:val="center"/>
          </w:tcPr>
          <w:p w:rsidR="00D87E44" w:rsidP="00E3458A" w:rsidRDefault="00D87E44" w14:paraId="154593AF" w14:textId="77777777">
            <w:pPr>
              <w:spacing w:line="240" w:lineRule="auto"/>
              <w:jc w:val="center"/>
              <w:rPr>
                <w:rFonts w:eastAsia="Times New Roman"/>
                <w:noProof/>
                <w:color w:val="006100"/>
                <w:sz w:val="20"/>
                <w:szCs w:val="20"/>
                <w:lang w:val="en-IE"/>
              </w:rPr>
            </w:pPr>
            <w:r w:rsidRPr="0D43739B">
              <w:rPr>
                <w:rFonts w:eastAsia="Times New Roman"/>
                <w:noProof/>
                <w:color w:val="006100"/>
                <w:sz w:val="20"/>
                <w:szCs w:val="20"/>
                <w:lang w:val="en-IE"/>
              </w:rPr>
              <w:t>248</w:t>
            </w:r>
          </w:p>
        </w:tc>
        <w:tc>
          <w:tcPr>
            <w:tcW w:w="3311" w:type="dxa"/>
            <w:shd w:val="clear" w:color="auto" w:fill="C6EFCE"/>
            <w:vAlign w:val="center"/>
          </w:tcPr>
          <w:p w:rsidR="00D87E44" w:rsidRDefault="00D87E44" w14:paraId="154593B0" w14:textId="77777777">
            <w:pPr>
              <w:spacing w:before="0" w:after="0" w:line="240" w:lineRule="auto"/>
              <w:jc w:val="center"/>
              <w:rPr>
                <w:rFonts w:eastAsia="Times New Roman"/>
                <w:noProof/>
                <w:color w:val="006100"/>
                <w:sz w:val="20"/>
                <w:szCs w:val="20"/>
              </w:rPr>
            </w:pPr>
            <w:r w:rsidRPr="0D43739B">
              <w:rPr>
                <w:rFonts w:eastAsia="Times New Roman"/>
                <w:noProof/>
                <w:color w:val="006100"/>
                <w:sz w:val="20"/>
                <w:szCs w:val="20"/>
              </w:rPr>
              <w:t>C 1.2: Digital Public Administration Systems -</w:t>
            </w:r>
          </w:p>
          <w:p w:rsidR="00D87E44" w:rsidP="00E3458A" w:rsidRDefault="00D87E44" w14:paraId="154593B1" w14:textId="77777777">
            <w:pPr>
              <w:spacing w:line="240" w:lineRule="auto"/>
              <w:jc w:val="center"/>
              <w:rPr>
                <w:rFonts w:eastAsia="Times New Roman"/>
                <w:noProof/>
                <w:color w:val="006100"/>
                <w:sz w:val="20"/>
                <w:szCs w:val="20"/>
              </w:rPr>
            </w:pPr>
            <w:r w:rsidRPr="0D43739B">
              <w:rPr>
                <w:rFonts w:eastAsia="Times New Roman"/>
                <w:noProof/>
                <w:color w:val="006100"/>
                <w:sz w:val="20"/>
                <w:szCs w:val="20"/>
              </w:rPr>
              <w:t xml:space="preserve">Investment 5: Top-up of Cybersecurity Investment </w:t>
            </w:r>
          </w:p>
        </w:tc>
        <w:tc>
          <w:tcPr>
            <w:tcW w:w="1691" w:type="dxa"/>
            <w:shd w:val="clear" w:color="auto" w:fill="C6EFCE"/>
            <w:vAlign w:val="center"/>
          </w:tcPr>
          <w:p w:rsidR="00D87E44" w:rsidP="00E3458A" w:rsidRDefault="00D87E44" w14:paraId="154593B2" w14:textId="77777777">
            <w:pPr>
              <w:spacing w:line="240" w:lineRule="auto"/>
              <w:jc w:val="center"/>
              <w:rPr>
                <w:rFonts w:eastAsia="Times New Roman"/>
                <w:noProof/>
                <w:color w:val="006100"/>
                <w:sz w:val="20"/>
                <w:szCs w:val="20"/>
              </w:rPr>
            </w:pPr>
            <w:r w:rsidRPr="0D43739B">
              <w:rPr>
                <w:rFonts w:eastAsia="Times New Roman"/>
                <w:noProof/>
                <w:color w:val="006100"/>
                <w:sz w:val="20"/>
                <w:szCs w:val="20"/>
              </w:rPr>
              <w:t xml:space="preserve">Target </w:t>
            </w:r>
          </w:p>
        </w:tc>
        <w:tc>
          <w:tcPr>
            <w:tcW w:w="3355" w:type="dxa"/>
            <w:shd w:val="clear" w:color="auto" w:fill="C6EFCE"/>
            <w:vAlign w:val="center"/>
          </w:tcPr>
          <w:p w:rsidR="00D87E44" w:rsidP="00E3458A" w:rsidRDefault="00D87E44" w14:paraId="154593B3" w14:textId="77777777">
            <w:pPr>
              <w:spacing w:line="240" w:lineRule="auto"/>
              <w:jc w:val="center"/>
              <w:rPr>
                <w:rFonts w:eastAsia="Times New Roman"/>
                <w:noProof/>
                <w:color w:val="006100"/>
                <w:sz w:val="20"/>
                <w:szCs w:val="20"/>
              </w:rPr>
            </w:pPr>
            <w:r w:rsidRPr="4A45BCA2">
              <w:rPr>
                <w:rFonts w:eastAsia="Times New Roman"/>
                <w:noProof/>
                <w:color w:val="006100"/>
                <w:sz w:val="20"/>
                <w:szCs w:val="20"/>
              </w:rPr>
              <w:t>Number of cybersecurity projects accepted</w:t>
            </w:r>
          </w:p>
        </w:tc>
      </w:tr>
      <w:tr w:rsidR="00E3458A" w:rsidTr="00D03A72" w14:paraId="154593B9" w14:textId="77777777">
        <w:trPr>
          <w:trHeight w:val="795"/>
        </w:trPr>
        <w:tc>
          <w:tcPr>
            <w:tcW w:w="1260" w:type="dxa"/>
            <w:shd w:val="clear" w:color="auto" w:fill="C6EFCE"/>
            <w:vAlign w:val="center"/>
            <w:hideMark/>
          </w:tcPr>
          <w:p w:rsidR="00D87E44" w:rsidRDefault="00D87E44" w14:paraId="154593B5"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265</w:t>
            </w:r>
          </w:p>
        </w:tc>
        <w:tc>
          <w:tcPr>
            <w:tcW w:w="3311" w:type="dxa"/>
            <w:shd w:val="clear" w:color="auto" w:fill="C6EFCE"/>
            <w:vAlign w:val="center"/>
            <w:hideMark/>
          </w:tcPr>
          <w:p w:rsidR="00D87E44" w:rsidRDefault="00D87E44" w14:paraId="154593B6" w14:textId="77777777">
            <w:pPr>
              <w:spacing w:line="240" w:lineRule="auto"/>
              <w:jc w:val="center"/>
              <w:rPr>
                <w:rFonts w:eastAsia="Times New Roman"/>
                <w:noProof/>
                <w:color w:val="006100"/>
                <w:sz w:val="20"/>
                <w:szCs w:val="20"/>
              </w:rPr>
            </w:pPr>
            <w:r>
              <w:rPr>
                <w:rFonts w:eastAsia="Times New Roman"/>
                <w:noProof/>
                <w:color w:val="006100"/>
                <w:sz w:val="20"/>
                <w:szCs w:val="20"/>
              </w:rPr>
              <w:t xml:space="preserve">C 2.10: Affordable Housing - Investment 1: Concessional loan </w:t>
            </w:r>
            <w:r>
              <w:rPr>
                <w:rFonts w:eastAsia="Times New Roman"/>
                <w:noProof/>
                <w:color w:val="006100"/>
                <w:sz w:val="20"/>
                <w:szCs w:val="20"/>
              </w:rPr>
              <w:t>facility</w:t>
            </w:r>
          </w:p>
        </w:tc>
        <w:tc>
          <w:tcPr>
            <w:tcW w:w="1691" w:type="dxa"/>
            <w:shd w:val="clear" w:color="auto" w:fill="C6EFCE"/>
            <w:vAlign w:val="center"/>
            <w:hideMark/>
          </w:tcPr>
          <w:p w:rsidR="00D87E44" w:rsidRDefault="00D87E44" w14:paraId="154593B7" w14:textId="77777777">
            <w:pPr>
              <w:spacing w:line="240" w:lineRule="auto"/>
              <w:jc w:val="center"/>
              <w:rPr>
                <w:rFonts w:eastAsia="Times New Roman"/>
                <w:noProof/>
                <w:color w:val="006100"/>
                <w:sz w:val="20"/>
                <w:szCs w:val="20"/>
              </w:rPr>
            </w:pPr>
            <w:r>
              <w:rPr>
                <w:rFonts w:eastAsia="Times New Roman"/>
                <w:noProof/>
                <w:color w:val="006100"/>
                <w:sz w:val="20"/>
                <w:szCs w:val="20"/>
              </w:rPr>
              <w:t>Target</w:t>
            </w:r>
          </w:p>
        </w:tc>
        <w:tc>
          <w:tcPr>
            <w:tcW w:w="3355" w:type="dxa"/>
            <w:shd w:val="clear" w:color="auto" w:fill="C6EFCE"/>
            <w:vAlign w:val="center"/>
            <w:hideMark/>
          </w:tcPr>
          <w:p w:rsidR="00D87E44" w:rsidRDefault="00D87E44" w14:paraId="154593B8" w14:textId="77777777">
            <w:pPr>
              <w:spacing w:line="240" w:lineRule="auto"/>
              <w:jc w:val="center"/>
              <w:rPr>
                <w:rFonts w:eastAsia="Times New Roman"/>
                <w:noProof/>
                <w:color w:val="006100"/>
                <w:sz w:val="20"/>
                <w:szCs w:val="20"/>
              </w:rPr>
            </w:pPr>
            <w:r>
              <w:rPr>
                <w:rFonts w:eastAsia="Times New Roman"/>
                <w:noProof/>
                <w:color w:val="006100"/>
                <w:sz w:val="20"/>
                <w:szCs w:val="20"/>
              </w:rPr>
              <w:t>Legal agreements signed with final beneficiaries</w:t>
            </w:r>
          </w:p>
        </w:tc>
      </w:tr>
      <w:tr w:rsidR="00E3458A" w:rsidTr="00D03A72" w14:paraId="154593BE" w14:textId="77777777">
        <w:trPr>
          <w:trHeight w:val="795"/>
        </w:trPr>
        <w:tc>
          <w:tcPr>
            <w:tcW w:w="1260" w:type="dxa"/>
            <w:shd w:val="clear" w:color="auto" w:fill="C6EFCE"/>
            <w:vAlign w:val="center"/>
            <w:hideMark/>
          </w:tcPr>
          <w:p w:rsidR="00D87E44" w:rsidRDefault="00D87E44" w14:paraId="154593BA"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266</w:t>
            </w:r>
          </w:p>
        </w:tc>
        <w:tc>
          <w:tcPr>
            <w:tcW w:w="3311" w:type="dxa"/>
            <w:shd w:val="clear" w:color="auto" w:fill="C6EFCE"/>
            <w:vAlign w:val="center"/>
            <w:hideMark/>
          </w:tcPr>
          <w:p w:rsidR="00D87E44" w:rsidRDefault="00D87E44" w14:paraId="154593BB" w14:textId="77777777">
            <w:pPr>
              <w:spacing w:line="240" w:lineRule="auto"/>
              <w:jc w:val="center"/>
              <w:rPr>
                <w:rFonts w:eastAsia="Times New Roman"/>
                <w:noProof/>
                <w:color w:val="006100"/>
                <w:sz w:val="20"/>
                <w:szCs w:val="20"/>
              </w:rPr>
            </w:pPr>
            <w:r>
              <w:rPr>
                <w:rFonts w:eastAsia="Times New Roman"/>
                <w:noProof/>
                <w:color w:val="006100"/>
                <w:sz w:val="20"/>
                <w:szCs w:val="20"/>
              </w:rPr>
              <w:t>C 2.10: Affordable Housing - Investment 1: Concessional loan facility</w:t>
            </w:r>
          </w:p>
        </w:tc>
        <w:tc>
          <w:tcPr>
            <w:tcW w:w="1691" w:type="dxa"/>
            <w:shd w:val="clear" w:color="auto" w:fill="C6EFCE"/>
            <w:vAlign w:val="center"/>
            <w:hideMark/>
          </w:tcPr>
          <w:p w:rsidR="00D87E44" w:rsidRDefault="00D87E44" w14:paraId="154593BC" w14:textId="77777777">
            <w:pPr>
              <w:spacing w:line="240" w:lineRule="auto"/>
              <w:jc w:val="center"/>
              <w:rPr>
                <w:rFonts w:eastAsia="Times New Roman"/>
                <w:noProof/>
                <w:color w:val="006100"/>
                <w:sz w:val="20"/>
                <w:szCs w:val="20"/>
              </w:rPr>
            </w:pPr>
            <w:r>
              <w:rPr>
                <w:rFonts w:eastAsia="Times New Roman"/>
                <w:noProof/>
                <w:color w:val="006100"/>
                <w:sz w:val="20"/>
                <w:szCs w:val="20"/>
              </w:rPr>
              <w:t>Milestone</w:t>
            </w:r>
          </w:p>
        </w:tc>
        <w:tc>
          <w:tcPr>
            <w:tcW w:w="3355" w:type="dxa"/>
            <w:shd w:val="clear" w:color="auto" w:fill="C6EFCE"/>
            <w:vAlign w:val="center"/>
            <w:hideMark/>
          </w:tcPr>
          <w:p w:rsidR="00D87E44" w:rsidRDefault="00D87E44" w14:paraId="154593BD" w14:textId="77777777">
            <w:pPr>
              <w:spacing w:line="240" w:lineRule="auto"/>
              <w:jc w:val="center"/>
              <w:rPr>
                <w:rFonts w:eastAsia="Times New Roman"/>
                <w:noProof/>
                <w:color w:val="006100"/>
                <w:sz w:val="20"/>
                <w:szCs w:val="20"/>
              </w:rPr>
            </w:pPr>
            <w:r w:rsidRPr="10CEED07">
              <w:rPr>
                <w:rFonts w:eastAsia="Times New Roman"/>
                <w:noProof/>
                <w:color w:val="006100"/>
                <w:sz w:val="20"/>
                <w:szCs w:val="20"/>
              </w:rPr>
              <w:t>Transfer of funds</w:t>
            </w:r>
          </w:p>
        </w:tc>
      </w:tr>
      <w:tr w:rsidR="00E3458A" w:rsidTr="00D03A72" w14:paraId="154593C3" w14:textId="77777777">
        <w:trPr>
          <w:trHeight w:val="795"/>
        </w:trPr>
        <w:tc>
          <w:tcPr>
            <w:tcW w:w="1260" w:type="dxa"/>
            <w:shd w:val="clear" w:color="auto" w:fill="C6EFCE"/>
            <w:vAlign w:val="center"/>
            <w:hideMark/>
          </w:tcPr>
          <w:p w:rsidR="00D87E44" w:rsidRDefault="00D87E44" w14:paraId="154593BF"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268</w:t>
            </w:r>
          </w:p>
        </w:tc>
        <w:tc>
          <w:tcPr>
            <w:tcW w:w="3311" w:type="dxa"/>
            <w:shd w:val="clear" w:color="auto" w:fill="C6EFCE"/>
            <w:vAlign w:val="center"/>
            <w:hideMark/>
          </w:tcPr>
          <w:p w:rsidR="00D87E44" w:rsidRDefault="00D87E44" w14:paraId="154593C0" w14:textId="77777777">
            <w:pPr>
              <w:spacing w:line="240" w:lineRule="auto"/>
              <w:jc w:val="center"/>
              <w:rPr>
                <w:rFonts w:eastAsia="Times New Roman"/>
                <w:noProof/>
                <w:color w:val="006100"/>
                <w:sz w:val="20"/>
                <w:szCs w:val="20"/>
              </w:rPr>
            </w:pPr>
            <w:r>
              <w:rPr>
                <w:rFonts w:eastAsia="Times New Roman"/>
                <w:noProof/>
                <w:color w:val="006100"/>
                <w:sz w:val="20"/>
                <w:szCs w:val="20"/>
              </w:rPr>
              <w:t>C 2.10: Affordable Housing - Investment 2:  Subordinated loan facility</w:t>
            </w:r>
          </w:p>
        </w:tc>
        <w:tc>
          <w:tcPr>
            <w:tcW w:w="1691" w:type="dxa"/>
            <w:shd w:val="clear" w:color="auto" w:fill="C6EFCE"/>
            <w:vAlign w:val="center"/>
            <w:hideMark/>
          </w:tcPr>
          <w:p w:rsidR="00D87E44" w:rsidRDefault="00D87E44" w14:paraId="154593C1" w14:textId="77777777">
            <w:pPr>
              <w:spacing w:line="240" w:lineRule="auto"/>
              <w:jc w:val="center"/>
              <w:rPr>
                <w:rFonts w:eastAsia="Times New Roman"/>
                <w:noProof/>
                <w:color w:val="006100"/>
                <w:sz w:val="20"/>
                <w:szCs w:val="20"/>
              </w:rPr>
            </w:pPr>
            <w:r>
              <w:rPr>
                <w:rFonts w:eastAsia="Times New Roman"/>
                <w:noProof/>
                <w:color w:val="006100"/>
                <w:sz w:val="20"/>
                <w:szCs w:val="20"/>
              </w:rPr>
              <w:t>Target</w:t>
            </w:r>
          </w:p>
        </w:tc>
        <w:tc>
          <w:tcPr>
            <w:tcW w:w="3355" w:type="dxa"/>
            <w:shd w:val="clear" w:color="auto" w:fill="C6EFCE"/>
            <w:vAlign w:val="center"/>
            <w:hideMark/>
          </w:tcPr>
          <w:p w:rsidR="00D87E44" w:rsidRDefault="00D87E44" w14:paraId="154593C2" w14:textId="77777777">
            <w:pPr>
              <w:spacing w:line="240" w:lineRule="auto"/>
              <w:jc w:val="center"/>
              <w:rPr>
                <w:rFonts w:eastAsia="Times New Roman"/>
                <w:noProof/>
                <w:color w:val="006100"/>
                <w:sz w:val="20"/>
                <w:szCs w:val="20"/>
              </w:rPr>
            </w:pPr>
            <w:r>
              <w:rPr>
                <w:rFonts w:eastAsia="Times New Roman"/>
                <w:noProof/>
                <w:color w:val="006100"/>
                <w:sz w:val="20"/>
                <w:szCs w:val="20"/>
              </w:rPr>
              <w:t xml:space="preserve">Legal agreements signed with final beneficiaries  </w:t>
            </w:r>
          </w:p>
        </w:tc>
      </w:tr>
      <w:tr w:rsidR="00E3458A" w:rsidTr="00D03A72" w14:paraId="154593C8" w14:textId="77777777">
        <w:trPr>
          <w:trHeight w:val="795"/>
        </w:trPr>
        <w:tc>
          <w:tcPr>
            <w:tcW w:w="1260" w:type="dxa"/>
            <w:shd w:val="clear" w:color="auto" w:fill="C6EFCE"/>
            <w:vAlign w:val="center"/>
            <w:hideMark/>
          </w:tcPr>
          <w:p w:rsidR="00D87E44" w:rsidRDefault="00D87E44" w14:paraId="154593C4" w14:textId="77777777">
            <w:pPr>
              <w:spacing w:line="240" w:lineRule="auto"/>
              <w:jc w:val="center"/>
              <w:rPr>
                <w:rFonts w:eastAsia="Times New Roman"/>
                <w:noProof/>
                <w:color w:val="006100"/>
                <w:sz w:val="20"/>
                <w:szCs w:val="20"/>
                <w:lang w:val="en-IE"/>
              </w:rPr>
            </w:pPr>
            <w:r>
              <w:rPr>
                <w:rFonts w:eastAsia="Times New Roman"/>
                <w:noProof/>
                <w:color w:val="006100"/>
                <w:sz w:val="20"/>
                <w:szCs w:val="20"/>
                <w:lang w:val="en-IE"/>
              </w:rPr>
              <w:t>269</w:t>
            </w:r>
          </w:p>
        </w:tc>
        <w:tc>
          <w:tcPr>
            <w:tcW w:w="3311" w:type="dxa"/>
            <w:shd w:val="clear" w:color="auto" w:fill="C6EFCE"/>
            <w:vAlign w:val="center"/>
            <w:hideMark/>
          </w:tcPr>
          <w:p w:rsidR="00D87E44" w:rsidRDefault="00D87E44" w14:paraId="154593C5" w14:textId="77777777">
            <w:pPr>
              <w:spacing w:line="240" w:lineRule="auto"/>
              <w:jc w:val="center"/>
              <w:rPr>
                <w:rFonts w:eastAsia="Times New Roman"/>
                <w:noProof/>
                <w:color w:val="006100"/>
                <w:sz w:val="20"/>
                <w:szCs w:val="20"/>
              </w:rPr>
            </w:pPr>
            <w:r>
              <w:rPr>
                <w:rFonts w:eastAsia="Times New Roman"/>
                <w:noProof/>
                <w:color w:val="006100"/>
                <w:sz w:val="20"/>
                <w:szCs w:val="20"/>
              </w:rPr>
              <w:t>C 2.10: Affordable Housing - Investment 2:  Subordinated loan facility</w:t>
            </w:r>
          </w:p>
        </w:tc>
        <w:tc>
          <w:tcPr>
            <w:tcW w:w="1691" w:type="dxa"/>
            <w:shd w:val="clear" w:color="auto" w:fill="C6EFCE"/>
            <w:vAlign w:val="center"/>
            <w:hideMark/>
          </w:tcPr>
          <w:p w:rsidR="00D87E44" w:rsidRDefault="00D87E44" w14:paraId="154593C6" w14:textId="77777777">
            <w:pPr>
              <w:spacing w:line="240" w:lineRule="auto"/>
              <w:jc w:val="center"/>
              <w:rPr>
                <w:rFonts w:eastAsia="Times New Roman"/>
                <w:noProof/>
                <w:color w:val="006100"/>
                <w:sz w:val="20"/>
                <w:szCs w:val="20"/>
              </w:rPr>
            </w:pPr>
            <w:r>
              <w:rPr>
                <w:rFonts w:eastAsia="Times New Roman"/>
                <w:noProof/>
                <w:color w:val="006100"/>
                <w:sz w:val="20"/>
                <w:szCs w:val="20"/>
              </w:rPr>
              <w:t>Milestone</w:t>
            </w:r>
          </w:p>
        </w:tc>
        <w:tc>
          <w:tcPr>
            <w:tcW w:w="3355" w:type="dxa"/>
            <w:shd w:val="clear" w:color="auto" w:fill="C6EFCE"/>
            <w:vAlign w:val="center"/>
            <w:hideMark/>
          </w:tcPr>
          <w:p w:rsidR="00D87E44" w:rsidRDefault="00D87E44" w14:paraId="154593C7" w14:textId="77777777">
            <w:pPr>
              <w:spacing w:line="240" w:lineRule="auto"/>
              <w:jc w:val="center"/>
              <w:rPr>
                <w:rFonts w:eastAsia="Times New Roman"/>
                <w:noProof/>
                <w:color w:val="006100"/>
                <w:sz w:val="20"/>
                <w:szCs w:val="20"/>
              </w:rPr>
            </w:pPr>
            <w:r w:rsidRPr="2700E2F4">
              <w:rPr>
                <w:rFonts w:eastAsia="Times New Roman"/>
                <w:noProof/>
                <w:color w:val="006100"/>
                <w:sz w:val="20"/>
                <w:szCs w:val="20"/>
              </w:rPr>
              <w:t xml:space="preserve"> Transfer of funds</w:t>
            </w:r>
          </w:p>
        </w:tc>
      </w:tr>
      <w:tr w:rsidR="00E3458A" w:rsidTr="00D03A72" w14:paraId="154593CD" w14:textId="77777777">
        <w:trPr>
          <w:trHeight w:val="795"/>
        </w:trPr>
        <w:tc>
          <w:tcPr>
            <w:tcW w:w="1260" w:type="dxa"/>
            <w:shd w:val="clear" w:color="auto" w:fill="C6EFCE"/>
            <w:vAlign w:val="center"/>
          </w:tcPr>
          <w:p w:rsidR="00D87E44" w:rsidRDefault="00D87E44" w14:paraId="154593C9" w14:textId="77777777">
            <w:pPr>
              <w:spacing w:line="240" w:lineRule="auto"/>
              <w:jc w:val="center"/>
              <w:rPr>
                <w:rFonts w:eastAsia="Times New Roman"/>
                <w:noProof/>
                <w:color w:val="006100"/>
                <w:sz w:val="20"/>
                <w:szCs w:val="20"/>
                <w:lang w:val="en-IE"/>
              </w:rPr>
            </w:pPr>
          </w:p>
        </w:tc>
        <w:tc>
          <w:tcPr>
            <w:tcW w:w="3311" w:type="dxa"/>
            <w:shd w:val="clear" w:color="auto" w:fill="C6EFCE"/>
            <w:vAlign w:val="center"/>
          </w:tcPr>
          <w:p w:rsidR="00D87E44" w:rsidRDefault="00D87E44" w14:paraId="154593CA" w14:textId="77777777">
            <w:pPr>
              <w:spacing w:line="240" w:lineRule="auto"/>
              <w:jc w:val="center"/>
              <w:rPr>
                <w:rFonts w:eastAsia="Times New Roman"/>
                <w:noProof/>
                <w:color w:val="006100"/>
                <w:sz w:val="20"/>
                <w:szCs w:val="20"/>
                <w:lang w:val="en-IE"/>
              </w:rPr>
            </w:pPr>
          </w:p>
        </w:tc>
        <w:tc>
          <w:tcPr>
            <w:tcW w:w="1691" w:type="dxa"/>
            <w:shd w:val="clear" w:color="auto" w:fill="C6EFCE"/>
            <w:vAlign w:val="center"/>
            <w:hideMark/>
          </w:tcPr>
          <w:p w:rsidR="00D87E44" w:rsidRDefault="00D87E44" w14:paraId="154593CB" w14:textId="77777777">
            <w:pPr>
              <w:spacing w:line="240" w:lineRule="auto"/>
              <w:jc w:val="center"/>
              <w:rPr>
                <w:rFonts w:eastAsia="Times New Roman"/>
                <w:b/>
                <w:noProof/>
                <w:color w:val="006100"/>
                <w:sz w:val="20"/>
                <w:szCs w:val="20"/>
                <w:lang w:val="en-IE"/>
              </w:rPr>
            </w:pPr>
            <w:r>
              <w:rPr>
                <w:rFonts w:eastAsia="Times New Roman"/>
                <w:b/>
                <w:noProof/>
                <w:color w:val="006100"/>
                <w:sz w:val="20"/>
                <w:szCs w:val="20"/>
                <w:lang w:val="en-IE"/>
              </w:rPr>
              <w:t>Instalment amount</w:t>
            </w:r>
          </w:p>
        </w:tc>
        <w:tc>
          <w:tcPr>
            <w:tcW w:w="3355" w:type="dxa"/>
            <w:shd w:val="clear" w:color="auto" w:fill="C6EFCE"/>
            <w:vAlign w:val="center"/>
            <w:hideMark/>
          </w:tcPr>
          <w:p w:rsidR="00D87E44" w:rsidRDefault="00D87E44" w14:paraId="154593CC" w14:textId="77777777">
            <w:pPr>
              <w:spacing w:line="240" w:lineRule="auto"/>
              <w:jc w:val="center"/>
              <w:rPr>
                <w:rFonts w:eastAsia="Times New Roman"/>
                <w:b/>
                <w:noProof/>
                <w:color w:val="006100"/>
                <w:sz w:val="20"/>
                <w:szCs w:val="20"/>
                <w:lang w:val="en-IE"/>
              </w:rPr>
            </w:pPr>
            <w:r w:rsidRPr="29C93A69">
              <w:rPr>
                <w:rFonts w:eastAsia="Times New Roman"/>
                <w:b/>
                <w:bCs/>
                <w:noProof/>
                <w:color w:val="006100"/>
                <w:sz w:val="20"/>
                <w:szCs w:val="20"/>
                <w:lang w:val="en-IE"/>
              </w:rPr>
              <w:t>EUR</w:t>
            </w:r>
            <w:r>
              <w:rPr>
                <w:rFonts w:eastAsia="Times New Roman"/>
                <w:b/>
                <w:bCs/>
                <w:noProof/>
                <w:color w:val="006100"/>
                <w:sz w:val="20"/>
                <w:szCs w:val="20"/>
                <w:lang w:val="en-IE"/>
              </w:rPr>
              <w:t xml:space="preserve"> </w:t>
            </w:r>
            <w:r w:rsidRPr="50A0F14C">
              <w:rPr>
                <w:rFonts w:eastAsia="Times New Roman"/>
                <w:b/>
                <w:bCs/>
                <w:noProof/>
                <w:color w:val="006100"/>
                <w:sz w:val="20"/>
                <w:szCs w:val="20"/>
                <w:lang w:val="en-IE"/>
              </w:rPr>
              <w:t>110</w:t>
            </w:r>
            <w:r>
              <w:rPr>
                <w:rFonts w:eastAsia="Times New Roman"/>
                <w:b/>
                <w:bCs/>
                <w:noProof/>
                <w:color w:val="006100"/>
                <w:sz w:val="20"/>
                <w:szCs w:val="20"/>
                <w:lang w:val="en-IE"/>
              </w:rPr>
              <w:t> </w:t>
            </w:r>
            <w:r w:rsidRPr="50A0F14C">
              <w:rPr>
                <w:rFonts w:eastAsia="Times New Roman"/>
                <w:b/>
                <w:bCs/>
                <w:noProof/>
                <w:color w:val="006100"/>
                <w:sz w:val="20"/>
                <w:szCs w:val="20"/>
                <w:lang w:val="en-IE"/>
              </w:rPr>
              <w:t>798</w:t>
            </w:r>
            <w:r>
              <w:rPr>
                <w:rFonts w:eastAsia="Times New Roman"/>
                <w:b/>
                <w:bCs/>
                <w:noProof/>
                <w:color w:val="006100"/>
                <w:sz w:val="20"/>
                <w:szCs w:val="20"/>
                <w:lang w:val="en-IE"/>
              </w:rPr>
              <w:t> </w:t>
            </w:r>
            <w:r w:rsidRPr="50A0F14C">
              <w:rPr>
                <w:rFonts w:eastAsia="Times New Roman"/>
                <w:b/>
                <w:bCs/>
                <w:noProof/>
                <w:color w:val="006100"/>
                <w:sz w:val="20"/>
                <w:szCs w:val="20"/>
                <w:lang w:val="en-IE"/>
              </w:rPr>
              <w:t>646</w:t>
            </w:r>
          </w:p>
        </w:tc>
      </w:tr>
    </w:tbl>
    <w:p w:rsidR="00D87E44" w:rsidP="00D226F4" w:rsidRDefault="00D87E44" w14:paraId="154593CE" w14:textId="77777777">
      <w:pPr>
        <w:rPr>
          <w:noProof/>
          <w:lang w:val="en-IE"/>
        </w:rPr>
      </w:pPr>
    </w:p>
    <w:p w:rsidR="00D87E44" w:rsidP="00D226F4" w:rsidRDefault="00D87E44" w14:paraId="154593CF" w14:textId="77777777">
      <w:pPr>
        <w:rPr>
          <w:noProof/>
          <w:lang w:val="en-IE"/>
        </w:rPr>
      </w:pPr>
    </w:p>
    <w:p w:rsidR="00D87E44" w:rsidP="00D226F4" w:rsidRDefault="00D87E44" w14:paraId="154593D0" w14:textId="77777777">
      <w:pPr>
        <w:spacing w:before="0" w:after="0" w:line="240" w:lineRule="auto"/>
        <w:rPr>
          <w:b/>
          <w:smallCaps/>
          <w:noProof/>
          <w:szCs w:val="24"/>
          <w:lang w:val="en-IE"/>
        </w:rPr>
      </w:pPr>
      <w:r>
        <w:rPr>
          <w:b/>
          <w:smallCaps/>
          <w:noProof/>
          <w:szCs w:val="24"/>
          <w:lang w:val="en-IE"/>
        </w:rPr>
        <w:br w:type="page"/>
      </w:r>
    </w:p>
    <w:p w:rsidRPr="00FE48E2" w:rsidR="00D87E44" w:rsidP="00D226F4" w:rsidRDefault="00D87E44" w14:paraId="154593D1" w14:textId="77777777">
      <w:pPr>
        <w:keepNext/>
        <w:tabs>
          <w:tab w:val="left" w:pos="850"/>
        </w:tabs>
        <w:spacing w:line="240" w:lineRule="auto"/>
        <w:jc w:val="both"/>
        <w:outlineLvl w:val="0"/>
        <w:rPr>
          <w:b/>
          <w:smallCaps/>
          <w:noProof/>
          <w:szCs w:val="24"/>
          <w:lang w:val="en-IE"/>
        </w:rPr>
      </w:pPr>
      <w:r w:rsidRPr="00FE48E2">
        <w:rPr>
          <w:b/>
          <w:smallCaps/>
          <w:noProof/>
          <w:szCs w:val="24"/>
          <w:lang w:val="en-IE"/>
        </w:rPr>
        <w:lastRenderedPageBreak/>
        <w:t xml:space="preserve">SECTION 3: ADDITIONAL ARRANGEMENTS </w:t>
      </w:r>
    </w:p>
    <w:p w:rsidRPr="00FE48E2" w:rsidR="00D87E44" w:rsidP="00D226F4" w:rsidRDefault="00D87E44" w14:paraId="154593D2" w14:textId="77777777">
      <w:pPr>
        <w:numPr>
          <w:ilvl w:val="0"/>
          <w:numId w:val="90"/>
        </w:numPr>
        <w:spacing w:line="240" w:lineRule="auto"/>
        <w:jc w:val="both"/>
        <w:rPr>
          <w:b/>
          <w:noProof/>
          <w:lang w:val="en-IE"/>
        </w:rPr>
      </w:pPr>
      <w:r w:rsidRPr="00FE48E2">
        <w:rPr>
          <w:b/>
          <w:noProof/>
          <w:lang w:val="en-IE"/>
        </w:rPr>
        <w:t>Arrangements for monitoring and implementation of the recovery and resilience plan</w:t>
      </w:r>
    </w:p>
    <w:p w:rsidRPr="00FE48E2" w:rsidR="00D87E44" w:rsidP="00D226F4" w:rsidRDefault="00D87E44" w14:paraId="154593D3" w14:textId="77777777">
      <w:pPr>
        <w:spacing w:line="240" w:lineRule="auto"/>
        <w:jc w:val="both"/>
        <w:rPr>
          <w:rFonts w:eastAsia="Times New Roman"/>
          <w:noProof/>
          <w:szCs w:val="24"/>
          <w:lang w:val="en-IE"/>
        </w:rPr>
      </w:pPr>
      <w:r w:rsidRPr="00FE48E2">
        <w:rPr>
          <w:rFonts w:eastAsia="Times New Roman"/>
          <w:noProof/>
          <w:szCs w:val="24"/>
          <w:lang w:val="en-IE"/>
        </w:rPr>
        <w:t xml:space="preserve">The monitoring and implementation of the recovery and resilience plan of Czechia shall take place in accordance with the following arrangements: </w:t>
      </w:r>
    </w:p>
    <w:p w:rsidRPr="00FE48E2" w:rsidR="00D87E44" w:rsidP="00D226F4" w:rsidRDefault="00D87E44" w14:paraId="154593D4" w14:textId="77777777">
      <w:pPr>
        <w:spacing w:line="240" w:lineRule="auto"/>
        <w:jc w:val="both"/>
        <w:rPr>
          <w:rFonts w:eastAsia="Times New Roman"/>
          <w:noProof/>
          <w:szCs w:val="24"/>
          <w:lang w:val="en-IE"/>
        </w:rPr>
      </w:pPr>
      <w:r w:rsidRPr="00FE48E2">
        <w:rPr>
          <w:rFonts w:eastAsia="Times New Roman"/>
          <w:noProof/>
          <w:szCs w:val="24"/>
          <w:lang w:val="en-IE"/>
        </w:rPr>
        <w:t xml:space="preserve">In order to establish well-defined tasks, competences and powers, the Czech Government adopted on 17 May 2021, the Government resolution No 467. This resolution approved the recovery and resilience plan, statute, rules of procedures and ethical code for the </w:t>
      </w:r>
      <w:r w:rsidRPr="00FE48E2">
        <w:rPr>
          <w:noProof/>
          <w:szCs w:val="24"/>
          <w:lang w:val="en-IE"/>
        </w:rPr>
        <w:t>Managing Council of the national recovery and resilience plan</w:t>
      </w:r>
      <w:r w:rsidRPr="00FE48E2">
        <w:rPr>
          <w:rFonts w:eastAsia="Times New Roman"/>
          <w:noProof/>
          <w:szCs w:val="24"/>
          <w:lang w:val="en-IE"/>
        </w:rPr>
        <w:t>, tasks and competences of the bodies involved in the implementation of the</w:t>
      </w:r>
      <w:r w:rsidRPr="00FE48E2">
        <w:rPr>
          <w:rFonts w:eastAsia="Times New Roman"/>
          <w:noProof/>
          <w:sz w:val="28"/>
          <w:szCs w:val="24"/>
          <w:lang w:val="en-IE"/>
        </w:rPr>
        <w:t xml:space="preserve"> </w:t>
      </w:r>
      <w:r w:rsidRPr="00FE48E2">
        <w:rPr>
          <w:rFonts w:eastAsia="Times New Roman"/>
          <w:noProof/>
          <w:szCs w:val="24"/>
          <w:lang w:val="en-IE"/>
        </w:rPr>
        <w:t>recovery and resilience plan and appointed the Ministry of Industry and Trade as coordinating body and the Ministry of Finance as the audit body for the recovery and resilience plan.</w:t>
      </w:r>
    </w:p>
    <w:p w:rsidRPr="00FE48E2" w:rsidR="00D87E44" w:rsidP="00D226F4" w:rsidRDefault="00D87E44" w14:paraId="154593D5" w14:textId="77777777">
      <w:pPr>
        <w:spacing w:line="240" w:lineRule="auto"/>
        <w:jc w:val="both"/>
        <w:rPr>
          <w:rFonts w:eastAsia="Times New Roman"/>
          <w:noProof/>
          <w:szCs w:val="24"/>
          <w:lang w:val="en-IE"/>
        </w:rPr>
      </w:pPr>
      <w:r w:rsidRPr="00FE48E2">
        <w:rPr>
          <w:rFonts w:eastAsia="Times New Roman"/>
          <w:noProof/>
          <w:szCs w:val="24"/>
          <w:lang w:val="en-IE"/>
        </w:rPr>
        <w:t>The Managing Council of the national recovery and resilience plan is the highest decision-making and approval body with the responsibility for the overall coordination and monitoring of the recovery and resilience plan. Payment claims have to be approved by this council. The Ministry of Industry and Trade, as the central coordinating body for the recovery and resilience plan and its implementation, is responsible for coordination, monitoring and reporting of the recovery and resilience plan and is main poin</w:t>
      </w:r>
      <w:r w:rsidRPr="00FE48E2">
        <w:rPr>
          <w:rFonts w:eastAsia="Times New Roman"/>
          <w:noProof/>
          <w:szCs w:val="24"/>
          <w:lang w:val="en-IE"/>
        </w:rPr>
        <w:t>t of contact for the Commission. This body is also responsible for drawing-up of the payment claims and management declarations. It coordinates the reporting of milestones and targets, relevant indicators, but also qualitative financial information and other data, such as on final recipients. The data encoding is taking place in decentralized information systems throughout systems at the level of component owners, which are obliged to report the required data to the Ministry of Industry and Trade. Following</w:t>
      </w:r>
      <w:r w:rsidRPr="00FE48E2">
        <w:rPr>
          <w:rFonts w:eastAsia="Times New Roman"/>
          <w:noProof/>
          <w:szCs w:val="24"/>
          <w:lang w:val="en-IE"/>
        </w:rPr>
        <w:t xml:space="preserve"> a recent audit on other EU programmes, the Ministry of Industry and Trade has received a qualified audit opinion due to the absence of effective measures targeting the prevention, detection and correction of cases of conflict of interest. Dedicated milestones are included to the plan to ensure that these weaknesses have been addressed before the first payment request.</w:t>
      </w:r>
    </w:p>
    <w:p w:rsidRPr="00FE48E2" w:rsidR="00D87E44" w:rsidP="00D226F4" w:rsidRDefault="00D87E44" w14:paraId="154593D6" w14:textId="77777777">
      <w:pPr>
        <w:numPr>
          <w:ilvl w:val="0"/>
          <w:numId w:val="89"/>
        </w:numPr>
        <w:spacing w:line="240" w:lineRule="auto"/>
        <w:jc w:val="both"/>
        <w:rPr>
          <w:b/>
          <w:noProof/>
          <w:lang w:val="en-IE"/>
        </w:rPr>
      </w:pPr>
      <w:r w:rsidRPr="00FE48E2">
        <w:rPr>
          <w:b/>
          <w:noProof/>
          <w:lang w:val="en-IE"/>
        </w:rPr>
        <w:t xml:space="preserve">Arrangements for providing full access by the </w:t>
      </w:r>
      <w:r w:rsidRPr="00FE48E2">
        <w:rPr>
          <w:b/>
          <w:noProof/>
          <w:lang w:val="en-IE"/>
        </w:rPr>
        <w:t>Commission to the underlying data</w:t>
      </w:r>
    </w:p>
    <w:p w:rsidRPr="00FE48E2" w:rsidR="00D87E44" w:rsidP="00D226F4" w:rsidRDefault="00D87E44" w14:paraId="154593D7" w14:textId="77777777">
      <w:pPr>
        <w:spacing w:line="240" w:lineRule="auto"/>
        <w:jc w:val="both"/>
        <w:rPr>
          <w:noProof/>
          <w:lang w:val="en-IE"/>
        </w:rPr>
      </w:pPr>
      <w:r w:rsidRPr="00FE48E2">
        <w:rPr>
          <w:noProof/>
          <w:lang w:val="en-IE"/>
        </w:rPr>
        <w:t>In order to provide full access to the Commission to the underlying relevant data, Czechia shall have in place the following arrangements:</w:t>
      </w:r>
    </w:p>
    <w:p w:rsidR="00D87E44" w:rsidP="00D226F4" w:rsidRDefault="00D87E44" w14:paraId="154593D8" w14:textId="77777777">
      <w:pPr>
        <w:spacing w:line="240" w:lineRule="auto"/>
        <w:jc w:val="both"/>
        <w:rPr>
          <w:noProof/>
          <w:lang w:val="en-IE"/>
        </w:rPr>
      </w:pPr>
      <w:r w:rsidRPr="00FE48E2">
        <w:rPr>
          <w:noProof/>
          <w:lang w:val="en-IE"/>
        </w:rPr>
        <w:t>The Ministry of Industry and Trade, as the central coordinating body for Czechia’s recovery and resilience plan and its implementation, is responsible for overall coordination and monitoring of the plan. In particular, it acts as a coordinating body for monitoring progress on milestones and targets, where appropriate, for carrying out management verifications, and for providing reporting and requests for payments. It coordinates the reporting of milestones and targets, relevant indicators, but also qualitat</w:t>
      </w:r>
      <w:r w:rsidRPr="00FE48E2">
        <w:rPr>
          <w:noProof/>
          <w:lang w:val="en-IE"/>
        </w:rPr>
        <w:t>ive financial information and other data, such as on final recipients. The data encoding is taking place in decentralised systems throughout different component owners, which are obliged to report the required data to the coordinating body.</w:t>
      </w:r>
    </w:p>
    <w:p w:rsidRPr="00EA018B" w:rsidR="00D87E44" w:rsidP="00D226F4" w:rsidRDefault="00D87E44" w14:paraId="154593D9" w14:textId="77777777">
      <w:pPr>
        <w:spacing w:line="240" w:lineRule="auto"/>
        <w:jc w:val="both"/>
        <w:rPr>
          <w:noProof/>
          <w:lang w:val="en-IE"/>
        </w:rPr>
      </w:pPr>
      <w:r w:rsidRPr="00FE48E2">
        <w:rPr>
          <w:noProof/>
          <w:lang w:val="en-IE"/>
        </w:rPr>
        <w:t>In accordance with Article 24(2) of Regulation (EU) 2021/241, upon completion of the relevant agreed milestones and targets in Section 2.1 of this Annex, Czechia shall submit to the Commission a duly justified request for payment of the financial contribution. Czechia shall ensure that, upon request, the Commission has full access to the underlying relevant data that supports the due justification of the request for payment, both for the assessment of the request for payment in accordance with Article 24(3)</w:t>
      </w:r>
      <w:r w:rsidRPr="00FE48E2">
        <w:rPr>
          <w:noProof/>
          <w:lang w:val="en-IE"/>
        </w:rPr>
        <w:t xml:space="preserve"> of Regulation (EU) 2021/241 and for audit and control purposes.</w:t>
      </w:r>
    </w:p>
    <w:p w:rsidRPr="00D87E44" w:rsidR="00D87E44" w:rsidRDefault="00D87E44" w14:paraId="154593DB" w14:textId="77777777">
      <w:pPr>
        <w:rPr>
          <w:lang w:val="en-IE"/>
        </w:rPr>
      </w:pPr>
    </w:p>
    <w:sectPr w:rsidRPr="00D87E44" w:rsidR="00C16C1F" w:rsidSect="00FF1320">
      <w:headerReference w:type="even" r:id="Rb42c322835634bc1"/>
      <w:footerReference w:type="even" r:id="R10ff2ae31b6d4276"/>
      <w:headerReference w:type="first" r:id="R85efa403ed014969"/>
      <w:footerReference w:type="first" r:id="Rb17f1fd1aed74ecf"/>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0">
    <w:p w:rsidR="00144FF1" w:rsidP="00A43C50" w:rsidRDefault="00144FF1" w14:paraId="65BA9E24" w14:textId="77777777">
      <w:r>
        <w:separator/>
      </w:r>
    </w:p>
  </w:endnote>
  <w:endnote w:type="continuationSeparator" w:id="1">
    <w:p w:rsidR="00144FF1" w:rsidP="00A43C50" w:rsidRDefault="00144FF1" w14:paraId="2F922D2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Arial New Roman">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EC Square Sans Pro">
    <w:charset w:val="00"/>
    <w:family w:val="swiss"/>
    <w:pitch w:val="variable"/>
    <w:sig w:usb0="20000287" w:usb1="00000001" w:usb2="00000000" w:usb3="00000000" w:csb0="0000019F" w:csb1="00000000"/>
  </w:font>
  <w:font w:name="@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C50" w:rsidRDefault="00A43C50" w14:paraId="2965762A" w14:textId="7777777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08" w14:textId="77777777">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24" w14:textId="77777777">
    <w:pPr>
      <w:pStyle w:val="Footer"/>
    </w:pPr>
  </w:p>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33" w14:textId="77777777">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36" w14:textId="77777777">
    <w:pPr>
      <w:pStyle w:val="Footer"/>
    </w:pP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45" w14:textId="77777777">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48" w14:textId="77777777">
    <w:pPr>
      <w:pStyle w:val="Footer"/>
    </w:pPr>
  </w:p>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57" w14:textId="77777777">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5A" w14:textId="7777777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69" w14:textId="77777777">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6C" w14:textId="77777777">
    <w:pPr>
      <w:pStyle w:val="Footer"/>
    </w:pP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7B" w14:textId="77777777">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7E" w14:textId="77777777">
    <w:pPr>
      <w:pStyle w:val="Footer"/>
    </w:pPr>
  </w:p>
</w:ftr>
</file>

<file path=word/footer1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8D" w14:textId="77777777">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90" w14:textId="77777777">
    <w:pPr>
      <w:pStyle w:val="Footer"/>
    </w:pPr>
  </w:p>
</w:ftr>
</file>

<file path=word/footer1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17" w14:textId="77777777">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9F" w14:textId="77777777">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A2" w14:textId="77777777">
    <w:pPr>
      <w:pStyle w:val="Footer"/>
    </w:pPr>
  </w:p>
</w:ftr>
</file>

<file path=word/footer1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B1" w14:textId="77777777">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B4" w14:textId="77777777">
    <w:pPr>
      <w:pStyle w:val="Footer"/>
    </w:pPr>
  </w:p>
</w:ftr>
</file>

<file path=word/footer1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C3" w14:textId="77777777">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C6" w14:textId="77777777">
    <w:pPr>
      <w:pStyle w:val="Footer"/>
    </w:pPr>
  </w:p>
</w:ftr>
</file>

<file path=word/footer1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D5" w14:textId="7777777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1A" w14:textId="77777777">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D8" w14:textId="77777777">
    <w:pPr>
      <w:pStyle w:val="Footer"/>
    </w:pPr>
  </w:p>
</w:ftr>
</file>

<file path=word/footer1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E7" w14:textId="77777777">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EA" w14:textId="77777777">
    <w:pPr>
      <w:pStyle w:val="Footer"/>
    </w:pPr>
  </w:p>
</w:ftr>
</file>

<file path=word/footer1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F9" w14:textId="77777777">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FC" w14:textId="77777777">
    <w:pPr>
      <w:pStyle w:val="Footer"/>
    </w:pPr>
  </w:p>
</w:ftr>
</file>

<file path=word/footer1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0B" w14:textId="77777777">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0E" w14:textId="77777777">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1D" w14:textId="77777777">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20" w14:textId="77777777">
    <w:pPr>
      <w:pStyle w:val="Footer"/>
    </w:pPr>
  </w:p>
</w:ftr>
</file>

<file path=word/footer1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2F" w14:textId="77777777">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32" w14:textId="77777777">
    <w:pPr>
      <w:pStyle w:val="Footer"/>
    </w:pPr>
  </w:p>
</w:ftr>
</file>

<file path=word/footer1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41" w14:textId="77777777">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44" w14:textId="77777777">
    <w:pPr>
      <w:pStyle w:val="Footer"/>
    </w:pPr>
  </w:p>
</w:ftr>
</file>

<file path=word/footer1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29" w14:textId="77777777">
    <w:pPr>
      <w:pStyle w:val="Foote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53" w14:textId="77777777">
    <w:pPr>
      <w:pStyle w:val="Foote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56" w14:textId="77777777">
    <w:pPr>
      <w:pStyle w:val="Footer"/>
    </w:pPr>
  </w:p>
</w:ftr>
</file>

<file path=word/footer1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5" w14:textId="77777777">
    <w:pPr>
      <w:pStyle w:val="Footer"/>
    </w:pPr>
  </w:p>
</w:ftr>
</file>

<file path=word/footer1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7" w14:textId="77777777">
    <w:pPr>
      <w:pStyle w:val="Footer"/>
    </w:pPr>
  </w:p>
</w:ftr>
</file>

<file path=word/footer1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9" w14:textId="77777777">
    <w:pPr>
      <w:pStyle w:val="Footer"/>
    </w:pPr>
  </w:p>
</w:ftr>
</file>

<file path=word/footer1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C" w14:textId="77777777">
    <w:pPr>
      <w:pStyle w:val="Footer"/>
    </w:pPr>
  </w:p>
</w:ftr>
</file>

<file path=word/footer1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7B" w14:textId="7777777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2C" w14:textId="77777777">
    <w:pPr>
      <w:pStyle w:val="Footer"/>
    </w:pPr>
  </w:p>
</w:ftr>
</file>

<file path=word/footer1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7E" w14:textId="77777777">
    <w:pPr>
      <w:pStyle w:val="Footer"/>
    </w:pPr>
  </w:p>
</w:ftr>
</file>

<file path=word/footer1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8D" w14:textId="77777777">
    <w:pPr>
      <w:pStyle w:val="Footer"/>
    </w:pPr>
  </w:p>
</w:ftr>
</file>

<file path=word/footer1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90" w14:textId="77777777">
    <w:pPr>
      <w:pStyle w:val="Footer"/>
    </w:pPr>
  </w:p>
</w:ftr>
</file>

<file path=word/footer1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9F" w14:textId="77777777">
    <w:pPr>
      <w:pStyle w:val="Footer"/>
    </w:pPr>
  </w:p>
</w:ftr>
</file>

<file path=word/footer1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A2" w14:textId="77777777">
    <w:pPr>
      <w:pStyle w:val="Footer"/>
    </w:pPr>
  </w:p>
</w:ftr>
</file>

<file path=word/footer1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B1" w14:textId="77777777">
    <w:pPr>
      <w:pStyle w:val="Footer"/>
    </w:pPr>
  </w:p>
</w:ftr>
</file>

<file path=word/footer1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B4" w14:textId="77777777">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C3" w14:textId="77777777">
    <w:pPr>
      <w:pStyle w:val="Footer"/>
    </w:pPr>
  </w:p>
</w:ftr>
</file>

<file path=word/footer1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C6" w14:textId="77777777">
    <w:pPr>
      <w:pStyle w:val="Footer"/>
    </w:pPr>
  </w:p>
</w:ftr>
</file>

<file path=word/footer1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D5" w14:textId="77777777">
    <w:pPr>
      <w:pStyle w:val="Footer"/>
    </w:pPr>
  </w:p>
</w:ftr>
</file>

<file path=word/footer1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D8" w14:textId="77777777">
    <w:pPr>
      <w:pStyle w:val="Footer"/>
    </w:pPr>
  </w:p>
</w:ftr>
</file>

<file path=word/footer1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E7" w14:textId="77777777">
    <w:pPr>
      <w:pStyle w:val="Footer"/>
    </w:pPr>
  </w:p>
</w:ftr>
</file>

<file path=word/footer1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EA" w14:textId="77777777">
    <w:pPr>
      <w:pStyle w:val="Footer"/>
    </w:pPr>
  </w:p>
</w:ftr>
</file>

<file path=word/footer1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3B" w14:textId="77777777">
    <w:pPr>
      <w:pStyle w:val="Footer"/>
    </w:pPr>
  </w:p>
</w:ftr>
</file>

<file path=word/footer1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F9" w14:textId="77777777">
    <w:pPr>
      <w:pStyle w:val="Footer"/>
    </w:pPr>
  </w:p>
</w:ftr>
</file>

<file path=word/footer1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FC" w14:textId="77777777">
    <w:pPr>
      <w:pStyle w:val="Footer"/>
    </w:pPr>
  </w:p>
</w:ftr>
</file>

<file path=word/footer1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0B" w14:textId="77777777">
    <w:pPr>
      <w:pStyle w:val="Footer"/>
    </w:pPr>
  </w:p>
</w:ftr>
</file>

<file path=word/footer1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0E" w14:textId="77777777">
    <w:pPr>
      <w:pStyle w:val="Footer"/>
    </w:pPr>
  </w:p>
</w:ftr>
</file>

<file path=word/footer1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1D" w14:textId="77777777">
    <w:pPr>
      <w:pStyle w:val="Footer"/>
    </w:pPr>
  </w:p>
</w:ftr>
</file>

<file path=word/footer1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1F" w14:textId="77777777">
    <w:pPr>
      <w:pStyle w:val="Footer"/>
    </w:pPr>
  </w:p>
</w:ftr>
</file>

<file path=word/footer1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21" w14:textId="7777777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3E" w14:textId="77777777">
    <w:pPr>
      <w:pStyle w:val="Footer"/>
    </w:pPr>
  </w:p>
</w:ftr>
</file>

<file path=word/footer1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24" w14:textId="77777777">
    <w:pPr>
      <w:pStyle w:val="Footer"/>
    </w:pPr>
  </w:p>
</w:ftr>
</file>

<file path=word/footer1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33" w14:textId="77777777">
    <w:pPr>
      <w:pStyle w:val="Footer"/>
    </w:pPr>
  </w:p>
</w:ftr>
</file>

<file path=word/footer1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36" w14:textId="77777777">
    <w:pPr>
      <w:pStyle w:val="Footer"/>
    </w:pPr>
  </w:p>
</w:ftr>
</file>

<file path=word/footer1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45" w14:textId="77777777">
    <w:pPr>
      <w:pStyle w:val="Footer"/>
    </w:pPr>
  </w:p>
</w:ftr>
</file>

<file path=word/footer1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48" w14:textId="77777777">
    <w:pPr>
      <w:pStyle w:val="Footer"/>
    </w:pPr>
  </w:p>
</w:ftr>
</file>

<file path=word/footer1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1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57" w14:textId="77777777">
    <w:pPr>
      <w:pStyle w:val="Footer"/>
    </w:pPr>
  </w:p>
</w:ftr>
</file>

<file path=word/footer1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5A"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69" w14:textId="77777777">
    <w:pPr>
      <w:pStyle w:val="Footer"/>
    </w:pPr>
  </w:p>
</w:ftr>
</file>

<file path=word/footer2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6C" w14:textId="77777777">
    <w:pPr>
      <w:pStyle w:val="Footer"/>
    </w:pPr>
  </w:p>
</w:ftr>
</file>

<file path=word/footer2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7B" w14:textId="77777777">
    <w:pPr>
      <w:pStyle w:val="Footer"/>
    </w:pPr>
  </w:p>
</w:ftr>
</file>

<file path=word/footer2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7E" w14:textId="77777777">
    <w:pPr>
      <w:pStyle w:val="Footer"/>
    </w:pPr>
  </w:p>
</w:ftr>
</file>

<file path=word/footer2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8D" w14:textId="77777777">
    <w:pPr>
      <w:pStyle w:val="Footer"/>
    </w:pPr>
  </w:p>
</w:ftr>
</file>

<file path=word/footer2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90" w14:textId="77777777">
    <w:pPr>
      <w:pStyle w:val="Footer"/>
    </w:pPr>
  </w:p>
</w:ftr>
</file>

<file path=word/footer2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4D" w14:textId="77777777">
    <w:pPr>
      <w:pStyle w:val="Footer"/>
    </w:pPr>
  </w:p>
</w:ftr>
</file>

<file path=word/footer2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9F" w14:textId="77777777">
    <w:pPr>
      <w:pStyle w:val="Footer"/>
    </w:pPr>
  </w:p>
</w:ftr>
</file>

<file path=word/footer2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A2" w14:textId="77777777">
    <w:pPr>
      <w:pStyle w:val="Footer"/>
    </w:pPr>
  </w:p>
</w:ftr>
</file>

<file path=word/footer2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B1" w14:textId="77777777">
    <w:pPr>
      <w:pStyle w:val="Footer"/>
    </w:pPr>
  </w:p>
</w:ftr>
</file>

<file path=word/footer2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B4" w14:textId="77777777">
    <w:pPr>
      <w:pStyle w:val="Footer"/>
    </w:pPr>
  </w:p>
</w:ftr>
</file>

<file path=word/footer2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C3" w14:textId="77777777">
    <w:pPr>
      <w:pStyle w:val="Footer"/>
    </w:pPr>
  </w:p>
</w:ftr>
</file>

<file path=word/footer2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C6" w14:textId="77777777">
    <w:pPr>
      <w:pStyle w:val="Footer"/>
    </w:pPr>
  </w:p>
</w:ftr>
</file>

<file path=word/footer2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D5" w14:textId="77777777">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50" w14:textId="77777777">
    <w:pPr>
      <w:pStyle w:val="Footer"/>
    </w:pPr>
  </w:p>
</w:ftr>
</file>

<file path=word/footer2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D8" w14:textId="77777777">
    <w:pPr>
      <w:pStyle w:val="Footer"/>
    </w:pPr>
  </w:p>
</w:ftr>
</file>

<file path=word/footer2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E7" w14:textId="77777777">
    <w:pPr>
      <w:pStyle w:val="Footer"/>
    </w:pPr>
  </w:p>
</w:ftr>
</file>

<file path=word/footer2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EA" w14:textId="77777777">
    <w:pPr>
      <w:pStyle w:val="Footer"/>
    </w:pPr>
  </w:p>
</w:ftr>
</file>

<file path=word/footer2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F9" w14:textId="77777777">
    <w:pPr>
      <w:pStyle w:val="Footer"/>
    </w:pPr>
  </w:p>
</w:ftr>
</file>

<file path=word/footer2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FC" w14:textId="77777777">
    <w:pPr>
      <w:pStyle w:val="Footer"/>
    </w:pPr>
  </w:p>
</w:ftr>
</file>

<file path=word/footer2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0B" w14:textId="77777777">
    <w:pPr>
      <w:pStyle w:val="Footer"/>
    </w:pPr>
  </w:p>
</w:ftr>
</file>

<file path=word/footer2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0E" w14:textId="77777777">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1D" w14:textId="77777777">
    <w:pPr>
      <w:pStyle w:val="Footer"/>
    </w:pPr>
  </w:p>
</w:ftr>
</file>

<file path=word/footer2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20" w14:textId="77777777">
    <w:pPr>
      <w:pStyle w:val="Footer"/>
    </w:pPr>
  </w:p>
</w:ftr>
</file>

<file path=word/footer2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2F" w14:textId="77777777">
    <w:pPr>
      <w:pStyle w:val="Footer"/>
    </w:pPr>
  </w:p>
</w:ftr>
</file>

<file path=word/footer2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32" w14:textId="77777777">
    <w:pPr>
      <w:pStyle w:val="Footer"/>
    </w:pPr>
  </w:p>
</w:ftr>
</file>

<file path=word/footer2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41" w14:textId="77777777">
    <w:pPr>
      <w:pStyle w:val="Footer"/>
    </w:pPr>
  </w:p>
</w:ftr>
</file>

<file path=word/footer2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44" w14:textId="77777777">
    <w:pPr>
      <w:pStyle w:val="Footer"/>
    </w:pPr>
  </w:p>
</w:ftr>
</file>

<file path=word/footer2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5F" w14:textId="77777777">
    <w:pPr>
      <w:pStyle w:val="Footer"/>
    </w:pPr>
  </w:p>
</w:ftr>
</file>

<file path=word/footer2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53" w14:textId="77777777">
    <w:pPr>
      <w:pStyle w:val="Footer"/>
    </w:pPr>
  </w:p>
</w:ftr>
</file>

<file path=word/footer2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56" w14:textId="77777777">
    <w:pPr>
      <w:pStyle w:val="Footer"/>
    </w:pPr>
  </w:p>
</w:ftr>
</file>

<file path=word/footer2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65" w14:textId="77777777">
    <w:pPr>
      <w:pStyle w:val="Footer"/>
    </w:pPr>
  </w:p>
</w:ftr>
</file>

<file path=word/footer2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68" w14:textId="77777777">
    <w:pPr>
      <w:pStyle w:val="Footer"/>
    </w:pPr>
  </w:p>
</w:ftr>
</file>

<file path=word/footer2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77" w14:textId="77777777">
    <w:pPr>
      <w:pStyle w:val="Footer"/>
    </w:pPr>
  </w:p>
</w:ftr>
</file>

<file path=word/footer2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7A" w14:textId="77777777">
    <w:pPr>
      <w:pStyle w:val="Footer"/>
    </w:pPr>
  </w:p>
</w:ftr>
</file>

<file path=word/footer2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89" w14:textId="77777777">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62" w14:textId="77777777">
    <w:pPr>
      <w:pStyle w:val="Footer"/>
    </w:pPr>
  </w:p>
</w:ftr>
</file>

<file path=word/footer2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8C" w14:textId="77777777">
    <w:pPr>
      <w:pStyle w:val="Footer"/>
    </w:pPr>
  </w:p>
</w:ftr>
</file>

<file path=word/footer2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9B" w14:textId="77777777">
    <w:pPr>
      <w:pStyle w:val="Footer"/>
    </w:pPr>
  </w:p>
</w:ftr>
</file>

<file path=word/footer2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9E" w14:textId="77777777">
    <w:pPr>
      <w:pStyle w:val="Footer"/>
    </w:pPr>
  </w:p>
</w:ftr>
</file>

<file path=word/footer2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AD" w14:textId="77777777">
    <w:pPr>
      <w:pStyle w:val="Footer"/>
    </w:pPr>
  </w:p>
</w:ftr>
</file>

<file path=word/footer2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AF" w14:textId="77777777">
    <w:pPr>
      <w:pStyle w:val="Footer"/>
    </w:pPr>
  </w:p>
</w:ftr>
</file>

<file path=word/footer2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1" w14:textId="77777777">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2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3" w14:textId="77777777">
    <w:pPr>
      <w:pStyle w:val="Footer"/>
    </w:pPr>
  </w:p>
</w:ftr>
</file>

<file path=word/footer2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5" w14:textId="77777777">
    <w:pPr>
      <w:pStyle w:val="Footer"/>
    </w:pPr>
  </w:p>
</w:ftr>
</file>

<file path=word/footer2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7" w14:textId="77777777">
    <w:pPr>
      <w:pStyle w:val="Footer"/>
    </w:pPr>
  </w:p>
</w:ftr>
</file>

<file path=word/footer2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P="00FF1320" w:rsidRDefault="00D87E44" w14:paraId="154599B9" w14:textId="77777777">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71" w14:textId="77777777">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74" w14:textId="77777777">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83" w14:textId="77777777">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86" w14:textId="77777777">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95" w14:textId="77777777">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98" w14:textId="77777777">
    <w:pPr>
      <w:pStyle w:val="Foot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A7" w14:textId="77777777">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AA" w14:textId="77777777">
    <w:pPr>
      <w:pStyle w:val="Foote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B9"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C50" w:rsidRDefault="00A43C50" w14:paraId="154593E5" w14:textId="77777777">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BC" w14:textId="77777777">
    <w:pPr>
      <w:pStyle w:val="Foote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CB" w14:textId="77777777">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CE" w14:textId="77777777">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DD" w14:textId="77777777">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E0" w14:textId="77777777">
    <w:pPr>
      <w:pStyle w:val="Foo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EF" w14:textId="77777777">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F2" w14:textId="7777777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01" w14:textId="77777777">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04" w14:textId="77777777">
    <w:pPr>
      <w:pStyle w:val="Foote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13" w14:textId="77777777">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16" w14:textId="77777777">
    <w:pPr>
      <w:pStyle w:val="Foote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25" w14:textId="77777777">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28" w14:textId="77777777">
    <w:pPr>
      <w:pStyle w:val="Foote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37" w14:textId="77777777">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3A" w14:textId="77777777">
    <w:pPr>
      <w:pStyle w:val="Foote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49" w14:textId="77777777">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4C" w14:textId="77777777">
    <w:pPr>
      <w:pStyle w:val="Footer"/>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5B" w14:textId="77777777">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5E" w14:textId="77777777">
    <w:pPr>
      <w:pStyle w:val="Footer"/>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6D" w14:textId="7777777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70" w14:textId="77777777">
    <w:pPr>
      <w:pStyle w:val="Footer"/>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7F" w14:textId="77777777">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82" w14:textId="77777777">
    <w:pPr>
      <w:pStyle w:val="Footer"/>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91" w14:textId="77777777">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94" w14:textId="77777777">
    <w:pPr>
      <w:pStyle w:val="Footer"/>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A3" w14:textId="77777777">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A6" w14:textId="7777777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4" w:rsidRDefault="00D87E44" w14:paraId="15459403" w14:textId="77777777">
    <w:pPr>
      <w:pStyle w:val="Footer"/>
    </w:pP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B5" w14:textId="77777777">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B8" w14:textId="77777777">
    <w:pPr>
      <w:pStyle w:val="Footer"/>
    </w:pP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C7" w14:textId="77777777">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CA" w14:textId="77777777">
    <w:pPr>
      <w:pStyle w:val="Footer"/>
    </w:pP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D9" w14:textId="77777777">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DC" w14:textId="77777777">
    <w:pPr>
      <w:pStyle w:val="Footer"/>
    </w:pP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4" w:rsidP="00FF1320" w:rsidRDefault="00D87E44" w14:paraId="15459405" w14:textId="77777777">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EB" w14:textId="77777777">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EE" w14:textId="77777777">
    <w:pPr>
      <w:pStyle w:val="Footer"/>
    </w:pP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FD" w14:textId="77777777">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00" w14:textId="77777777">
    <w:pPr>
      <w:pStyle w:val="Footer"/>
    </w:pP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0F" w14:textId="77777777">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12" w14:textId="77777777">
    <w:pPr>
      <w:pStyle w:val="Footer"/>
    </w:pP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Pr="00D94637" w:rsidR="004F54B2" w:rsidTr="00D94637" w14:paraId="6869D2A7" w14:textId="77777777">
      <w:trPr>
        <w:jc w:val="center"/>
      </w:trPr>
      <w:tc>
        <w:tcPr>
          <w:tcW w:w="5000" w:type="pct"/>
          <w:gridSpan w:val="7"/>
          <w:shd w:val="clear" w:color="auto" w:fill="auto"/>
          <w:tcMar>
            <w:top w:w="57" w:type="dxa"/>
          </w:tcMar>
        </w:tcPr>
        <w:p w:rsidRPr="00D94637" w:rsidR="004F54B2" w:rsidP="00D94637" w:rsidRDefault="004F54B2" w14:paraId="4C7CBCF5" w14:textId="77777777">
          <w:pPr>
            <w:pStyle w:val="FooterText"/>
            <w:pBdr>
              <w:top w:val="single" w:color="auto" w:sz="4" w:space="1"/>
            </w:pBdr>
            <w:spacing w:before="200"/>
            <w:rPr>
              <w:sz w:val="2"/>
              <w:szCs w:val="2"/>
            </w:rPr>
          </w:pPr>
          <w:bookmarkStart w:name="FOOTER_STANDARD" w:id="4"/>
        </w:p>
      </w:tc>
    </w:tr>
    <w:tr w:rsidRPr="00B310DC" w:rsidR="004F54B2" w:rsidTr="00842D7E" w14:paraId="42087DC6" w14:textId="77777777">
      <w:trPr>
        <w:jc w:val="center"/>
      </w:trPr>
      <w:tc>
        <w:tcPr>
          <w:tcW w:w="2500" w:type="pct"/>
          <w:gridSpan w:val="2"/>
          <w:shd w:val="clear" w:color="auto" w:fill="auto"/>
          <w:tcMar>
            <w:top w:w="0" w:type="dxa"/>
          </w:tcMar>
        </w:tcPr>
        <w:p w:rsidRPr="00AD7BF2" w:rsidR="004F54B2" w:rsidP="004F54B2" w:rsidRDefault="00000000" w14:paraId="3EC32DBB" w14:textId="05547466">
          <w:pPr>
            <w:pStyle w:val="FooterText"/>
          </w:pPr>
          <w:r>
            <w:t xml:space="preserve">15755</w:t>
          </w:r>
          <w:r w:rsidR="00A60547">
            <w:t>/</w:t>
          </w:r>
          <w:r>
            <w:t xml:space="preserve">25</w:t>
          </w:r>
          <w:r w:rsidRPr="002511D8" w:rsidR="004F54B2">
            <w:t xml:space="preserve"> </w:t>
          </w:r>
          <w:r>
            <w:t xml:space="preserve">ADD 1</w:t>
          </w:r>
        </w:p>
      </w:tc>
      <w:tc>
        <w:tcPr>
          <w:tcW w:w="625" w:type="pct"/>
          <w:shd w:val="clear" w:color="auto" w:fill="auto"/>
          <w:tcMar>
            <w:top w:w="0" w:type="dxa"/>
          </w:tcMar>
        </w:tcPr>
        <w:p w:rsidRPr="00AD7BF2" w:rsidR="004F54B2" w:rsidP="00D94637" w:rsidRDefault="004F54B2" w14:paraId="60BE2956" w14:textId="77777777">
          <w:pPr>
            <w:pStyle w:val="FooterText"/>
            <w:jc w:val="center"/>
          </w:pPr>
        </w:p>
      </w:tc>
      <w:tc>
        <w:tcPr>
          <w:tcW w:w="1286" w:type="pct"/>
          <w:gridSpan w:val="3"/>
          <w:shd w:val="clear" w:color="auto" w:fill="auto"/>
          <w:tcMar>
            <w:top w:w="0" w:type="dxa"/>
          </w:tcMar>
        </w:tcPr>
        <w:p w:rsidRPr="002511D8" w:rsidR="004F54B2" w:rsidP="00D94637" w:rsidRDefault="004F54B2" w14:paraId="7A44B03D" w14:textId="1B0AAD8E">
          <w:pPr>
            <w:pStyle w:val="FooterText"/>
            <w:jc w:val="center"/>
          </w:pPr>
        </w:p>
      </w:tc>
      <w:tc>
        <w:tcPr>
          <w:tcW w:w="589" w:type="pct"/>
          <w:shd w:val="clear" w:color="auto" w:fill="auto"/>
          <w:tcMar>
            <w:top w:w="0" w:type="dxa"/>
          </w:tcMar>
        </w:tcPr>
        <w:p w:rsidRPr="00B310DC" w:rsidR="004F54B2" w:rsidP="00D94637" w:rsidRDefault="00000000" w14:paraId="382A18DC" w14:textId="30B25290">
          <w:pPr>
            <w:pStyle w:val="FooterText"/>
            <w:jc w:val="right"/>
          </w:pPr>
          <w:r>
            <w:fldChar w:fldCharType="begin"/>
          </w:r>
          <w:r>
            <w:instrText xml:space="preserve"> PAGE  \* MERGEFORMAT </w:instrText>
          </w:r>
          <w:r>
            <w:fldChar w:fldCharType="separate"/>
          </w:r>
          <w:r>
            <w:rPr>
              <w:noProof/>
            </w:rPr>
            <w:t>1</w:t>
          </w:r>
          <w:r>
            <w:fldChar w:fldCharType="end"/>
          </w:r>
        </w:p>
      </w:tc>
    </w:tr>
    <w:tr w:rsidRPr="00D94637" w:rsidR="004F54B2" w:rsidTr="00430704" w14:paraId="2A0EE194" w14:textId="77777777">
      <w:trPr>
        <w:jc w:val="center"/>
      </w:trPr>
      <w:tc>
        <w:tcPr>
          <w:tcW w:w="1774" w:type="pct"/>
          <w:shd w:val="clear" w:color="auto" w:fill="auto"/>
        </w:tcPr>
        <w:p w:rsidRPr="00AD7BF2" w:rsidR="004F54B2" w:rsidP="00D94637" w:rsidRDefault="00000000" w14:paraId="5ACDE434" w14:textId="44162738">
          <w:pPr>
            <w:pStyle w:val="FooterText"/>
            <w:spacing w:before="40"/>
          </w:pPr>
        </w:p>
      </w:tc>
      <w:tc>
        <w:tcPr>
          <w:tcW w:w="1455" w:type="pct"/>
          <w:gridSpan w:val="3"/>
          <w:shd w:val="clear" w:color="auto" w:fill="auto"/>
        </w:tcPr>
        <w:p w:rsidRPr="00AD7BF2" w:rsidR="004F54B2" w:rsidP="00D204D6" w:rsidRDefault="00000000" w14:paraId="27B87F7A" w14:textId="20EB5F12">
          <w:pPr>
            <w:pStyle w:val="FooterText"/>
            <w:spacing w:before="40"/>
            <w:jc w:val="center"/>
          </w:pPr>
          <w:r>
            <w:t xml:space="preserve">ECOFIN 1A</w:t>
          </w:r>
        </w:p>
      </w:tc>
      <w:tc>
        <w:tcPr>
          <w:tcW w:w="742" w:type="pct"/>
          <w:shd w:val="clear" w:color="auto" w:fill="auto"/>
        </w:tcPr>
        <w:p w:rsidRPr="00D94637" w:rsidR="004F54B2" w:rsidP="002F0099" w:rsidRDefault="00000000" w14:paraId="6BFF23F7" w14:textId="00AAF336">
          <w:pPr>
            <w:pStyle w:val="FooterText"/>
            <w:jc w:val="center"/>
            <w:rPr>
              <w:b/>
              <w:position w:val="-4"/>
              <w:sz w:val="36"/>
            </w:rPr>
          </w:pPr>
        </w:p>
      </w:tc>
      <w:tc>
        <w:tcPr>
          <w:tcW w:w="1029" w:type="pct"/>
          <w:gridSpan w:val="2"/>
          <w:shd w:val="clear" w:color="auto" w:fill="auto"/>
        </w:tcPr>
        <w:p w:rsidRPr="00695BAF" w:rsidR="004F54B2" w:rsidP="00D94637" w:rsidRDefault="00000000" w14:paraId="3613A0DC" w14:textId="3940FE8A">
          <w:pPr>
            <w:pStyle w:val="FooterText"/>
            <w:jc w:val="right"/>
            <w:rPr>
              <w:caps/>
              <w:spacing w:val="-20"/>
              <w:sz w:val="16"/>
            </w:rPr>
          </w:pPr>
          <w:r>
            <w:rPr>
              <w:b/>
              <w:caps/>
              <w:spacing w:val="-20"/>
              <w:position w:val="-4"/>
              <w:sz w:val="36"/>
            </w:rPr>
            <w:t xml:space="preserve">EN</w:t>
          </w:r>
        </w:p>
      </w:tc>
    </w:tr>
    <w:bookmarkEnd w:id="4"/>
  </w:tbl>
  <w:p>
    <w:pPr>
      <w:pStyle w:val="FooterCouncil"/>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21"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continuationNotice" w:id="1">
    <w:p w:rsidR="00D87E44" w:rsidRDefault="00D87E44" w14:paraId="154593E0" w14:textId="77777777">
      <w:pPr>
        <w:spacing w:before="0" w:after="0" w:line="240" w:lineRule="auto"/>
      </w:pPr>
    </w:p>
  </w:footnote>
  <w:footnote w:type="separator" w:id="-1">
    <w:p w:rsidR="00D87E44" w:rsidP="00E3458A" w:rsidRDefault="00D87E44" w14:paraId="154593DE" w14:textId="77777777">
      <w:pPr>
        <w:spacing w:before="0" w:after="0" w:line="240" w:lineRule="auto"/>
      </w:pPr>
      <w:r>
        <w:separator/>
      </w:r>
    </w:p>
  </w:footnote>
  <w:footnote w:type="continuationSeparator" w:id="0">
    <w:p w:rsidR="00D87E44" w:rsidP="00E3458A" w:rsidRDefault="00D87E44" w14:paraId="154593DF" w14:textId="77777777">
      <w:pPr>
        <w:spacing w:before="0" w:after="0" w:line="240" w:lineRule="auto"/>
      </w:pPr>
      <w:r>
        <w:continuationSeparator/>
      </w:r>
    </w:p>
  </w:footnote>
  <w:footnote w:id="2">
    <w:p w:rsidRPr="003D143B" w:rsidR="00D87E44" w:rsidP="00D226F4" w:rsidRDefault="00D87E44" w14:paraId="154599BA" w14:textId="77777777">
      <w:pPr>
        <w:pStyle w:val="FootnoteText"/>
        <w:ind w:left="0" w:firstLine="0"/>
        <w:jc w:val="both"/>
        <w:rPr>
          <w:sz w:val="20"/>
          <w:lang w:val="en-IE"/>
        </w:rPr>
      </w:pPr>
      <w:r w:rsidRPr="003D143B">
        <w:rPr>
          <w:rStyle w:val="FootnoteReference"/>
          <w:sz w:val="20"/>
        </w:rPr>
        <w:footnoteRef/>
      </w:r>
      <w:r w:rsidRPr="003D143B">
        <w:rPr>
          <w:sz w:val="20"/>
        </w:rPr>
        <w:t xml:space="preserve"> In particular, the measure requires the economic operators carrying out the construction works to ensure that at least 70% (by weight) of the non-hazardous construction and demolition waste (excluding naturally occurring material referred to in category 17 05 04 in the European List of Waste established by Decision 2000/532/EC of 3 May 2000 replacing Decision 94/3/EC establishing a list of wastes pursuant to Article 1(a) of Council Directive 75/442/EEC on waste and Council Decision 94/904/EC establishing a</w:t>
      </w:r>
      <w:r w:rsidRPr="003D143B">
        <w:rPr>
          <w:sz w:val="20"/>
        </w:rPr>
        <w:t xml:space="preserve"> list of hazardous waste pursuant to Article 1(4) of Council Directive 91/689/EEC on hazardous waste (notified under document number C(2000) 1147)) generated on the construction site shall be prepared for re-use, recycling and other material recovery, including backfilling operations using waste to substitute other materials, in accordance with the waste hierarchy and the EU Construction and Demolition Waste Management Protocol.</w:t>
      </w:r>
    </w:p>
  </w:footnote>
  <w:footnote w:id="3">
    <w:p w:rsidRPr="00EC0B1C" w:rsidR="00D87E44" w:rsidP="009E2ECA" w:rsidRDefault="00D87E44" w14:paraId="154599BB" w14:textId="77777777">
      <w:pPr>
        <w:pStyle w:val="FootnoteText"/>
        <w:ind w:left="0" w:firstLine="0"/>
      </w:pPr>
      <w:r>
        <w:rPr>
          <w:rStyle w:val="FootnoteReference"/>
        </w:rPr>
        <w:footnoteRef/>
      </w:r>
      <w:r>
        <w:t xml:space="preserve"> </w:t>
      </w:r>
      <w:r w:rsidRPr="009C7B82">
        <w:rPr>
          <w:sz w:val="20"/>
        </w:rPr>
        <w:t>Except projects under this measure in power and/or heat generation, as well as related transmission and distribution infrastructure, using natural gas, that are compliant with the conditions set out in Annex III of the ‘Do no significant harm’ Technical Guidance (2021/C58/01).</w:t>
      </w:r>
    </w:p>
  </w:footnote>
  <w:footnote w:id="4">
    <w:p w:rsidRPr="00D561EE" w:rsidR="00D87E44" w:rsidP="009E2ECA" w:rsidRDefault="00D87E44" w14:paraId="154599BC" w14:textId="77777777">
      <w:pPr>
        <w:pStyle w:val="FootnoteText"/>
        <w:ind w:left="0" w:firstLine="0"/>
      </w:pPr>
      <w:r>
        <w:rPr>
          <w:rStyle w:val="FootnoteReference"/>
        </w:rPr>
        <w:footnoteRef/>
      </w:r>
      <w:r>
        <w:t xml:space="preserve"> </w:t>
      </w:r>
      <w:r w:rsidRPr="009C7B82">
        <w:rPr>
          <w:sz w:val="20"/>
        </w:rPr>
        <w:t>Where the activity supported achieves projected greenhouse gas emissions that are not significantly lower than the relevant benchmarks an explanation of the reasons why this is not possible should be provided. Benchmarks established for free allocation for activities falling within the scope of the Emissions Trading System, as set out in the Commission Implementing Regulation (EU) 2021/447.</w:t>
      </w:r>
    </w:p>
  </w:footnote>
  <w:footnote w:id="5">
    <w:p w:rsidRPr="00D561EE" w:rsidR="00D87E44" w:rsidP="009E2ECA" w:rsidRDefault="00D87E44" w14:paraId="154599BD" w14:textId="77777777">
      <w:pPr>
        <w:pStyle w:val="FootnoteText"/>
        <w:ind w:left="0" w:firstLine="0"/>
      </w:pPr>
      <w:r>
        <w:rPr>
          <w:rStyle w:val="FootnoteReference"/>
        </w:rPr>
        <w:footnoteRef/>
      </w:r>
      <w:r>
        <w:t xml:space="preserve"> </w:t>
      </w:r>
      <w:r w:rsidRPr="009C7B82">
        <w:rPr>
          <w:sz w:val="20"/>
        </w:rPr>
        <w:t>This exclusion does not apply to actions under this measure in plants exclusively dedicated to treating non-recyclable hazardous waste, and to existing plants, where the actions under this measure are for the purpose of increasing energy efficiency, capturing exhaust gases for storage or use or recovering materials from incineration ashes, provided such actions under this measure do not result in an increase of the plants’ waste processing capacity or in an extension of the lifetime of the plants; for whic</w:t>
      </w:r>
      <w:r w:rsidRPr="009C7B82">
        <w:rPr>
          <w:sz w:val="20"/>
        </w:rPr>
        <w:t>h evidence is provided at plant level</w:t>
      </w:r>
      <w:r>
        <w:rPr>
          <w:sz w:val="20"/>
        </w:rPr>
        <w:t>.</w:t>
      </w:r>
    </w:p>
  </w:footnote>
  <w:footnote w:id="6">
    <w:p w:rsidRPr="000C6F71" w:rsidR="00D87E44" w:rsidP="009E2ECA" w:rsidRDefault="00D87E44" w14:paraId="154599BE" w14:textId="77777777">
      <w:pPr>
        <w:pStyle w:val="FootnoteText"/>
        <w:ind w:left="0" w:firstLine="0"/>
      </w:pPr>
      <w:r>
        <w:rPr>
          <w:rStyle w:val="FootnoteReference"/>
        </w:rPr>
        <w:footnoteRef/>
      </w:r>
      <w:r>
        <w:t xml:space="preserve"> </w:t>
      </w:r>
      <w:r w:rsidRPr="009C7B82">
        <w:rPr>
          <w:sz w:val="20"/>
        </w:rPr>
        <w:t xml:space="preserve">This exclusion does not apply to actions under this measure in existing mechanical biological treatment plants, where the actions under this measure are for the purpose of increasing energy efficiency or retrofitting to recycling operations of separated waste to compost bio-waste and anaerobic digestion of bio-waste, provided such actions under this measure do not result in an increase of the plants’ waste processing capacity or in an extension of the lifetime of the plants; for which evidence is provided </w:t>
      </w:r>
      <w:r w:rsidRPr="009C7B82">
        <w:rPr>
          <w:sz w:val="20"/>
        </w:rPr>
        <w:t>at plant level</w:t>
      </w:r>
      <w:r>
        <w:rPr>
          <w:sz w:val="20"/>
        </w:rPr>
        <w:t>.</w:t>
      </w:r>
    </w:p>
  </w:footnote>
  <w:footnote w:id="7">
    <w:p w:rsidRPr="003D143B" w:rsidR="00D87E44" w:rsidP="00D226F4" w:rsidRDefault="00D87E44" w14:paraId="154599BF" w14:textId="77777777">
      <w:pPr>
        <w:spacing w:before="0" w:after="0"/>
        <w:jc w:val="both"/>
        <w:rPr>
          <w:sz w:val="20"/>
          <w:szCs w:val="20"/>
        </w:rPr>
      </w:pPr>
      <w:r w:rsidRPr="003D143B">
        <w:rPr>
          <w:rStyle w:val="FootnoteReference"/>
          <w:sz w:val="20"/>
          <w:szCs w:val="20"/>
        </w:rPr>
        <w:footnoteRef/>
      </w:r>
      <w:r w:rsidRPr="003D143B">
        <w:rPr>
          <w:rStyle w:val="FootnoteReference"/>
          <w:sz w:val="20"/>
          <w:szCs w:val="20"/>
        </w:rPr>
        <w:t xml:space="preserve"> </w:t>
      </w:r>
      <w:r w:rsidRPr="003D143B">
        <w:rPr>
          <w:rFonts w:eastAsia="Times New Roman"/>
          <w:sz w:val="20"/>
          <w:szCs w:val="20"/>
        </w:rPr>
        <w:t>In accordance with Article 12 of Directive 2008/98/EC as amended by Directive (EU) 2018/851.</w:t>
      </w:r>
    </w:p>
  </w:footnote>
  <w:footnote w:id="8">
    <w:p w:rsidRPr="003D143B" w:rsidR="00D87E44" w:rsidP="00D226F4" w:rsidRDefault="00D87E44" w14:paraId="154599C0" w14:textId="77777777">
      <w:pPr>
        <w:pStyle w:val="FootnoteText"/>
        <w:rPr>
          <w:sz w:val="20"/>
        </w:rPr>
      </w:pPr>
      <w:r w:rsidRPr="003D143B">
        <w:rPr>
          <w:rStyle w:val="FootnoteReference"/>
          <w:sz w:val="20"/>
        </w:rPr>
        <w:footnoteRef/>
      </w:r>
      <w:r w:rsidRPr="003D143B">
        <w:rPr>
          <w:sz w:val="20"/>
        </w:rPr>
        <w:t xml:space="preserve"> In accordance with Directive 1999/31/EC as amended by Directive (EU) 2018/850.</w:t>
      </w:r>
    </w:p>
  </w:footnote>
  <w:footnote w:id="9">
    <w:p w:rsidRPr="00932AF2" w:rsidR="00D87E44" w:rsidP="00D226F4" w:rsidRDefault="00D87E44" w14:paraId="154599C1" w14:textId="77777777">
      <w:pPr>
        <w:pStyle w:val="FootnoteText"/>
        <w:ind w:left="0" w:firstLine="0"/>
        <w:jc w:val="both"/>
        <w:rPr>
          <w:rFonts w:eastAsia="Times New Roman"/>
          <w:sz w:val="20"/>
          <w:lang w:val="en-IE"/>
        </w:rPr>
      </w:pPr>
      <w:r w:rsidRPr="00932AF2">
        <w:rPr>
          <w:rStyle w:val="FootnoteReference"/>
          <w:sz w:val="20"/>
          <w:lang w:val="en-IE"/>
        </w:rPr>
        <w:footnoteRef/>
      </w:r>
      <w:r w:rsidRPr="00932AF2">
        <w:rPr>
          <w:sz w:val="20"/>
          <w:lang w:val="en-IE"/>
        </w:rPr>
        <w:t xml:space="preserve"> </w:t>
      </w:r>
      <w:r w:rsidRPr="00932AF2">
        <w:rPr>
          <w:rFonts w:eastAsia="Times New Roman"/>
          <w:sz w:val="20"/>
          <w:lang w:val="en-IE"/>
        </w:rPr>
        <w:t>Except for (a) assets and activities in power and/or heat generation, as well as related transmission and distribution infrastructure, using natural gas, that are compliant with the conditions set out in Annex III of the ‘Do no significant harm’ Technical Guidance (2021/C58/01) and (b) activities and assets under point (ii) for which the use of fossil fuels is temporary and technically unavoidable for the timely transition towards a fossil fuel free operation.</w:t>
      </w:r>
    </w:p>
  </w:footnote>
  <w:footnote w:id="10">
    <w:p w:rsidRPr="00737A78" w:rsidR="00D87E44" w:rsidP="00D226F4" w:rsidRDefault="00D87E44" w14:paraId="154599C2" w14:textId="77777777">
      <w:pPr>
        <w:pStyle w:val="FootnoteText"/>
        <w:ind w:left="0" w:firstLine="0"/>
        <w:jc w:val="both"/>
        <w:rPr>
          <w:rFonts w:eastAsia="EC Square Sans Pro"/>
          <w:lang w:val="en-IE"/>
        </w:rPr>
      </w:pPr>
      <w:r w:rsidRPr="00932AF2">
        <w:rPr>
          <w:rStyle w:val="FootnoteReference"/>
          <w:sz w:val="20"/>
          <w:lang w:val="en-IE"/>
        </w:rPr>
        <w:footnoteRef/>
      </w:r>
      <w:r w:rsidRPr="00932AF2">
        <w:rPr>
          <w:sz w:val="20"/>
          <w:lang w:val="en-IE"/>
        </w:rPr>
        <w:t xml:space="preserve"> </w:t>
      </w:r>
      <w:r w:rsidRPr="00932AF2">
        <w:rPr>
          <w:rFonts w:eastAsia="EC Square Sans Pro"/>
          <w:sz w:val="20"/>
          <w:lang w:val="en-IE"/>
        </w:rPr>
        <w:t>Where the activity supported achieves projected greenhouse gas emissions that are not significantly lower than the relevant benchmarks, an explanation of the reasons why this is not possible shall be provided. Benchmarks established for free allocation for activities falling within the scope of the Emissions Trading System, as set out in the Commission Implementing Regulation (EU) 2021/447.</w:t>
      </w:r>
      <w:r w:rsidRPr="00737A78">
        <w:rPr>
          <w:rFonts w:eastAsia="EC Square Sans Pro"/>
          <w:lang w:val="en-IE"/>
        </w:rPr>
        <w:t> </w:t>
      </w:r>
    </w:p>
  </w:footnote>
  <w:footnote w:id="11">
    <w:p w:rsidRPr="00932AF2" w:rsidR="00D87E44" w:rsidP="00D226F4" w:rsidRDefault="00D87E44" w14:paraId="154599C3" w14:textId="77777777">
      <w:pPr>
        <w:pStyle w:val="FootnoteText"/>
        <w:ind w:left="0" w:firstLine="0"/>
        <w:jc w:val="both"/>
        <w:rPr>
          <w:rFonts w:eastAsia="Times New Roman"/>
          <w:sz w:val="20"/>
          <w:lang w:val="en-IE"/>
        </w:rPr>
      </w:pPr>
      <w:r w:rsidRPr="00932AF2">
        <w:rPr>
          <w:rStyle w:val="FootnoteReference"/>
          <w:sz w:val="20"/>
          <w:lang w:val="en-IE"/>
        </w:rPr>
        <w:footnoteRef/>
      </w:r>
      <w:r w:rsidRPr="00932AF2">
        <w:rPr>
          <w:sz w:val="20"/>
          <w:lang w:val="en-IE"/>
        </w:rPr>
        <w:t xml:space="preserve"> </w:t>
      </w:r>
      <w:r w:rsidRPr="00932AF2">
        <w:rPr>
          <w:rFonts w:eastAsia="Times New Roman"/>
          <w:sz w:val="20"/>
          <w:lang w:val="en-IE"/>
        </w:rPr>
        <w:t>Except for (a) assets and activities in power and/or heat generation, as well as related transmission and distribution infrastructure, using natural gas, that are compliant with the conditions set out in Annex III of the ‘Do no significant harm’ Technical Guidance (2021/C58/01) and (b) activities and assets under point (ii) for which the use of fossil fuels is temporary and technically unavoidable for the timely transition towards a fossil fuel free operation.</w:t>
      </w:r>
    </w:p>
  </w:footnote>
  <w:footnote w:id="12">
    <w:p w:rsidRPr="00737A78" w:rsidR="00D87E44" w:rsidP="00D226F4" w:rsidRDefault="00D87E44" w14:paraId="154599C4" w14:textId="77777777">
      <w:pPr>
        <w:pStyle w:val="FootnoteText"/>
        <w:ind w:left="0" w:firstLine="0"/>
        <w:jc w:val="both"/>
        <w:rPr>
          <w:rFonts w:eastAsia="EC Square Sans Pro"/>
          <w:lang w:val="en-IE"/>
        </w:rPr>
      </w:pPr>
      <w:r w:rsidRPr="00932AF2">
        <w:rPr>
          <w:rStyle w:val="FootnoteReference"/>
          <w:sz w:val="20"/>
          <w:lang w:val="en-IE"/>
        </w:rPr>
        <w:footnoteRef/>
      </w:r>
      <w:r w:rsidRPr="00932AF2">
        <w:rPr>
          <w:sz w:val="20"/>
          <w:lang w:val="en-IE"/>
        </w:rPr>
        <w:t xml:space="preserve"> </w:t>
      </w:r>
      <w:r w:rsidRPr="00932AF2">
        <w:rPr>
          <w:rFonts w:eastAsia="EC Square Sans Pro"/>
          <w:sz w:val="20"/>
          <w:lang w:val="en-IE"/>
        </w:rPr>
        <w:t>Where the activity supported achieves projected greenhouse gas emissions that are not significantly lower than the relevant benchmarks, an explanation of the reasons why this is not possible shall be provided. Benchmarks established for free allocation for activities falling within the scope of the Emissions Trading System, as set out in the Commission Implementing Regulation (EU) 2021/447.</w:t>
      </w:r>
      <w:r w:rsidRPr="00737A78">
        <w:rPr>
          <w:rFonts w:eastAsia="EC Square Sans Pro"/>
          <w:lang w:val="en-IE"/>
        </w:rPr>
        <w:t> </w:t>
      </w:r>
    </w:p>
  </w:footnote>
  <w:footnote w:id="13">
    <w:p w:rsidRPr="00932AF2" w:rsidR="00D87E44" w:rsidP="00D226F4" w:rsidRDefault="00D87E44" w14:paraId="154599C5" w14:textId="77777777">
      <w:pPr>
        <w:pStyle w:val="FootnoteText"/>
        <w:ind w:left="0" w:firstLine="0"/>
        <w:jc w:val="both"/>
        <w:rPr>
          <w:rFonts w:eastAsia="Times New Roman"/>
          <w:sz w:val="20"/>
          <w:lang w:val="en-IE"/>
        </w:rPr>
      </w:pPr>
      <w:r w:rsidRPr="00932AF2">
        <w:rPr>
          <w:rStyle w:val="FootnoteReference"/>
          <w:sz w:val="20"/>
          <w:lang w:val="en-IE"/>
        </w:rPr>
        <w:footnoteRef/>
      </w:r>
      <w:r w:rsidRPr="00932AF2">
        <w:rPr>
          <w:sz w:val="20"/>
          <w:lang w:val="en-IE"/>
        </w:rPr>
        <w:t xml:space="preserve"> </w:t>
      </w:r>
      <w:r w:rsidRPr="00932AF2">
        <w:rPr>
          <w:rFonts w:eastAsia="Times New Roman"/>
          <w:sz w:val="20"/>
          <w:lang w:val="en-IE"/>
        </w:rPr>
        <w:t>Except for (a) assets and activities in power and/or heat generation, as well as related transmission and distribution infrastructure, using natural gas, that are compliant with the conditions set out in Annex III of the ‘Do no significant harm’ Technical Guidance (2021/C58/01) and (b) activities and assets under point (ii) for which the use of fossil fuels is temporary and technically unavoidable for the timely transition towards a fossil fuel free operation.</w:t>
      </w:r>
    </w:p>
  </w:footnote>
  <w:footnote w:id="14">
    <w:p w:rsidRPr="00737A78" w:rsidR="00D87E44" w:rsidP="00D226F4" w:rsidRDefault="00D87E44" w14:paraId="154599C6" w14:textId="77777777">
      <w:pPr>
        <w:pStyle w:val="FootnoteText"/>
        <w:ind w:left="0" w:firstLine="0"/>
        <w:jc w:val="both"/>
        <w:rPr>
          <w:rFonts w:eastAsia="EC Square Sans Pro"/>
          <w:lang w:val="en-IE"/>
        </w:rPr>
      </w:pPr>
      <w:r w:rsidRPr="00932AF2">
        <w:rPr>
          <w:rStyle w:val="FootnoteReference"/>
          <w:sz w:val="20"/>
          <w:lang w:val="en-IE"/>
        </w:rPr>
        <w:footnoteRef/>
      </w:r>
      <w:r w:rsidRPr="00932AF2">
        <w:rPr>
          <w:sz w:val="20"/>
          <w:lang w:val="en-IE"/>
        </w:rPr>
        <w:t xml:space="preserve"> </w:t>
      </w:r>
      <w:r w:rsidRPr="00932AF2">
        <w:rPr>
          <w:rFonts w:eastAsia="EC Square Sans Pro"/>
          <w:sz w:val="20"/>
          <w:lang w:val="en-IE"/>
        </w:rPr>
        <w:t>Where the activity supported achieves projected greenhouse gas emissions that are not significantly lower than the relevant benchmarks, an explanation of the reasons why this is not possible shall be provided. Benchmarks established for free allocation for activities falling within the scope of the Emissions Trading System, as set out in the Commission Implementing Regulation (EU) 2021/447.</w:t>
      </w:r>
      <w:r w:rsidRPr="00737A78">
        <w:rPr>
          <w:rFonts w:eastAsia="EC Square Sans Pro"/>
          <w:lang w:val="en-IE"/>
        </w:rPr>
        <w:t> </w:t>
      </w:r>
    </w:p>
  </w:footnote>
  <w:footnote w:id="15">
    <w:p w:rsidRPr="003D143B" w:rsidR="00D87E44" w:rsidP="00D226F4" w:rsidRDefault="00D87E44" w14:paraId="154599C7" w14:textId="77777777">
      <w:pPr>
        <w:spacing w:after="0" w:line="257" w:lineRule="auto"/>
        <w:jc w:val="both"/>
        <w:rPr>
          <w:sz w:val="20"/>
          <w:szCs w:val="20"/>
        </w:rPr>
      </w:pPr>
      <w:r w:rsidRPr="003D143B">
        <w:rPr>
          <w:rStyle w:val="FootnoteReference"/>
          <w:sz w:val="20"/>
          <w:szCs w:val="20"/>
        </w:rPr>
        <w:footnoteRef/>
      </w:r>
      <w:r w:rsidRPr="003D143B">
        <w:rPr>
          <w:sz w:val="20"/>
          <w:szCs w:val="20"/>
        </w:rPr>
        <w:t xml:space="preserve"> </w:t>
      </w:r>
      <w:r w:rsidRPr="003D143B">
        <w:rPr>
          <w:rFonts w:eastAsia="Times New Roman"/>
          <w:sz w:val="20"/>
          <w:szCs w:val="20"/>
        </w:rPr>
        <w:t>Except projects under this measure in power and/or heat generation, as well as related transmission and distribution infrastructure, using natural gas, which are compliant with the conditions set out in Annex III of the ‘Do no significant harm’ Technical Guidance (2021/C58/01).</w:t>
      </w:r>
    </w:p>
  </w:footnote>
  <w:footnote w:id="16">
    <w:p w:rsidRPr="003D143B" w:rsidR="00D87E44" w:rsidP="00D226F4" w:rsidRDefault="00D87E44" w14:paraId="154599C8" w14:textId="77777777">
      <w:pPr>
        <w:spacing w:after="0" w:line="257" w:lineRule="auto"/>
        <w:jc w:val="both"/>
        <w:rPr>
          <w:sz w:val="20"/>
          <w:szCs w:val="20"/>
        </w:rPr>
      </w:pPr>
      <w:r w:rsidRPr="003D143B">
        <w:rPr>
          <w:rStyle w:val="FootnoteReference"/>
          <w:sz w:val="20"/>
          <w:szCs w:val="20"/>
        </w:rPr>
        <w:footnoteRef/>
      </w:r>
      <w:r w:rsidRPr="003D143B">
        <w:rPr>
          <w:sz w:val="20"/>
          <w:szCs w:val="20"/>
        </w:rPr>
        <w:t xml:space="preserve"> </w:t>
      </w:r>
      <w:r w:rsidRPr="003D143B">
        <w:rPr>
          <w:rFonts w:eastAsia="Times New Roman"/>
          <w:sz w:val="20"/>
          <w:szCs w:val="20"/>
        </w:rPr>
        <w:t>Where the activity supported achieves projected greenhouse gas emissions that are not significantly lower than the relevant benchmarks an explanation of the reasons why this is not possible should be provided. Benchmarks established for free allocation for activities falling within the scope of the Emissions Trading System, as set out in the Commission Implementing Regulation (EU) 2021/447.</w:t>
      </w:r>
    </w:p>
  </w:footnote>
  <w:footnote w:id="17">
    <w:p w:rsidRPr="003D143B" w:rsidR="00D87E44" w:rsidP="00D226F4" w:rsidRDefault="00D87E44" w14:paraId="154599C9" w14:textId="77777777">
      <w:pPr>
        <w:spacing w:after="0" w:line="257" w:lineRule="auto"/>
        <w:jc w:val="both"/>
        <w:rPr>
          <w:sz w:val="20"/>
          <w:szCs w:val="20"/>
        </w:rPr>
      </w:pPr>
      <w:r w:rsidRPr="003D143B">
        <w:rPr>
          <w:rStyle w:val="FootnoteReference"/>
          <w:sz w:val="20"/>
          <w:szCs w:val="20"/>
        </w:rPr>
        <w:footnoteRef/>
      </w:r>
      <w:r w:rsidRPr="003D143B">
        <w:rPr>
          <w:sz w:val="20"/>
          <w:szCs w:val="20"/>
        </w:rPr>
        <w:t xml:space="preserve"> </w:t>
      </w:r>
      <w:r w:rsidRPr="003D143B">
        <w:rPr>
          <w:rFonts w:eastAsia="Times New Roman"/>
          <w:sz w:val="20"/>
          <w:szCs w:val="20"/>
        </w:rPr>
        <w:t>This exclusion does not apply to actions under this measure in plants exclusively dedicated to treating non-recyclable hazardous waste, and to existing plants, where the actions under this measure are for the purpose of increasing energy efficiency, capturing exhaust gases for storage or use or recovering materials from incineration ashes, provided such actions under this measure do not result in an increase of the plants’ waste processing capacity or in an extension of the lifetime of the plants; for whic</w:t>
      </w:r>
      <w:r w:rsidRPr="003D143B">
        <w:rPr>
          <w:rFonts w:eastAsia="Times New Roman"/>
          <w:sz w:val="20"/>
          <w:szCs w:val="20"/>
        </w:rPr>
        <w:t xml:space="preserve">h evidence is provided </w:t>
      </w:r>
      <w:r w:rsidRPr="003D143B">
        <w:rPr>
          <w:rFonts w:eastAsia="Times New Roman"/>
          <w:sz w:val="20"/>
          <w:szCs w:val="20"/>
          <w:lang w:val="en-US"/>
        </w:rPr>
        <w:t>at plant level</w:t>
      </w:r>
      <w:r w:rsidRPr="003D143B">
        <w:rPr>
          <w:rFonts w:eastAsia="Times New Roman"/>
          <w:sz w:val="20"/>
          <w:szCs w:val="20"/>
        </w:rPr>
        <w:t>.</w:t>
      </w:r>
    </w:p>
  </w:footnote>
  <w:footnote w:id="18">
    <w:p w:rsidRPr="003D143B" w:rsidR="00D87E44" w:rsidP="00D226F4" w:rsidRDefault="00D87E44" w14:paraId="154599CA" w14:textId="77777777">
      <w:pPr>
        <w:spacing w:after="0" w:line="257" w:lineRule="auto"/>
        <w:jc w:val="both"/>
        <w:rPr>
          <w:sz w:val="20"/>
          <w:szCs w:val="20"/>
        </w:rPr>
      </w:pPr>
      <w:r w:rsidRPr="003D143B">
        <w:rPr>
          <w:rStyle w:val="FootnoteReference"/>
          <w:sz w:val="20"/>
          <w:szCs w:val="20"/>
        </w:rPr>
        <w:footnoteRef/>
      </w:r>
      <w:r w:rsidRPr="003D143B">
        <w:rPr>
          <w:sz w:val="20"/>
          <w:szCs w:val="20"/>
        </w:rPr>
        <w:t xml:space="preserve"> </w:t>
      </w:r>
      <w:r w:rsidRPr="003D143B">
        <w:rPr>
          <w:rFonts w:eastAsia="Times New Roman"/>
          <w:sz w:val="20"/>
          <w:szCs w:val="20"/>
        </w:rPr>
        <w:t>This exclusion does not apply to actions under this measure in</w:t>
      </w:r>
      <w:r w:rsidRPr="003D143B">
        <w:rPr>
          <w:rFonts w:eastAsia="Times New Roman"/>
          <w:sz w:val="20"/>
          <w:szCs w:val="20"/>
          <w:lang w:val="en-US"/>
        </w:rPr>
        <w:t xml:space="preserve"> existing mechanical biological treatment plants, where the actions under this measure are for the purpose of increasing energy efficiency or retrofitting to recycling operations of separated waste to compost bio-waste and anaerobic digestion of bio-waste, provided such actions under this measure do not result in an increase of the plants’ waste processing capacity or in an extension of the lifetime of the plants; for which evidence is provided at plant level.</w:t>
      </w:r>
    </w:p>
    <w:p w:rsidRPr="003D143B" w:rsidR="00D87E44" w:rsidP="00D226F4" w:rsidRDefault="00D87E44" w14:paraId="154599CB" w14:textId="77777777">
      <w:pPr>
        <w:pStyle w:val="FootnoteText"/>
        <w:rPr>
          <w:sz w:val="20"/>
        </w:rPr>
      </w:pPr>
    </w:p>
  </w:footnote>
  <w:footnote w:id="19">
    <w:p w:rsidRPr="003D143B" w:rsidR="00D87E44" w:rsidP="00D226F4" w:rsidRDefault="00D87E44" w14:paraId="154599CC" w14:textId="77777777">
      <w:pPr>
        <w:pStyle w:val="FootnoteText"/>
        <w:rPr>
          <w:sz w:val="20"/>
          <w:lang w:val="en-IE"/>
        </w:rPr>
      </w:pPr>
      <w:r w:rsidRPr="003D143B">
        <w:rPr>
          <w:rStyle w:val="FootnoteReference"/>
          <w:sz w:val="20"/>
        </w:rPr>
        <w:footnoteRef/>
      </w:r>
      <w:r w:rsidRPr="003D143B">
        <w:rPr>
          <w:sz w:val="20"/>
        </w:rPr>
        <w:t xml:space="preserve"> https://ec.europa.eu/health/sites/default/files/non_communicable_diseases/docs/eu_cancer-plan_en.pdf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C50" w:rsidRDefault="00A43C50" w14:paraId="15179C7A" w14:textId="7777777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06" w14:textId="77777777">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22" w14:textId="77777777">
    <w:pPr>
      <w:pStyle w:val="Header"/>
    </w:pP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32" w14:textId="77777777">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34" w14:textId="77777777">
    <w:pPr>
      <w:pStyle w:val="Header"/>
    </w:pP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44" w14:textId="77777777">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46" w14:textId="77777777">
    <w:pPr>
      <w:pStyle w:val="Header"/>
    </w:pP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56" w14:textId="77777777">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58" w14:textId="7777777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68" w14:textId="77777777">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6A" w14:textId="77777777">
    <w:pPr>
      <w:pStyle w:val="Header"/>
    </w:pP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7A" w14:textId="77777777">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7C" w14:textId="77777777">
    <w:pPr>
      <w:pStyle w:val="Header"/>
    </w:pP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8C" w14:textId="77777777">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8E" w14:textId="77777777">
    <w:pPr>
      <w:pStyle w:val="Header"/>
    </w:pP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16" w14:textId="77777777">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9E" w14:textId="77777777">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A0" w14:textId="77777777">
    <w:pPr>
      <w:pStyle w:val="Header"/>
    </w:pP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B0" w14:textId="77777777">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B2" w14:textId="77777777">
    <w:pPr>
      <w:pStyle w:val="Header"/>
    </w:pP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C2" w14:textId="77777777">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C4" w14:textId="77777777">
    <w:pPr>
      <w:pStyle w:val="Header"/>
    </w:pP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D4" w14:textId="7777777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18" w14:textId="77777777">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D6" w14:textId="77777777">
    <w:pPr>
      <w:pStyle w:val="Header"/>
    </w:pPr>
  </w:p>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E6" w14:textId="77777777">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E8" w14:textId="77777777">
    <w:pPr>
      <w:pStyle w:val="Header"/>
    </w:pPr>
  </w:p>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F8" w14:textId="77777777">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FA" w14:textId="77777777">
    <w:pPr>
      <w:pStyle w:val="Header"/>
    </w:pP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0A" w14:textId="77777777">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0C" w14:textId="7777777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1C" w14:textId="77777777">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1E" w14:textId="77777777">
    <w:pPr>
      <w:pStyle w:val="Header"/>
    </w:pP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2E" w14:textId="77777777">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30" w14:textId="77777777">
    <w:pPr>
      <w:pStyle w:val="Header"/>
    </w:pP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40" w14:textId="77777777">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42" w14:textId="77777777">
    <w:pPr>
      <w:pStyle w:val="Header"/>
    </w:pPr>
  </w:p>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28" w14:textId="77777777">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52" w14:textId="77777777">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54" w14:textId="77777777">
    <w:pPr>
      <w:pStyle w:val="Header"/>
    </w:pPr>
  </w:p>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4" w14:textId="77777777">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6" w14:textId="77777777">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8" w14:textId="77777777">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6A" w14:textId="77777777">
    <w:pPr>
      <w:pStyle w:val="Header"/>
    </w:pPr>
  </w:p>
</w:hdr>
</file>

<file path=word/header1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7A" w14:textId="7777777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2A" w14:textId="77777777">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7C" w14:textId="77777777">
    <w:pPr>
      <w:pStyle w:val="Header"/>
    </w:pPr>
  </w:p>
</w:hdr>
</file>

<file path=word/header1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8C" w14:textId="77777777">
    <w:pPr>
      <w:pStyle w:val="Header"/>
    </w:pPr>
  </w:p>
</w:hdr>
</file>

<file path=word/header1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8E" w14:textId="77777777">
    <w:pPr>
      <w:pStyle w:val="Header"/>
    </w:pPr>
  </w:p>
</w:hdr>
</file>

<file path=word/header1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9E" w14:textId="77777777">
    <w:pPr>
      <w:pStyle w:val="Header"/>
    </w:pPr>
  </w:p>
</w:hdr>
</file>

<file path=word/header1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A0" w14:textId="77777777">
    <w:pPr>
      <w:pStyle w:val="Header"/>
    </w:pPr>
  </w:p>
</w:hdr>
</file>

<file path=word/header1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B0" w14:textId="77777777">
    <w:pPr>
      <w:pStyle w:val="Header"/>
    </w:pPr>
  </w:p>
</w:hdr>
</file>

<file path=word/header1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B2" w14:textId="7777777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C2" w14:textId="77777777">
    <w:pPr>
      <w:pStyle w:val="Header"/>
    </w:pPr>
  </w:p>
</w:hdr>
</file>

<file path=word/header1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C4" w14:textId="77777777">
    <w:pPr>
      <w:pStyle w:val="Header"/>
    </w:pPr>
  </w:p>
</w:hdr>
</file>

<file path=word/header1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D4" w14:textId="77777777">
    <w:pPr>
      <w:pStyle w:val="Header"/>
    </w:pPr>
  </w:p>
</w:hdr>
</file>

<file path=word/header1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D6" w14:textId="77777777">
    <w:pPr>
      <w:pStyle w:val="Header"/>
    </w:pPr>
  </w:p>
</w:hdr>
</file>

<file path=word/header1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E6" w14:textId="77777777">
    <w:pPr>
      <w:pStyle w:val="Header"/>
    </w:pPr>
  </w:p>
</w:hdr>
</file>

<file path=word/header1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E8" w14:textId="77777777">
    <w:pPr>
      <w:pStyle w:val="Header"/>
    </w:pPr>
  </w:p>
</w:hdr>
</file>

<file path=word/header1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3A" w14:textId="77777777">
    <w:pPr>
      <w:pStyle w:val="Header"/>
    </w:pPr>
  </w:p>
</w:hdr>
</file>

<file path=word/header1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F8" w14:textId="77777777">
    <w:pPr>
      <w:pStyle w:val="Header"/>
    </w:pPr>
  </w:p>
</w:hdr>
</file>

<file path=word/header1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7FA" w14:textId="77777777">
    <w:pPr>
      <w:pStyle w:val="Header"/>
    </w:pPr>
  </w:p>
</w:hdr>
</file>

<file path=word/header1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0A" w14:textId="77777777">
    <w:pPr>
      <w:pStyle w:val="Header"/>
    </w:pPr>
  </w:p>
</w:hdr>
</file>

<file path=word/header1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0C" w14:textId="77777777">
    <w:pPr>
      <w:pStyle w:val="Header"/>
    </w:pPr>
  </w:p>
</w:hdr>
</file>

<file path=word/header1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1C" w14:textId="77777777">
    <w:pPr>
      <w:pStyle w:val="Header"/>
    </w:pPr>
  </w:p>
</w:hdr>
</file>

<file path=word/header1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1E" w14:textId="77777777">
    <w:pPr>
      <w:pStyle w:val="Header"/>
    </w:pPr>
  </w:p>
</w:hdr>
</file>

<file path=word/header1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20" w14:textId="7777777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3C" w14:textId="77777777">
    <w:pPr>
      <w:pStyle w:val="Header"/>
    </w:pPr>
  </w:p>
</w:hdr>
</file>

<file path=word/header1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22" w14:textId="77777777">
    <w:pPr>
      <w:pStyle w:val="Header"/>
    </w:pPr>
  </w:p>
</w:hdr>
</file>

<file path=word/header1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32" w14:textId="77777777">
    <w:pPr>
      <w:pStyle w:val="Header"/>
    </w:pPr>
  </w:p>
</w:hdr>
</file>

<file path=word/header1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34" w14:textId="77777777">
    <w:pPr>
      <w:pStyle w:val="Header"/>
    </w:pPr>
  </w:p>
</w:hdr>
</file>

<file path=word/header1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44" w14:textId="77777777">
    <w:pPr>
      <w:pStyle w:val="Header"/>
    </w:pPr>
  </w:p>
</w:hdr>
</file>

<file path=word/header1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46" w14:textId="77777777">
    <w:pPr>
      <w:pStyle w:val="Header"/>
    </w:pPr>
  </w:p>
</w:hdr>
</file>

<file path=word/header1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1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56" w14:textId="77777777">
    <w:pPr>
      <w:pStyle w:val="Header"/>
    </w:pPr>
  </w:p>
</w:hdr>
</file>

<file path=word/header1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58"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CouncilLarge"/>
    </w:pPr>
    <w:r>
      <w:t xml:space="preserve"> </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68" w14:textId="77777777">
    <w:pPr>
      <w:pStyle w:val="Header"/>
    </w:pPr>
  </w:p>
</w:hdr>
</file>

<file path=word/header2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6A" w14:textId="77777777">
    <w:pPr>
      <w:pStyle w:val="Header"/>
    </w:pPr>
  </w:p>
</w:hdr>
</file>

<file path=word/header2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7A" w14:textId="77777777">
    <w:pPr>
      <w:pStyle w:val="Header"/>
    </w:pPr>
  </w:p>
</w:hdr>
</file>

<file path=word/header2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7C" w14:textId="77777777">
    <w:pPr>
      <w:pStyle w:val="Header"/>
    </w:pPr>
  </w:p>
</w:hdr>
</file>

<file path=word/header2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8C" w14:textId="77777777">
    <w:pPr>
      <w:pStyle w:val="Header"/>
    </w:pPr>
  </w:p>
</w:hdr>
</file>

<file path=word/header2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8E" w14:textId="77777777">
    <w:pPr>
      <w:pStyle w:val="Header"/>
    </w:pPr>
  </w:p>
</w:hdr>
</file>

<file path=word/header2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4C" w14:textId="77777777">
    <w:pPr>
      <w:pStyle w:val="Header"/>
    </w:pPr>
  </w:p>
</w:hdr>
</file>

<file path=word/header2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9E" w14:textId="77777777">
    <w:pPr>
      <w:pStyle w:val="Header"/>
    </w:pPr>
  </w:p>
</w:hdr>
</file>

<file path=word/header2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A0" w14:textId="77777777">
    <w:pPr>
      <w:pStyle w:val="Header"/>
    </w:pPr>
  </w:p>
</w:hdr>
</file>

<file path=word/header2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B0" w14:textId="77777777">
    <w:pPr>
      <w:pStyle w:val="Header"/>
    </w:pPr>
  </w:p>
</w:hdr>
</file>

<file path=word/header2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B2" w14:textId="77777777">
    <w:pPr>
      <w:pStyle w:val="Header"/>
    </w:pPr>
  </w:p>
</w:hdr>
</file>

<file path=word/header2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C2" w14:textId="77777777">
    <w:pPr>
      <w:pStyle w:val="Header"/>
    </w:pPr>
  </w:p>
</w:hdr>
</file>

<file path=word/header2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C4" w14:textId="77777777">
    <w:pPr>
      <w:pStyle w:val="Header"/>
    </w:pPr>
  </w:p>
</w:hdr>
</file>

<file path=word/header2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D4" w14:textId="7777777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4E" w14:textId="77777777">
    <w:pPr>
      <w:pStyle w:val="Header"/>
    </w:pPr>
  </w:p>
</w:hdr>
</file>

<file path=word/header2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D6" w14:textId="77777777">
    <w:pPr>
      <w:pStyle w:val="Header"/>
    </w:pPr>
  </w:p>
</w:hdr>
</file>

<file path=word/header2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E6" w14:textId="77777777">
    <w:pPr>
      <w:pStyle w:val="Header"/>
    </w:pPr>
  </w:p>
</w:hdr>
</file>

<file path=word/header2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E8" w14:textId="77777777">
    <w:pPr>
      <w:pStyle w:val="Header"/>
    </w:pPr>
  </w:p>
</w:hdr>
</file>

<file path=word/header2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F8" w14:textId="77777777">
    <w:pPr>
      <w:pStyle w:val="Header"/>
    </w:pPr>
  </w:p>
</w:hdr>
</file>

<file path=word/header2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8FA" w14:textId="77777777">
    <w:pPr>
      <w:pStyle w:val="Header"/>
    </w:pPr>
  </w:p>
</w:hdr>
</file>

<file path=word/header2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0A" w14:textId="77777777">
    <w:pPr>
      <w:pStyle w:val="Header"/>
    </w:pPr>
  </w:p>
</w:hdr>
</file>

<file path=word/header2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0C" w14:textId="77777777">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1C" w14:textId="77777777">
    <w:pPr>
      <w:pStyle w:val="Header"/>
    </w:pPr>
  </w:p>
</w:hdr>
</file>

<file path=word/header2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1E" w14:textId="77777777">
    <w:pPr>
      <w:pStyle w:val="Header"/>
    </w:pPr>
  </w:p>
</w:hdr>
</file>

<file path=word/header2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2E" w14:textId="77777777">
    <w:pPr>
      <w:pStyle w:val="Header"/>
    </w:pPr>
  </w:p>
</w:hdr>
</file>

<file path=word/header2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30" w14:textId="77777777">
    <w:pPr>
      <w:pStyle w:val="Header"/>
    </w:pPr>
  </w:p>
</w:hdr>
</file>

<file path=word/header2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40" w14:textId="77777777">
    <w:pPr>
      <w:pStyle w:val="Header"/>
    </w:pPr>
  </w:p>
</w:hdr>
</file>

<file path=word/header2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42" w14:textId="77777777">
    <w:pPr>
      <w:pStyle w:val="Header"/>
    </w:pPr>
  </w:p>
</w:hdr>
</file>

<file path=word/header2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5E" w14:textId="77777777">
    <w:pPr>
      <w:pStyle w:val="Header"/>
    </w:pPr>
  </w:p>
</w:hdr>
</file>

<file path=word/header2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52" w14:textId="77777777">
    <w:pPr>
      <w:pStyle w:val="Header"/>
    </w:pPr>
  </w:p>
</w:hdr>
</file>

<file path=word/header2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54" w14:textId="77777777">
    <w:pPr>
      <w:pStyle w:val="Header"/>
    </w:pPr>
  </w:p>
</w:hdr>
</file>

<file path=word/header2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64" w14:textId="77777777">
    <w:pPr>
      <w:pStyle w:val="Header"/>
    </w:pPr>
  </w:p>
</w:hdr>
</file>

<file path=word/header2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66" w14:textId="77777777">
    <w:pPr>
      <w:pStyle w:val="Header"/>
    </w:pPr>
  </w:p>
</w:hdr>
</file>

<file path=word/header2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76" w14:textId="77777777">
    <w:pPr>
      <w:pStyle w:val="Header"/>
    </w:pPr>
  </w:p>
</w:hdr>
</file>

<file path=word/header2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78" w14:textId="77777777">
    <w:pPr>
      <w:pStyle w:val="Header"/>
    </w:pPr>
  </w:p>
</w:hdr>
</file>

<file path=word/header2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88" w14:textId="7777777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60" w14:textId="77777777">
    <w:pPr>
      <w:pStyle w:val="Header"/>
    </w:pPr>
  </w:p>
</w:hdr>
</file>

<file path=word/header2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8A" w14:textId="77777777">
    <w:pPr>
      <w:pStyle w:val="Header"/>
    </w:pPr>
  </w:p>
</w:hdr>
</file>

<file path=word/header2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9A" w14:textId="77777777">
    <w:pPr>
      <w:pStyle w:val="Header"/>
    </w:pPr>
  </w:p>
</w:hdr>
</file>

<file path=word/header2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9C" w14:textId="77777777">
    <w:pPr>
      <w:pStyle w:val="Header"/>
    </w:pPr>
  </w:p>
</w:hdr>
</file>

<file path=word/header2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AC" w14:textId="77777777">
    <w:pPr>
      <w:pStyle w:val="Header"/>
    </w:pPr>
  </w:p>
</w:hdr>
</file>

<file path=word/header2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AE" w14:textId="77777777">
    <w:pPr>
      <w:pStyle w:val="Header"/>
    </w:pPr>
  </w:p>
</w:hdr>
</file>

<file path=word/header2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0" w14:textId="77777777">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2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2" w14:textId="77777777">
    <w:pPr>
      <w:pStyle w:val="Header"/>
    </w:pPr>
  </w:p>
</w:hdr>
</file>

<file path=word/header2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4" w14:textId="77777777">
    <w:pPr>
      <w:pStyle w:val="Header"/>
    </w:pPr>
  </w:p>
</w:hdr>
</file>

<file path=word/header2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9B6" w14:textId="77777777">
    <w:pPr>
      <w:pStyle w:val="Header"/>
    </w:pPr>
  </w:p>
</w:hdr>
</file>

<file path=word/header2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P="00FF1320" w:rsidRDefault="00D87E44" w14:paraId="154599B8" w14:textId="77777777">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70" w14:textId="77777777">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72" w14:textId="77777777">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Council"/>
    </w:pPr>
    <w:r>
      <w:t xml:space="preserve"> </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82" w14:textId="77777777">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84" w14:textId="77777777">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94" w14:textId="77777777">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96" w14:textId="77777777">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A6" w14:textId="77777777">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A8" w14:textId="77777777">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B8"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3C50" w:rsidRDefault="00A43C50" w14:paraId="154593E3" w14:textId="7777777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BA" w14:textId="77777777">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CA" w14:textId="77777777">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CC" w14:textId="77777777">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DC" w14:textId="77777777">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DE" w14:textId="77777777">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EE" w14:textId="77777777">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4F0" w14:textId="7777777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CouncilLarge"/>
    </w:pPr>
    <w:r>
      <w:t xml:space="preserve"> </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00" w14:textId="77777777">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02" w14:textId="77777777">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12" w14:textId="77777777">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14" w14:textId="77777777">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24" w14:textId="77777777">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26" w14:textId="77777777">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Council"/>
    </w:pPr>
    <w:r>
      <w:t xml:space="preserve"> </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36" w14:textId="77777777">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38" w14:textId="77777777">
    <w:pPr>
      <w:pStyle w:val="Heade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48" w14:textId="77777777">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4A" w14:textId="77777777">
    <w:pPr>
      <w:pStyle w:val="Header"/>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5A" w14:textId="77777777">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5C" w14:textId="77777777">
    <w:pPr>
      <w:pStyle w:val="Heade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6C" w14:textId="777777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4" w:rsidRDefault="00D87E44" w14:paraId="15459401" w14:textId="77777777">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6E" w14:textId="77777777">
    <w:pPr>
      <w:pStyle w:val="Header"/>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7E" w14:textId="77777777">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80" w14:textId="77777777">
    <w:pPr>
      <w:pStyle w:val="Header"/>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90" w14:textId="77777777">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92" w14:textId="77777777">
    <w:pPr>
      <w:pStyle w:val="Header"/>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A2" w14:textId="77777777">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A4" w14:textId="7777777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B4" w14:textId="77777777">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B6" w14:textId="77777777">
    <w:pPr>
      <w:pStyle w:val="Header"/>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C6" w14:textId="77777777">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C8" w14:textId="77777777">
    <w:pPr>
      <w:pStyle w:val="Header"/>
    </w:pP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D8" w14:textId="77777777">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DA" w14:textId="77777777">
    <w:pPr>
      <w:pStyle w:val="Header"/>
    </w:pP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4" w:rsidP="00FF1320" w:rsidRDefault="00D87E44" w14:paraId="15459404" w14:textId="77777777">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EA" w14:textId="77777777">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EC" w14:textId="77777777">
    <w:pPr>
      <w:pStyle w:val="Header"/>
    </w:pP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FC" w14:textId="77777777">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5FE" w14:textId="77777777">
    <w:pPr>
      <w:pStyle w:val="Header"/>
    </w:pP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0E" w14:textId="77777777">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10" w14:textId="77777777">
    <w:pPr>
      <w:pStyle w:val="Header"/>
    </w:pP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
    </w:pPr>
    <w:r>
      <w:t xml:space="preserve"> </w:t>
    </w: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1D35" w:rsidR="00D87E44" w:rsidRDefault="00D87E44" w14:paraId="15459620" w14:textId="77777777">
    <w:pPr>
      <w:pStyle w:val="Header"/>
    </w:pPr>
  </w:p>
</w:hdr>
</file>

<file path=word/numbering.xml><?xml version="1.0" encoding="utf-8"?>
<w:numbering xmlns:w15="http://schemas.microsoft.com/office/word/2012/wordml" xmlns:p16="http://schemas.microsoft.com/office/word/2012/wordml" xmlns:w16cid="http://schemas.microsoft.com/office/word/2016/wordml/cid"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xmlns:w15="http://schemas.microsoft.com/office/word/2012/wordml" w:abstractNumId="0"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xmlns:w15="http://schemas.microsoft.com/office/word/2012/wordml" w:abstractNumId="1"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w15="http://schemas.microsoft.com/office/word/2012/wordml" w:abstractNumId="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hint="default" w:ascii="Symbol" w:hAnsi="Symbol"/>
      </w:rPr>
    </w:lvl>
  </w:abstractNum>
  <w:abstractNum xmlns:w15="http://schemas.microsoft.com/office/word/2012/wordml" w:abstractNumId="3"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hint="default" w:ascii="Symbol" w:hAnsi="Symbol"/>
      </w:rPr>
    </w:lvl>
  </w:abstractNum>
  <w:abstractNum xmlns:w15="http://schemas.microsoft.com/office/word/2012/wordml" w:abstractNumId="4"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hint="default" w:ascii="Symbol" w:hAnsi="Symbol"/>
      </w:rPr>
    </w:lvl>
  </w:abstractNum>
  <w:abstractNum xmlns:w15="http://schemas.microsoft.com/office/word/2012/wordml" w:abstractNumId="5"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hint="default" w:ascii="Symbol" w:hAnsi="Symbol"/>
      </w:rPr>
    </w:lvl>
  </w:abstractNum>
  <w:abstractNum xmlns:w15="http://schemas.microsoft.com/office/word/2012/wordml" w:abstractNumId="6"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hint="default" w:ascii="Symbol" w:hAnsi="Symbol"/>
      </w:rPr>
    </w:lvl>
  </w:abstractNum>
  <w:abstractNum xmlns:w15="http://schemas.microsoft.com/office/word/2012/wordml" w:abstractNumId="7"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xmlns:w15="http://schemas.microsoft.com/office/word/2012/wordml" w:abstractNumId="8"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xmlns:w15="http://schemas.microsoft.com/office/word/2012/wordml" w:abstractNumId="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xmlns:w15="http://schemas.microsoft.com/office/word/2012/wordml" w:abstractNumId="10"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xmlns:w15="http://schemas.microsoft.com/office/word/2012/wordml"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xmlns:w15="http://schemas.microsoft.com/office/word/2012/wordml" w:abstractNumId="12"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xmlns:w15="http://schemas.microsoft.com/office/word/2012/wordml" w:abstractNumId="13"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xmlns:w15="http://schemas.microsoft.com/office/word/2012/wordml" w:abstractNumId="14"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xmlns:w15="http://schemas.microsoft.com/office/word/2012/wordml" w:abstractNumId="15"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xmlns:w15="http://schemas.microsoft.com/office/word/2012/wordml" w:abstractNumId="16"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xmlns:w15="http://schemas.microsoft.com/office/word/2012/wordml" w:abstractNumId="17"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w15="http://schemas.microsoft.com/office/word/2012/wordml" w:abstractNumId="18"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w15="http://schemas.microsoft.com/office/word/2012/wordml" w:abstractNumId="19"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w15="http://schemas.microsoft.com/office/word/2012/wordml" w:abstractNumId="20" w15:restartNumberingAfterBreak="0">
    <w:nsid w:val="FFFFFF89"/>
    <w:multiLevelType w:val="singleLevel"/>
    <w:tmpl w:val="D31E9FD2"/>
    <w:lvl w:ilvl="0">
      <w:start w:val="1"/>
      <w:numFmt w:val="bullet"/>
      <w:pStyle w:val="ListBullet"/>
      <w:lvlText w:val=""/>
      <w:lvlJc w:val="left"/>
      <w:pPr>
        <w:tabs>
          <w:tab w:val="num" w:pos="360"/>
        </w:tabs>
        <w:ind w:left="360" w:hanging="360"/>
      </w:pPr>
      <w:rPr>
        <w:rFonts w:hint="default" w:ascii="Symbol" w:hAnsi="Symbol"/>
      </w:rPr>
    </w:lvl>
  </w:abstractNum>
  <w:abstractNum xmlns:w15="http://schemas.microsoft.com/office/word/2012/wordml" w:abstractNumId="21" w15:restartNumberingAfterBreak="0">
    <w:nsid w:val="FFFFFF83"/>
    <w:multiLevelType w:val="singleLevel"/>
    <w:tmpl w:val="B4EC6180"/>
    <w:lvl w:ilvl="0">
      <w:start w:val="1"/>
      <w:numFmt w:val="bullet"/>
      <w:pStyle w:val="ListBullet2"/>
      <w:lvlText w:val=""/>
      <w:lvlJc w:val="left"/>
      <w:pPr>
        <w:tabs>
          <w:tab w:val="num" w:pos="643"/>
        </w:tabs>
        <w:ind w:left="643" w:hanging="360"/>
      </w:pPr>
      <w:rPr>
        <w:rFonts w:hint="default" w:ascii="Symbol" w:hAnsi="Symbol"/>
      </w:rPr>
    </w:lvl>
  </w:abstractNum>
  <w:abstractNum xmlns:w15="http://schemas.microsoft.com/office/word/2012/wordml" w:abstractNumId="22" w15:restartNumberingAfterBreak="0">
    <w:nsid w:val="FFFFFF82"/>
    <w:multiLevelType w:val="singleLevel"/>
    <w:tmpl w:val="BBC045FC"/>
    <w:lvl w:ilvl="0">
      <w:start w:val="1"/>
      <w:numFmt w:val="bullet"/>
      <w:pStyle w:val="ListBullet3"/>
      <w:lvlText w:val=""/>
      <w:lvlJc w:val="left"/>
      <w:pPr>
        <w:tabs>
          <w:tab w:val="num" w:pos="926"/>
        </w:tabs>
        <w:ind w:left="926" w:hanging="360"/>
      </w:pPr>
      <w:rPr>
        <w:rFonts w:hint="default" w:ascii="Symbol" w:hAnsi="Symbol"/>
      </w:rPr>
    </w:lvl>
  </w:abstractNum>
  <w:abstractNum xmlns:w15="http://schemas.microsoft.com/office/word/2012/wordml" w:abstractNumId="23" w15:restartNumberingAfterBreak="0">
    <w:nsid w:val="FFFFFF81"/>
    <w:multiLevelType w:val="singleLevel"/>
    <w:tmpl w:val="71682140"/>
    <w:lvl w:ilvl="0">
      <w:start w:val="1"/>
      <w:numFmt w:val="bullet"/>
      <w:pStyle w:val="ListBullet4"/>
      <w:lvlText w:val=""/>
      <w:lvlJc w:val="left"/>
      <w:pPr>
        <w:tabs>
          <w:tab w:val="num" w:pos="1209"/>
        </w:tabs>
        <w:ind w:left="1209" w:hanging="360"/>
      </w:pPr>
      <w:rPr>
        <w:rFonts w:hint="default" w:ascii="Symbol" w:hAnsi="Symbol"/>
      </w:rPr>
    </w:lvl>
  </w:abstractNum>
  <w:abstractNum xmlns:w15="http://schemas.microsoft.com/office/word/2012/wordml" w:abstractNumId="24" w15:restartNumberingAfterBreak="0">
    <w:nsid w:val="FFFFFF88"/>
    <w:multiLevelType w:val="singleLevel"/>
    <w:tmpl w:val="AD788A4A"/>
    <w:lvl w:ilvl="0">
      <w:start w:val="1"/>
      <w:numFmt w:val="decimal"/>
      <w:pStyle w:val="ListNumber"/>
      <w:lvlText w:val="%1."/>
      <w:lvlJc w:val="left"/>
      <w:pPr>
        <w:tabs>
          <w:tab w:val="num" w:pos="360"/>
        </w:tabs>
        <w:ind w:left="360" w:hanging="360"/>
      </w:pPr>
    </w:lvl>
  </w:abstractNum>
  <w:abstractNum xmlns:w15="http://schemas.microsoft.com/office/word/2012/wordml" w:abstractNumId="25" w15:restartNumberingAfterBreak="0">
    <w:nsid w:val="FFFFFF7F"/>
    <w:multiLevelType w:val="singleLevel"/>
    <w:tmpl w:val="3C20270C"/>
    <w:lvl w:ilvl="0">
      <w:start w:val="1"/>
      <w:numFmt w:val="decimal"/>
      <w:pStyle w:val="ListNumber2"/>
      <w:lvlText w:val="%1."/>
      <w:lvlJc w:val="left"/>
      <w:pPr>
        <w:tabs>
          <w:tab w:val="num" w:pos="643"/>
        </w:tabs>
        <w:ind w:left="643" w:hanging="360"/>
      </w:pPr>
    </w:lvl>
  </w:abstractNum>
  <w:abstractNum xmlns:w15="http://schemas.microsoft.com/office/word/2012/wordml" w:abstractNumId="26" w15:restartNumberingAfterBreak="0">
    <w:nsid w:val="FFFFFF7E"/>
    <w:multiLevelType w:val="singleLevel"/>
    <w:tmpl w:val="55A6272C"/>
    <w:lvl w:ilvl="0">
      <w:start w:val="1"/>
      <w:numFmt w:val="decimal"/>
      <w:pStyle w:val="ListNumber3"/>
      <w:lvlText w:val="%1."/>
      <w:lvlJc w:val="left"/>
      <w:pPr>
        <w:tabs>
          <w:tab w:val="num" w:pos="926"/>
        </w:tabs>
        <w:ind w:left="926" w:hanging="360"/>
      </w:pPr>
    </w:lvl>
  </w:abstractNum>
  <w:abstractNum xmlns:w15="http://schemas.microsoft.com/office/word/2012/wordml" w:abstractNumId="27" w15:restartNumberingAfterBreak="0">
    <w:nsid w:val="FFFFFF7D"/>
    <w:multiLevelType w:val="singleLevel"/>
    <w:tmpl w:val="3E140CA2"/>
    <w:lvl w:ilvl="0">
      <w:start w:val="1"/>
      <w:numFmt w:val="decimal"/>
      <w:pStyle w:val="ListNumber4"/>
      <w:lvlText w:val="%1."/>
      <w:lvlJc w:val="left"/>
      <w:pPr>
        <w:tabs>
          <w:tab w:val="num" w:pos="1274"/>
        </w:tabs>
        <w:ind w:left="1274" w:hanging="360"/>
      </w:pPr>
    </w:lvl>
  </w:abstractNum>
  <w:abstractNum xmlns:w15="http://schemas.microsoft.com/office/word/2012/wordml"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xmlns:w15="http://schemas.microsoft.com/office/word/2012/wordml"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xmlns:w15="http://schemas.microsoft.com/office/word/2012/wordml" w:abstractNumId="3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xmlns:w15="http://schemas.microsoft.com/office/word/2012/wordml"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xmlns:w15="http://schemas.microsoft.com/office/word/2012/wordml" w:abstractNumId="3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xmlns:w15="http://schemas.microsoft.com/office/word/2012/wordml"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w15="http://schemas.microsoft.com/office/word/2012/wordml" w:abstractNumId="34" w15:restartNumberingAfterBreak="0">
    <w:nsid w:val="1B3C78B8"/>
    <w:multiLevelType w:val="multilevel"/>
    <w:tmpl w:val="2ED4F4D0"/>
    <w:name w:val="Point"/>
    <w:lvl w:ilvl="0">
      <w:start w:val="1"/>
      <w:numFmt w:val="decimal"/>
      <w:lvlRestart w:val="0"/>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xmlns:w15="http://schemas.microsoft.com/office/word/2012/wordml" w:abstractNumId="3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hint="default" w:ascii="Symbol" w:hAnsi="Symbol"/>
      </w:rPr>
    </w:lvl>
  </w:abstractNum>
  <w:abstractNum xmlns:p16="http://schemas.microsoft.com/office/word/2012/wordml" w:abstractNumId="36" p16:restartNumberingAfterBreak="0">
    <w:nsid w:val="2ECE5390"/>
    <w:multiLevelType w:val="hybridMultilevel"/>
    <w:tmpl w:val="5272350E"/>
    <w:lvl w:ilvl="0" w:tplc="E7F67502">
      <w:start w:val="1"/>
      <w:numFmt w:val="bullet"/>
      <w:lvlText w:val=""/>
      <w:lvlJc w:val="left"/>
      <w:pPr>
        <w:ind w:left="720" w:hanging="360"/>
      </w:pPr>
      <w:rPr>
        <w:rFonts w:hint="default" w:ascii="Symbol" w:hAnsi="Symbol"/>
        <w:sz w:val="16"/>
        <w:szCs w:val="16"/>
      </w:rPr>
    </w:lvl>
    <w:lvl w:ilvl="1" w:tplc="E17CDDAA">
      <w:start w:val="1"/>
      <w:numFmt w:val="bullet"/>
      <w:lvlText w:val="o"/>
      <w:lvlJc w:val="left"/>
      <w:pPr>
        <w:ind w:left="1440" w:hanging="360"/>
      </w:pPr>
      <w:rPr>
        <w:rFonts w:hint="default" w:ascii="Courier New" w:hAnsi="Courier New"/>
      </w:rPr>
    </w:lvl>
    <w:lvl w:ilvl="2" w:tplc="49E8BC62">
      <w:start w:val="1"/>
      <w:numFmt w:val="bullet"/>
      <w:lvlText w:val=""/>
      <w:lvlJc w:val="left"/>
      <w:pPr>
        <w:ind w:left="2160" w:hanging="360"/>
      </w:pPr>
      <w:rPr>
        <w:rFonts w:hint="default" w:ascii="Wingdings" w:hAnsi="Wingdings"/>
      </w:rPr>
    </w:lvl>
    <w:lvl w:ilvl="3" w:tplc="7F9ABCC0">
      <w:start w:val="1"/>
      <w:numFmt w:val="bullet"/>
      <w:lvlText w:val=""/>
      <w:lvlJc w:val="left"/>
      <w:pPr>
        <w:ind w:left="2880" w:hanging="360"/>
      </w:pPr>
      <w:rPr>
        <w:rFonts w:hint="default" w:ascii="Symbol" w:hAnsi="Symbol"/>
      </w:rPr>
    </w:lvl>
    <w:lvl w:ilvl="4" w:tplc="AB3CB48C">
      <w:start w:val="1"/>
      <w:numFmt w:val="bullet"/>
      <w:lvlText w:val="o"/>
      <w:lvlJc w:val="left"/>
      <w:pPr>
        <w:ind w:left="3600" w:hanging="360"/>
      </w:pPr>
      <w:rPr>
        <w:rFonts w:hint="default" w:ascii="Courier New" w:hAnsi="Courier New"/>
      </w:rPr>
    </w:lvl>
    <w:lvl w:ilvl="5" w:tplc="ED8A7C2C">
      <w:start w:val="1"/>
      <w:numFmt w:val="bullet"/>
      <w:lvlText w:val=""/>
      <w:lvlJc w:val="left"/>
      <w:pPr>
        <w:ind w:left="4320" w:hanging="360"/>
      </w:pPr>
      <w:rPr>
        <w:rFonts w:hint="default" w:ascii="Wingdings" w:hAnsi="Wingdings"/>
      </w:rPr>
    </w:lvl>
    <w:lvl w:ilvl="6" w:tplc="3D9E2B5C">
      <w:start w:val="1"/>
      <w:numFmt w:val="bullet"/>
      <w:lvlText w:val=""/>
      <w:lvlJc w:val="left"/>
      <w:pPr>
        <w:ind w:left="5040" w:hanging="360"/>
      </w:pPr>
      <w:rPr>
        <w:rFonts w:hint="default" w:ascii="Symbol" w:hAnsi="Symbol"/>
      </w:rPr>
    </w:lvl>
    <w:lvl w:ilvl="7" w:tplc="B0CC366C">
      <w:start w:val="1"/>
      <w:numFmt w:val="bullet"/>
      <w:lvlText w:val="o"/>
      <w:lvlJc w:val="left"/>
      <w:pPr>
        <w:ind w:left="5760" w:hanging="360"/>
      </w:pPr>
      <w:rPr>
        <w:rFonts w:hint="default" w:ascii="Courier New" w:hAnsi="Courier New"/>
      </w:rPr>
    </w:lvl>
    <w:lvl w:ilvl="8" w:tplc="49F6BA96">
      <w:start w:val="1"/>
      <w:numFmt w:val="bullet"/>
      <w:lvlText w:val=""/>
      <w:lvlJc w:val="left"/>
      <w:pPr>
        <w:ind w:left="6480" w:hanging="360"/>
      </w:pPr>
      <w:rPr>
        <w:rFonts w:hint="default" w:ascii="Wingdings" w:hAnsi="Wingdings"/>
      </w:rPr>
    </w:lvl>
  </w:abstractNum>
  <w:abstractNum xmlns:p16="http://schemas.microsoft.com/office/word/2012/wordml" w:abstractNumId="37" p16:restartNumberingAfterBreak="0">
    <w:nsid w:val="36DC52AF"/>
    <w:multiLevelType w:val="hybridMultilevel"/>
    <w:tmpl w:val="8F402FBA"/>
    <w:lvl w:ilvl="0" w:tplc="DFC29674">
      <w:numFmt w:val="bullet"/>
      <w:lvlText w:val="-"/>
      <w:lvlJc w:val="left"/>
      <w:pPr>
        <w:ind w:left="720" w:hanging="360"/>
      </w:pPr>
      <w:rPr>
        <w:rFonts w:hint="default" w:ascii="Times New Roman" w:hAnsi="Times New Roman" w:cs="Times New Roman" w:eastAsiaTheme="minorHAnsi"/>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38" p16:restartNumberingAfterBreak="0">
    <w:nsid w:val="6B0B4C1A"/>
    <w:multiLevelType w:val="multilevel"/>
    <w:tmpl w:val="1C4CDAD8"/>
    <w:lvl w:ilvl="0">
      <w:start w:val="1"/>
      <w:numFmt w:val="bullet"/>
      <w:lvlText w:val=""/>
      <w:lvlJc w:val="left"/>
      <w:pPr>
        <w:ind w:left="720" w:hanging="360"/>
      </w:pPr>
      <w:rPr>
        <w:rFonts w:hint="default" w:ascii="Symbol" w:hAnsi="Symbol"/>
        <w:sz w:val="16"/>
        <w:szCs w:val="16"/>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39" p16:restartNumberingAfterBreak="0">
    <w:nsid w:val="086E277F"/>
    <w:multiLevelType w:val="hybridMultilevel"/>
    <w:tmpl w:val="FD148F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xmlns:p16="http://schemas.microsoft.com/office/word/2012/wordml" w:abstractNumId="40" p16:restartNumberingAfterBreak="0">
    <w:nsid w:val="7F18012B"/>
    <w:multiLevelType w:val="hybridMultilevel"/>
    <w:tmpl w:val="64EA0186"/>
    <w:lvl w:ilvl="0" w:tplc="CBFC3D0A">
      <w:start w:val="1"/>
      <w:numFmt w:val="decimal"/>
      <w:lvlText w:val="%1."/>
      <w:lvlJc w:val="left"/>
      <w:pPr>
        <w:ind w:left="720" w:hanging="360"/>
      </w:pPr>
    </w:lvl>
    <w:lvl w:ilvl="1" w:tplc="2B3E6A08">
      <w:start w:val="1"/>
      <w:numFmt w:val="lowerLetter"/>
      <w:lvlText w:val="%2."/>
      <w:lvlJc w:val="left"/>
      <w:pPr>
        <w:ind w:left="1440" w:hanging="360"/>
      </w:pPr>
    </w:lvl>
    <w:lvl w:ilvl="2" w:tplc="12AA4A74">
      <w:start w:val="1"/>
      <w:numFmt w:val="lowerRoman"/>
      <w:lvlText w:val="%3."/>
      <w:lvlJc w:val="right"/>
      <w:pPr>
        <w:ind w:left="2160" w:hanging="180"/>
      </w:pPr>
    </w:lvl>
    <w:lvl w:ilvl="3" w:tplc="CDA6F6C6">
      <w:start w:val="1"/>
      <w:numFmt w:val="decimal"/>
      <w:lvlText w:val="%4."/>
      <w:lvlJc w:val="left"/>
      <w:pPr>
        <w:ind w:left="2880" w:hanging="360"/>
      </w:pPr>
    </w:lvl>
    <w:lvl w:ilvl="4" w:tplc="A4A4B092">
      <w:start w:val="1"/>
      <w:numFmt w:val="lowerLetter"/>
      <w:lvlText w:val="%5."/>
      <w:lvlJc w:val="left"/>
      <w:pPr>
        <w:ind w:left="3600" w:hanging="360"/>
      </w:pPr>
    </w:lvl>
    <w:lvl w:ilvl="5" w:tplc="4AB473E4">
      <w:start w:val="1"/>
      <w:numFmt w:val="lowerRoman"/>
      <w:lvlText w:val="%6."/>
      <w:lvlJc w:val="right"/>
      <w:pPr>
        <w:ind w:left="4320" w:hanging="180"/>
      </w:pPr>
    </w:lvl>
    <w:lvl w:ilvl="6" w:tplc="57408610">
      <w:start w:val="1"/>
      <w:numFmt w:val="decimal"/>
      <w:lvlText w:val="%7."/>
      <w:lvlJc w:val="left"/>
      <w:pPr>
        <w:ind w:left="5040" w:hanging="360"/>
      </w:pPr>
    </w:lvl>
    <w:lvl w:ilvl="7" w:tplc="94006C1A">
      <w:start w:val="1"/>
      <w:numFmt w:val="lowerLetter"/>
      <w:lvlText w:val="%8."/>
      <w:lvlJc w:val="left"/>
      <w:pPr>
        <w:ind w:left="5760" w:hanging="360"/>
      </w:pPr>
    </w:lvl>
    <w:lvl w:ilvl="8" w:tplc="827C5F28">
      <w:start w:val="1"/>
      <w:numFmt w:val="lowerRoman"/>
      <w:lvlText w:val="%9."/>
      <w:lvlJc w:val="right"/>
      <w:pPr>
        <w:ind w:left="6480" w:hanging="180"/>
      </w:pPr>
    </w:lvl>
  </w:abstractNum>
  <w:abstractNum xmlns:p16="http://schemas.microsoft.com/office/word/2012/wordml" w:abstractNumId="41" p16:restartNumberingAfterBreak="0">
    <w:nsid w:val="2C2D4F88"/>
    <w:multiLevelType w:val="hybridMultilevel"/>
    <w:tmpl w:val="1752E1F4"/>
    <w:lvl w:ilvl="0" w:tplc="DB9A5C5A">
      <w:start w:val="1"/>
      <w:numFmt w:val="bullet"/>
      <w:lvlText w:val=""/>
      <w:lvlJc w:val="left"/>
      <w:pPr>
        <w:ind w:left="720" w:hanging="360"/>
      </w:pPr>
      <w:rPr>
        <w:rFonts w:hint="default" w:ascii="Symbol" w:hAnsi="Symbol"/>
      </w:rPr>
    </w:lvl>
    <w:lvl w:ilvl="1" w:tplc="4E0EDE78">
      <w:start w:val="1"/>
      <w:numFmt w:val="bullet"/>
      <w:lvlText w:val="o"/>
      <w:lvlJc w:val="left"/>
      <w:pPr>
        <w:ind w:left="1440" w:hanging="360"/>
      </w:pPr>
      <w:rPr>
        <w:rFonts w:hint="default" w:ascii="Courier New" w:hAnsi="Courier New"/>
      </w:rPr>
    </w:lvl>
    <w:lvl w:ilvl="2" w:tplc="39C80CB4">
      <w:start w:val="1"/>
      <w:numFmt w:val="bullet"/>
      <w:lvlText w:val=""/>
      <w:lvlJc w:val="left"/>
      <w:pPr>
        <w:ind w:left="2160" w:hanging="360"/>
      </w:pPr>
      <w:rPr>
        <w:rFonts w:hint="default" w:ascii="Wingdings" w:hAnsi="Wingdings"/>
      </w:rPr>
    </w:lvl>
    <w:lvl w:ilvl="3" w:tplc="90EC4780">
      <w:start w:val="1"/>
      <w:numFmt w:val="bullet"/>
      <w:lvlText w:val=""/>
      <w:lvlJc w:val="left"/>
      <w:pPr>
        <w:ind w:left="2880" w:hanging="360"/>
      </w:pPr>
      <w:rPr>
        <w:rFonts w:hint="default" w:ascii="Symbol" w:hAnsi="Symbol"/>
      </w:rPr>
    </w:lvl>
    <w:lvl w:ilvl="4" w:tplc="8A0E9BD2">
      <w:start w:val="1"/>
      <w:numFmt w:val="bullet"/>
      <w:lvlText w:val="o"/>
      <w:lvlJc w:val="left"/>
      <w:pPr>
        <w:ind w:left="3600" w:hanging="360"/>
      </w:pPr>
      <w:rPr>
        <w:rFonts w:hint="default" w:ascii="Courier New" w:hAnsi="Courier New"/>
      </w:rPr>
    </w:lvl>
    <w:lvl w:ilvl="5" w:tplc="59D49EE6">
      <w:start w:val="1"/>
      <w:numFmt w:val="bullet"/>
      <w:lvlText w:val=""/>
      <w:lvlJc w:val="left"/>
      <w:pPr>
        <w:ind w:left="4320" w:hanging="360"/>
      </w:pPr>
      <w:rPr>
        <w:rFonts w:hint="default" w:ascii="Wingdings" w:hAnsi="Wingdings"/>
      </w:rPr>
    </w:lvl>
    <w:lvl w:ilvl="6" w:tplc="4C5A6D88">
      <w:start w:val="1"/>
      <w:numFmt w:val="bullet"/>
      <w:lvlText w:val=""/>
      <w:lvlJc w:val="left"/>
      <w:pPr>
        <w:ind w:left="5040" w:hanging="360"/>
      </w:pPr>
      <w:rPr>
        <w:rFonts w:hint="default" w:ascii="Symbol" w:hAnsi="Symbol"/>
      </w:rPr>
    </w:lvl>
    <w:lvl w:ilvl="7" w:tplc="7D1AB098">
      <w:start w:val="1"/>
      <w:numFmt w:val="bullet"/>
      <w:lvlText w:val="o"/>
      <w:lvlJc w:val="left"/>
      <w:pPr>
        <w:ind w:left="5760" w:hanging="360"/>
      </w:pPr>
      <w:rPr>
        <w:rFonts w:hint="default" w:ascii="Courier New" w:hAnsi="Courier New"/>
      </w:rPr>
    </w:lvl>
    <w:lvl w:ilvl="8" w:tplc="54081E28">
      <w:start w:val="1"/>
      <w:numFmt w:val="bullet"/>
      <w:lvlText w:val=""/>
      <w:lvlJc w:val="left"/>
      <w:pPr>
        <w:ind w:left="6480" w:hanging="360"/>
      </w:pPr>
      <w:rPr>
        <w:rFonts w:hint="default" w:ascii="Wingdings" w:hAnsi="Wingdings"/>
      </w:rPr>
    </w:lvl>
  </w:abstractNum>
  <w:abstractNum xmlns:p16="http://schemas.microsoft.com/office/word/2012/wordml" w:abstractNumId="42" p16:restartNumberingAfterBreak="0">
    <w:nsid w:val="13F00BFD"/>
    <w:multiLevelType w:val="multilevel"/>
    <w:tmpl w:val="40D81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43" p16:restartNumberingAfterBreak="0">
    <w:nsid w:val="7CB04BFE"/>
    <w:multiLevelType w:val="multilevel"/>
    <w:tmpl w:val="1BA4D6B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44" p16:restartNumberingAfterBreak="0">
    <w:nsid w:val="409A090C"/>
    <w:multiLevelType w:val="multilevel"/>
    <w:tmpl w:val="CE5EA906"/>
    <w:lvl w:ilvl="0">
      <w:start w:val="1"/>
      <w:numFmt w:val="bullet"/>
      <w:lvlText w:val="●"/>
      <w:lvlJc w:val="left"/>
      <w:pPr>
        <w:ind w:left="720" w:hanging="360"/>
      </w:pPr>
      <w:rPr>
        <w:rFonts w:ascii="Noto Sans Symbols" w:hAnsi="Noto Sans Symbols" w:eastAsia="Noto Sans Symbols" w:cs="Noto Sans Symbols"/>
        <w:sz w:val="24"/>
        <w:szCs w:val="24"/>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45" p16:restartNumberingAfterBreak="0">
    <w:nsid w:val="6A3A033C"/>
    <w:multiLevelType w:val="hybridMultilevel"/>
    <w:tmpl w:val="9896468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46" p16:restartNumberingAfterBreak="0">
    <w:nsid w:val="6D051E26"/>
    <w:multiLevelType w:val="hybridMultilevel"/>
    <w:tmpl w:val="DF5459A8"/>
    <w:lvl w:ilvl="0" w:tplc="02C6D09C">
      <w:numFmt w:val="bullet"/>
      <w:lvlText w:val="•"/>
      <w:lvlJc w:val="left"/>
      <w:pPr>
        <w:ind w:left="360" w:hanging="360"/>
      </w:pPr>
      <w:rPr>
        <w:rFonts w:hint="default" w:ascii="Times New Roman" w:hAnsi="Times New Roman" w:eastAsia="Times New Roman" w:cs="Times New Roman"/>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xmlns:p16="http://schemas.microsoft.com/office/word/2012/wordml" w:abstractNumId="47" p16:restartNumberingAfterBreak="0">
    <w:nsid w:val="0B475A00"/>
    <w:multiLevelType w:val="multilevel"/>
    <w:tmpl w:val="E720622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48" p16:restartNumberingAfterBreak="0">
    <w:nsid w:val="4D434A1F"/>
    <w:multiLevelType w:val="hybridMultilevel"/>
    <w:tmpl w:val="7B18C0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xmlns:p16="http://schemas.microsoft.com/office/word/2012/wordml" w:abstractNumId="49" p16:restartNumberingAfterBreak="0">
    <w:nsid w:val="069E0CC2"/>
    <w:multiLevelType w:val="hybridMultilevel"/>
    <w:tmpl w:val="3610636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50" p16:restartNumberingAfterBreak="0">
    <w:nsid w:val="13821A03"/>
    <w:multiLevelType w:val="multilevel"/>
    <w:tmpl w:val="0FEAE77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p16="http://schemas.microsoft.com/office/word/2012/wordml" w:abstractNumId="51" p16:restartNumberingAfterBreak="0">
    <w:nsid w:val="1991396D"/>
    <w:multiLevelType w:val="multilevel"/>
    <w:tmpl w:val="A086D35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p16="http://schemas.microsoft.com/office/word/2012/wordml" w:abstractNumId="52" p16:restartNumberingAfterBreak="0">
    <w:nsid w:val="61ED061C"/>
    <w:multiLevelType w:val="multilevel"/>
    <w:tmpl w:val="28B058E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xmlns:p16="http://schemas.microsoft.com/office/word/2012/wordml" w:abstractNumId="53" p16:restartNumberingAfterBreak="0">
    <w:nsid w:val="089D1748"/>
    <w:multiLevelType w:val="hybridMultilevel"/>
    <w:tmpl w:val="271CCD86"/>
    <w:lvl w:ilvl="0" w:tplc="2FBCC50C">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54" p16:restartNumberingAfterBreak="0">
    <w:nsid w:val="373078CE"/>
    <w:multiLevelType w:val="hybridMultilevel"/>
    <w:tmpl w:val="B172D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xmlns:p16="http://schemas.microsoft.com/office/word/2012/wordml" w:abstractNumId="55" p16:restartNumberingAfterBreak="0">
    <w:nsid w:val="3D85594C"/>
    <w:multiLevelType w:val="multilevel"/>
    <w:tmpl w:val="18FCDAC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56" p16:restartNumberingAfterBreak="0">
    <w:nsid w:val="3A02227A"/>
    <w:multiLevelType w:val="hybridMultilevel"/>
    <w:tmpl w:val="C5B41DBA"/>
    <w:lvl w:ilvl="0" w:tplc="BAA6F1B0">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57" p16:restartNumberingAfterBreak="0">
    <w:nsid w:val="2D5C5A61"/>
    <w:multiLevelType w:val="hybridMultilevel"/>
    <w:tmpl w:val="57A6031A"/>
    <w:lvl w:ilvl="0" w:tplc="4E685BA8">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58" p16:restartNumberingAfterBreak="0">
    <w:nsid w:val="6E1747B2"/>
    <w:multiLevelType w:val="hybridMultilevel"/>
    <w:tmpl w:val="52E237AA"/>
    <w:lvl w:ilvl="0" w:tplc="FA425BA6">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59" p16:restartNumberingAfterBreak="0">
    <w:nsid w:val="1EDD5151"/>
    <w:multiLevelType w:val="hybridMultilevel"/>
    <w:tmpl w:val="FFFFFFFF"/>
    <w:lvl w:ilvl="0" w:tplc="73088188">
      <w:start w:val="1"/>
      <w:numFmt w:val="bullet"/>
      <w:lvlText w:val=""/>
      <w:lvlJc w:val="left"/>
      <w:pPr>
        <w:ind w:left="720" w:hanging="360"/>
      </w:pPr>
      <w:rPr>
        <w:rFonts w:hint="default" w:ascii="Symbol" w:hAnsi="Symbol"/>
      </w:rPr>
    </w:lvl>
    <w:lvl w:ilvl="1" w:tplc="9CA2682C">
      <w:start w:val="1"/>
      <w:numFmt w:val="bullet"/>
      <w:lvlText w:val="o"/>
      <w:lvlJc w:val="left"/>
      <w:pPr>
        <w:ind w:left="1440" w:hanging="360"/>
      </w:pPr>
      <w:rPr>
        <w:rFonts w:hint="default" w:ascii="Courier New" w:hAnsi="Courier New"/>
      </w:rPr>
    </w:lvl>
    <w:lvl w:ilvl="2" w:tplc="BACE261C">
      <w:start w:val="1"/>
      <w:numFmt w:val="bullet"/>
      <w:lvlText w:val=""/>
      <w:lvlJc w:val="left"/>
      <w:pPr>
        <w:ind w:left="2160" w:hanging="360"/>
      </w:pPr>
      <w:rPr>
        <w:rFonts w:hint="default" w:ascii="Wingdings" w:hAnsi="Wingdings"/>
      </w:rPr>
    </w:lvl>
    <w:lvl w:ilvl="3" w:tplc="4F223560">
      <w:start w:val="1"/>
      <w:numFmt w:val="bullet"/>
      <w:lvlText w:val=""/>
      <w:lvlJc w:val="left"/>
      <w:pPr>
        <w:ind w:left="2880" w:hanging="360"/>
      </w:pPr>
      <w:rPr>
        <w:rFonts w:hint="default" w:ascii="Symbol" w:hAnsi="Symbol"/>
      </w:rPr>
    </w:lvl>
    <w:lvl w:ilvl="4" w:tplc="197AADD8">
      <w:start w:val="1"/>
      <w:numFmt w:val="bullet"/>
      <w:lvlText w:val="o"/>
      <w:lvlJc w:val="left"/>
      <w:pPr>
        <w:ind w:left="3600" w:hanging="360"/>
      </w:pPr>
      <w:rPr>
        <w:rFonts w:hint="default" w:ascii="Courier New" w:hAnsi="Courier New"/>
      </w:rPr>
    </w:lvl>
    <w:lvl w:ilvl="5" w:tplc="D750D7B4">
      <w:start w:val="1"/>
      <w:numFmt w:val="bullet"/>
      <w:lvlText w:val=""/>
      <w:lvlJc w:val="left"/>
      <w:pPr>
        <w:ind w:left="4320" w:hanging="360"/>
      </w:pPr>
      <w:rPr>
        <w:rFonts w:hint="default" w:ascii="Wingdings" w:hAnsi="Wingdings"/>
      </w:rPr>
    </w:lvl>
    <w:lvl w:ilvl="6" w:tplc="A46AFE8A">
      <w:start w:val="1"/>
      <w:numFmt w:val="bullet"/>
      <w:lvlText w:val=""/>
      <w:lvlJc w:val="left"/>
      <w:pPr>
        <w:ind w:left="5040" w:hanging="360"/>
      </w:pPr>
      <w:rPr>
        <w:rFonts w:hint="default" w:ascii="Symbol" w:hAnsi="Symbol"/>
      </w:rPr>
    </w:lvl>
    <w:lvl w:ilvl="7" w:tplc="7BDAF140">
      <w:start w:val="1"/>
      <w:numFmt w:val="bullet"/>
      <w:lvlText w:val="o"/>
      <w:lvlJc w:val="left"/>
      <w:pPr>
        <w:ind w:left="5760" w:hanging="360"/>
      </w:pPr>
      <w:rPr>
        <w:rFonts w:hint="default" w:ascii="Courier New" w:hAnsi="Courier New"/>
      </w:rPr>
    </w:lvl>
    <w:lvl w:ilvl="8" w:tplc="D3E24386">
      <w:start w:val="1"/>
      <w:numFmt w:val="bullet"/>
      <w:lvlText w:val=""/>
      <w:lvlJc w:val="left"/>
      <w:pPr>
        <w:ind w:left="6480" w:hanging="360"/>
      </w:pPr>
      <w:rPr>
        <w:rFonts w:hint="default" w:ascii="Wingdings" w:hAnsi="Wingdings"/>
      </w:rPr>
    </w:lvl>
  </w:abstractNum>
  <w:abstractNum xmlns:p16="http://schemas.microsoft.com/office/word/2012/wordml" w:abstractNumId="60" p16:restartNumberingAfterBreak="0">
    <w:nsid w:val="10647ECF"/>
    <w:multiLevelType w:val="hybridMultilevel"/>
    <w:tmpl w:val="83EC65A6"/>
    <w:lvl w:ilvl="0" w:tplc="FEA4A576">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61" p16:restartNumberingAfterBreak="0">
    <w:nsid w:val="150A26C2"/>
    <w:multiLevelType w:val="hybridMultilevel"/>
    <w:tmpl w:val="FFFFFFFF"/>
    <w:lvl w:ilvl="0" w:tplc="516274FC">
      <w:start w:val="1"/>
      <w:numFmt w:val="decimal"/>
      <w:lvlText w:val="%1."/>
      <w:lvlJc w:val="left"/>
      <w:pPr>
        <w:ind w:left="720" w:hanging="360"/>
      </w:pPr>
    </w:lvl>
    <w:lvl w:ilvl="1" w:tplc="844611EA">
      <w:start w:val="1"/>
      <w:numFmt w:val="lowerLetter"/>
      <w:lvlText w:val="%2."/>
      <w:lvlJc w:val="left"/>
      <w:pPr>
        <w:ind w:left="1440" w:hanging="360"/>
      </w:pPr>
    </w:lvl>
    <w:lvl w:ilvl="2" w:tplc="BAB2F316">
      <w:start w:val="1"/>
      <w:numFmt w:val="lowerRoman"/>
      <w:lvlText w:val="%3."/>
      <w:lvlJc w:val="right"/>
      <w:pPr>
        <w:ind w:left="2160" w:hanging="180"/>
      </w:pPr>
    </w:lvl>
    <w:lvl w:ilvl="3" w:tplc="3E5A6758">
      <w:start w:val="1"/>
      <w:numFmt w:val="decimal"/>
      <w:lvlText w:val="%4."/>
      <w:lvlJc w:val="left"/>
      <w:pPr>
        <w:ind w:left="2880" w:hanging="360"/>
      </w:pPr>
    </w:lvl>
    <w:lvl w:ilvl="4" w:tplc="1C066A8A">
      <w:start w:val="1"/>
      <w:numFmt w:val="lowerLetter"/>
      <w:lvlText w:val="%5."/>
      <w:lvlJc w:val="left"/>
      <w:pPr>
        <w:ind w:left="3600" w:hanging="360"/>
      </w:pPr>
    </w:lvl>
    <w:lvl w:ilvl="5" w:tplc="C7827D9A">
      <w:start w:val="1"/>
      <w:numFmt w:val="lowerRoman"/>
      <w:lvlText w:val="%6."/>
      <w:lvlJc w:val="right"/>
      <w:pPr>
        <w:ind w:left="4320" w:hanging="180"/>
      </w:pPr>
    </w:lvl>
    <w:lvl w:ilvl="6" w:tplc="E9AAE1FC">
      <w:start w:val="1"/>
      <w:numFmt w:val="decimal"/>
      <w:lvlText w:val="%7."/>
      <w:lvlJc w:val="left"/>
      <w:pPr>
        <w:ind w:left="5040" w:hanging="360"/>
      </w:pPr>
    </w:lvl>
    <w:lvl w:ilvl="7" w:tplc="0D54AE90">
      <w:start w:val="1"/>
      <w:numFmt w:val="lowerLetter"/>
      <w:lvlText w:val="%8."/>
      <w:lvlJc w:val="left"/>
      <w:pPr>
        <w:ind w:left="5760" w:hanging="360"/>
      </w:pPr>
    </w:lvl>
    <w:lvl w:ilvl="8" w:tplc="755263F8">
      <w:start w:val="1"/>
      <w:numFmt w:val="lowerRoman"/>
      <w:lvlText w:val="%9."/>
      <w:lvlJc w:val="right"/>
      <w:pPr>
        <w:ind w:left="6480" w:hanging="180"/>
      </w:pPr>
    </w:lvl>
  </w:abstractNum>
  <w:abstractNum xmlns:p16="http://schemas.microsoft.com/office/word/2012/wordml" w:abstractNumId="62" p16:restartNumberingAfterBreak="0">
    <w:nsid w:val="01E49E4A"/>
    <w:multiLevelType w:val="hybridMultilevel"/>
    <w:tmpl w:val="FFFFFFFF"/>
    <w:lvl w:ilvl="0" w:tplc="626C27A4">
      <w:start w:val="1"/>
      <w:numFmt w:val="decimal"/>
      <w:lvlText w:val="%1."/>
      <w:lvlJc w:val="left"/>
      <w:pPr>
        <w:ind w:left="720" w:hanging="360"/>
      </w:pPr>
    </w:lvl>
    <w:lvl w:ilvl="1" w:tplc="09763C08">
      <w:start w:val="1"/>
      <w:numFmt w:val="lowerLetter"/>
      <w:lvlText w:val="%2."/>
      <w:lvlJc w:val="left"/>
      <w:pPr>
        <w:ind w:left="1440" w:hanging="360"/>
      </w:pPr>
    </w:lvl>
    <w:lvl w:ilvl="2" w:tplc="8FD45346">
      <w:start w:val="1"/>
      <w:numFmt w:val="lowerRoman"/>
      <w:lvlText w:val="%3."/>
      <w:lvlJc w:val="right"/>
      <w:pPr>
        <w:ind w:left="2160" w:hanging="180"/>
      </w:pPr>
    </w:lvl>
    <w:lvl w:ilvl="3" w:tplc="022CB106">
      <w:start w:val="1"/>
      <w:numFmt w:val="decimal"/>
      <w:lvlText w:val="%4."/>
      <w:lvlJc w:val="left"/>
      <w:pPr>
        <w:ind w:left="2880" w:hanging="360"/>
      </w:pPr>
    </w:lvl>
    <w:lvl w:ilvl="4" w:tplc="E54C32DC">
      <w:start w:val="1"/>
      <w:numFmt w:val="lowerLetter"/>
      <w:lvlText w:val="%5."/>
      <w:lvlJc w:val="left"/>
      <w:pPr>
        <w:ind w:left="3600" w:hanging="360"/>
      </w:pPr>
    </w:lvl>
    <w:lvl w:ilvl="5" w:tplc="6A70E6D0">
      <w:start w:val="1"/>
      <w:numFmt w:val="lowerRoman"/>
      <w:lvlText w:val="%6."/>
      <w:lvlJc w:val="right"/>
      <w:pPr>
        <w:ind w:left="4320" w:hanging="180"/>
      </w:pPr>
    </w:lvl>
    <w:lvl w:ilvl="6" w:tplc="6DFE358A">
      <w:start w:val="1"/>
      <w:numFmt w:val="decimal"/>
      <w:lvlText w:val="%7."/>
      <w:lvlJc w:val="left"/>
      <w:pPr>
        <w:ind w:left="5040" w:hanging="360"/>
      </w:pPr>
    </w:lvl>
    <w:lvl w:ilvl="7" w:tplc="51C66A8A">
      <w:start w:val="1"/>
      <w:numFmt w:val="lowerLetter"/>
      <w:lvlText w:val="%8."/>
      <w:lvlJc w:val="left"/>
      <w:pPr>
        <w:ind w:left="5760" w:hanging="360"/>
      </w:pPr>
    </w:lvl>
    <w:lvl w:ilvl="8" w:tplc="8A44DB18">
      <w:start w:val="1"/>
      <w:numFmt w:val="lowerRoman"/>
      <w:lvlText w:val="%9."/>
      <w:lvlJc w:val="right"/>
      <w:pPr>
        <w:ind w:left="6480" w:hanging="180"/>
      </w:pPr>
    </w:lvl>
  </w:abstractNum>
  <w:abstractNum xmlns:p16="http://schemas.microsoft.com/office/word/2012/wordml" w:abstractNumId="63" p16:restartNumberingAfterBreak="0">
    <w:nsid w:val="1F923B1D"/>
    <w:multiLevelType w:val="hybridMultilevel"/>
    <w:tmpl w:val="FFFFFFFF"/>
    <w:lvl w:ilvl="0" w:tplc="5DBEA212">
      <w:start w:val="1"/>
      <w:numFmt w:val="decimal"/>
      <w:lvlText w:val="%1."/>
      <w:lvlJc w:val="left"/>
      <w:pPr>
        <w:ind w:left="720" w:hanging="360"/>
      </w:pPr>
    </w:lvl>
    <w:lvl w:ilvl="1" w:tplc="31A4AE6A">
      <w:start w:val="1"/>
      <w:numFmt w:val="lowerLetter"/>
      <w:lvlText w:val="%2."/>
      <w:lvlJc w:val="left"/>
      <w:pPr>
        <w:ind w:left="1440" w:hanging="360"/>
      </w:pPr>
    </w:lvl>
    <w:lvl w:ilvl="2" w:tplc="C76ABF64">
      <w:start w:val="1"/>
      <w:numFmt w:val="lowerRoman"/>
      <w:lvlText w:val="%3."/>
      <w:lvlJc w:val="right"/>
      <w:pPr>
        <w:ind w:left="2160" w:hanging="180"/>
      </w:pPr>
    </w:lvl>
    <w:lvl w:ilvl="3" w:tplc="072A4102">
      <w:start w:val="1"/>
      <w:numFmt w:val="decimal"/>
      <w:lvlText w:val="%4."/>
      <w:lvlJc w:val="left"/>
      <w:pPr>
        <w:ind w:left="2880" w:hanging="360"/>
      </w:pPr>
    </w:lvl>
    <w:lvl w:ilvl="4" w:tplc="772E7F44">
      <w:start w:val="1"/>
      <w:numFmt w:val="lowerLetter"/>
      <w:lvlText w:val="%5."/>
      <w:lvlJc w:val="left"/>
      <w:pPr>
        <w:ind w:left="3600" w:hanging="360"/>
      </w:pPr>
    </w:lvl>
    <w:lvl w:ilvl="5" w:tplc="C938F9F8">
      <w:start w:val="1"/>
      <w:numFmt w:val="lowerRoman"/>
      <w:lvlText w:val="%6."/>
      <w:lvlJc w:val="right"/>
      <w:pPr>
        <w:ind w:left="4320" w:hanging="180"/>
      </w:pPr>
    </w:lvl>
    <w:lvl w:ilvl="6" w:tplc="68AC161A">
      <w:start w:val="1"/>
      <w:numFmt w:val="decimal"/>
      <w:lvlText w:val="%7."/>
      <w:lvlJc w:val="left"/>
      <w:pPr>
        <w:ind w:left="5040" w:hanging="360"/>
      </w:pPr>
    </w:lvl>
    <w:lvl w:ilvl="7" w:tplc="26447188">
      <w:start w:val="1"/>
      <w:numFmt w:val="lowerLetter"/>
      <w:lvlText w:val="%8."/>
      <w:lvlJc w:val="left"/>
      <w:pPr>
        <w:ind w:left="5760" w:hanging="360"/>
      </w:pPr>
    </w:lvl>
    <w:lvl w:ilvl="8" w:tplc="C722E034">
      <w:start w:val="1"/>
      <w:numFmt w:val="lowerRoman"/>
      <w:lvlText w:val="%9."/>
      <w:lvlJc w:val="right"/>
      <w:pPr>
        <w:ind w:left="6480" w:hanging="180"/>
      </w:pPr>
    </w:lvl>
  </w:abstractNum>
  <w:abstractNum xmlns:p16="http://schemas.microsoft.com/office/word/2012/wordml" w:abstractNumId="64" p16:restartNumberingAfterBreak="0">
    <w:nsid w:val="12E12773"/>
    <w:multiLevelType w:val="hybridMultilevel"/>
    <w:tmpl w:val="9BDE3512"/>
    <w:lvl w:ilvl="0" w:tplc="6F885748">
      <w:start w:val="1"/>
      <w:numFmt w:val="lowerLetter"/>
      <w:lvlText w:val="%1)"/>
      <w:lvlJc w:val="left"/>
      <w:pPr>
        <w:ind w:left="720" w:hanging="360"/>
      </w:pPr>
    </w:lvl>
    <w:lvl w:ilvl="1" w:tplc="E13414CC">
      <w:start w:val="1"/>
      <w:numFmt w:val="lowerLetter"/>
      <w:lvlText w:val="%2."/>
      <w:lvlJc w:val="left"/>
      <w:pPr>
        <w:ind w:left="1440" w:hanging="360"/>
      </w:pPr>
    </w:lvl>
    <w:lvl w:ilvl="2" w:tplc="5E9AC476">
      <w:start w:val="1"/>
      <w:numFmt w:val="lowerRoman"/>
      <w:lvlText w:val="%3."/>
      <w:lvlJc w:val="right"/>
      <w:pPr>
        <w:ind w:left="2160" w:hanging="180"/>
      </w:pPr>
    </w:lvl>
    <w:lvl w:ilvl="3" w:tplc="81DA314C">
      <w:start w:val="1"/>
      <w:numFmt w:val="decimal"/>
      <w:lvlText w:val="%4."/>
      <w:lvlJc w:val="left"/>
      <w:pPr>
        <w:ind w:left="2880" w:hanging="360"/>
      </w:pPr>
    </w:lvl>
    <w:lvl w:ilvl="4" w:tplc="7CDC7A58">
      <w:start w:val="1"/>
      <w:numFmt w:val="lowerLetter"/>
      <w:lvlText w:val="%5."/>
      <w:lvlJc w:val="left"/>
      <w:pPr>
        <w:ind w:left="3600" w:hanging="360"/>
      </w:pPr>
    </w:lvl>
    <w:lvl w:ilvl="5" w:tplc="28C6BD1E">
      <w:start w:val="1"/>
      <w:numFmt w:val="lowerRoman"/>
      <w:lvlText w:val="%6."/>
      <w:lvlJc w:val="right"/>
      <w:pPr>
        <w:ind w:left="4320" w:hanging="180"/>
      </w:pPr>
    </w:lvl>
    <w:lvl w:ilvl="6" w:tplc="9A3ECC90">
      <w:start w:val="1"/>
      <w:numFmt w:val="decimal"/>
      <w:lvlText w:val="%7."/>
      <w:lvlJc w:val="left"/>
      <w:pPr>
        <w:ind w:left="5040" w:hanging="360"/>
      </w:pPr>
    </w:lvl>
    <w:lvl w:ilvl="7" w:tplc="54DC060C">
      <w:start w:val="1"/>
      <w:numFmt w:val="lowerLetter"/>
      <w:lvlText w:val="%8."/>
      <w:lvlJc w:val="left"/>
      <w:pPr>
        <w:ind w:left="5760" w:hanging="360"/>
      </w:pPr>
    </w:lvl>
    <w:lvl w:ilvl="8" w:tplc="365CD902">
      <w:start w:val="1"/>
      <w:numFmt w:val="lowerRoman"/>
      <w:lvlText w:val="%9."/>
      <w:lvlJc w:val="right"/>
      <w:pPr>
        <w:ind w:left="6480" w:hanging="180"/>
      </w:pPr>
    </w:lvl>
  </w:abstractNum>
  <w:abstractNum xmlns:p16="http://schemas.microsoft.com/office/word/2012/wordml" w:abstractNumId="65" p16:restartNumberingAfterBreak="0">
    <w:nsid w:val="618F851A"/>
    <w:multiLevelType w:val="hybridMultilevel"/>
    <w:tmpl w:val="FFFFFFFF"/>
    <w:lvl w:ilvl="0" w:tplc="BBAC3D22">
      <w:start w:val="1"/>
      <w:numFmt w:val="lowerLetter"/>
      <w:lvlText w:val="%1."/>
      <w:lvlJc w:val="left"/>
      <w:pPr>
        <w:ind w:left="720" w:hanging="360"/>
      </w:pPr>
    </w:lvl>
    <w:lvl w:ilvl="1" w:tplc="B978E83C">
      <w:start w:val="1"/>
      <w:numFmt w:val="lowerLetter"/>
      <w:lvlText w:val="%2."/>
      <w:lvlJc w:val="left"/>
      <w:pPr>
        <w:ind w:left="1440" w:hanging="360"/>
      </w:pPr>
    </w:lvl>
    <w:lvl w:ilvl="2" w:tplc="D52452A2">
      <w:start w:val="1"/>
      <w:numFmt w:val="lowerRoman"/>
      <w:lvlText w:val="%3."/>
      <w:lvlJc w:val="right"/>
      <w:pPr>
        <w:ind w:left="2160" w:hanging="180"/>
      </w:pPr>
    </w:lvl>
    <w:lvl w:ilvl="3" w:tplc="6D32916A">
      <w:start w:val="1"/>
      <w:numFmt w:val="decimal"/>
      <w:lvlText w:val="%4."/>
      <w:lvlJc w:val="left"/>
      <w:pPr>
        <w:ind w:left="2880" w:hanging="360"/>
      </w:pPr>
    </w:lvl>
    <w:lvl w:ilvl="4" w:tplc="0F14E9CC">
      <w:start w:val="1"/>
      <w:numFmt w:val="lowerLetter"/>
      <w:lvlText w:val="%5."/>
      <w:lvlJc w:val="left"/>
      <w:pPr>
        <w:ind w:left="3600" w:hanging="360"/>
      </w:pPr>
    </w:lvl>
    <w:lvl w:ilvl="5" w:tplc="CD8E7BC4">
      <w:start w:val="1"/>
      <w:numFmt w:val="lowerRoman"/>
      <w:lvlText w:val="%6."/>
      <w:lvlJc w:val="right"/>
      <w:pPr>
        <w:ind w:left="4320" w:hanging="180"/>
      </w:pPr>
    </w:lvl>
    <w:lvl w:ilvl="6" w:tplc="7F6A6FB0">
      <w:start w:val="1"/>
      <w:numFmt w:val="decimal"/>
      <w:lvlText w:val="%7."/>
      <w:lvlJc w:val="left"/>
      <w:pPr>
        <w:ind w:left="5040" w:hanging="360"/>
      </w:pPr>
    </w:lvl>
    <w:lvl w:ilvl="7" w:tplc="440029EA">
      <w:start w:val="1"/>
      <w:numFmt w:val="lowerLetter"/>
      <w:lvlText w:val="%8."/>
      <w:lvlJc w:val="left"/>
      <w:pPr>
        <w:ind w:left="5760" w:hanging="360"/>
      </w:pPr>
    </w:lvl>
    <w:lvl w:ilvl="8" w:tplc="68A03744">
      <w:start w:val="1"/>
      <w:numFmt w:val="lowerRoman"/>
      <w:lvlText w:val="%9."/>
      <w:lvlJc w:val="right"/>
      <w:pPr>
        <w:ind w:left="6480" w:hanging="180"/>
      </w:pPr>
    </w:lvl>
  </w:abstractNum>
  <w:abstractNum xmlns:p16="http://schemas.microsoft.com/office/word/2012/wordml" w:abstractNumId="66" p16:restartNumberingAfterBreak="0">
    <w:nsid w:val="5C7C41A4"/>
    <w:multiLevelType w:val="hybridMultilevel"/>
    <w:tmpl w:val="ACAEFDCE"/>
    <w:lvl w:ilvl="0" w:tplc="92A2B4A6">
      <w:start w:val="1"/>
      <w:numFmt w:val="bullet"/>
      <w:lvlText w:val=""/>
      <w:lvlJc w:val="left"/>
      <w:pPr>
        <w:ind w:left="720" w:hanging="360"/>
      </w:pPr>
      <w:rPr>
        <w:rFonts w:hint="default" w:ascii="Symbol" w:hAnsi="Symbol"/>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xmlns:p16="http://schemas.microsoft.com/office/word/2012/wordml" w:abstractNumId="67" p16:restartNumberingAfterBreak="0">
    <w:nsid w:val="6B45112B"/>
    <w:multiLevelType w:val="hybridMultilevel"/>
    <w:tmpl w:val="80387E72"/>
    <w:lvl w:ilvl="0" w:tplc="FFFFFFFF">
      <w:start w:val="1"/>
      <w:numFmt w:val="lowerRoman"/>
      <w:lvlText w:val="%1."/>
      <w:lvlJc w:val="right"/>
      <w:pPr>
        <w:ind w:left="1230" w:hanging="360"/>
      </w:pPr>
    </w:lvl>
    <w:lvl w:ilvl="1" w:tplc="080C0019" w:tentative="1">
      <w:start w:val="1"/>
      <w:numFmt w:val="lowerLetter"/>
      <w:lvlText w:val="%2."/>
      <w:lvlJc w:val="left"/>
      <w:pPr>
        <w:ind w:left="1950" w:hanging="360"/>
      </w:pPr>
    </w:lvl>
    <w:lvl w:ilvl="2" w:tplc="080C001B" w:tentative="1">
      <w:start w:val="1"/>
      <w:numFmt w:val="lowerRoman"/>
      <w:lvlText w:val="%3."/>
      <w:lvlJc w:val="right"/>
      <w:pPr>
        <w:ind w:left="2670" w:hanging="180"/>
      </w:pPr>
    </w:lvl>
    <w:lvl w:ilvl="3" w:tplc="080C000F" w:tentative="1">
      <w:start w:val="1"/>
      <w:numFmt w:val="decimal"/>
      <w:lvlText w:val="%4."/>
      <w:lvlJc w:val="left"/>
      <w:pPr>
        <w:ind w:left="3390" w:hanging="360"/>
      </w:pPr>
    </w:lvl>
    <w:lvl w:ilvl="4" w:tplc="080C0019" w:tentative="1">
      <w:start w:val="1"/>
      <w:numFmt w:val="lowerLetter"/>
      <w:lvlText w:val="%5."/>
      <w:lvlJc w:val="left"/>
      <w:pPr>
        <w:ind w:left="4110" w:hanging="360"/>
      </w:pPr>
    </w:lvl>
    <w:lvl w:ilvl="5" w:tplc="080C001B" w:tentative="1">
      <w:start w:val="1"/>
      <w:numFmt w:val="lowerRoman"/>
      <w:lvlText w:val="%6."/>
      <w:lvlJc w:val="right"/>
      <w:pPr>
        <w:ind w:left="4830" w:hanging="180"/>
      </w:pPr>
    </w:lvl>
    <w:lvl w:ilvl="6" w:tplc="080C000F" w:tentative="1">
      <w:start w:val="1"/>
      <w:numFmt w:val="decimal"/>
      <w:lvlText w:val="%7."/>
      <w:lvlJc w:val="left"/>
      <w:pPr>
        <w:ind w:left="5550" w:hanging="360"/>
      </w:pPr>
    </w:lvl>
    <w:lvl w:ilvl="7" w:tplc="080C0019" w:tentative="1">
      <w:start w:val="1"/>
      <w:numFmt w:val="lowerLetter"/>
      <w:lvlText w:val="%8."/>
      <w:lvlJc w:val="left"/>
      <w:pPr>
        <w:ind w:left="6270" w:hanging="360"/>
      </w:pPr>
    </w:lvl>
    <w:lvl w:ilvl="8" w:tplc="080C001B" w:tentative="1">
      <w:start w:val="1"/>
      <w:numFmt w:val="lowerRoman"/>
      <w:lvlText w:val="%9."/>
      <w:lvlJc w:val="right"/>
      <w:pPr>
        <w:ind w:left="6990" w:hanging="180"/>
      </w:pPr>
    </w:lvl>
  </w:abstractNum>
  <w:abstractNum xmlns:p16="http://schemas.microsoft.com/office/word/2012/wordml" w:abstractNumId="68" p16:restartNumberingAfterBreak="0">
    <w:nsid w:val="158A138C"/>
    <w:multiLevelType w:val="hybridMultilevel"/>
    <w:tmpl w:val="083403D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xmlns:p16="http://schemas.microsoft.com/office/word/2012/wordml" w:abstractNumId="69" p16:restartNumberingAfterBreak="0">
    <w:nsid w:val="324D5E75"/>
    <w:multiLevelType w:val="hybridMultilevel"/>
    <w:tmpl w:val="DED6743A"/>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0" p16:restartNumberingAfterBreak="0">
    <w:nsid w:val="26B81529"/>
    <w:multiLevelType w:val="multilevel"/>
    <w:tmpl w:val="19B4931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xmlns:p16="http://schemas.microsoft.com/office/word/2012/wordml" w:abstractNumId="71" p16:restartNumberingAfterBreak="0">
    <w:nsid w:val="31F531EA"/>
    <w:multiLevelType w:val="hybridMultilevel"/>
    <w:tmpl w:val="46E40F34"/>
    <w:lvl w:ilvl="0" w:tplc="95427C5C">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2" p16:restartNumberingAfterBreak="0">
    <w:nsid w:val="74606597"/>
    <w:multiLevelType w:val="hybridMultilevel"/>
    <w:tmpl w:val="F1503F72"/>
    <w:lvl w:ilvl="0" w:tplc="42B8E8C2">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3" p16:restartNumberingAfterBreak="0">
    <w:nsid w:val="15FB003C"/>
    <w:multiLevelType w:val="hybridMultilevel"/>
    <w:tmpl w:val="576885C8"/>
    <w:lvl w:ilvl="0" w:tplc="DC4C000A">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4" p16:restartNumberingAfterBreak="0">
    <w:nsid w:val="22D62238"/>
    <w:multiLevelType w:val="hybridMultilevel"/>
    <w:tmpl w:val="EB8883A0"/>
    <w:lvl w:ilvl="0" w:tplc="1FC2DCB8">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5" p16:restartNumberingAfterBreak="0">
    <w:nsid w:val="0AF91AD9"/>
    <w:multiLevelType w:val="hybridMultilevel"/>
    <w:tmpl w:val="4EEC4C1E"/>
    <w:lvl w:ilvl="0" w:tplc="7FF07966">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6" p16:restartNumberingAfterBreak="0">
    <w:nsid w:val="6ED063DF"/>
    <w:multiLevelType w:val="hybridMultilevel"/>
    <w:tmpl w:val="D88ABD3A"/>
    <w:lvl w:ilvl="0" w:tplc="08EED532">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7" p16:restartNumberingAfterBreak="0">
    <w:nsid w:val="7C1AF896"/>
    <w:multiLevelType w:val="hybridMultilevel"/>
    <w:tmpl w:val="D0085D24"/>
    <w:lvl w:ilvl="0" w:tplc="8DB842E0">
      <w:start w:val="1"/>
      <w:numFmt w:val="lowerLetter"/>
      <w:lvlText w:val="%1)"/>
      <w:lvlJc w:val="left"/>
      <w:pPr>
        <w:ind w:left="720" w:hanging="360"/>
      </w:pPr>
      <w:rPr>
        <w:rFonts w:hint="default" w:ascii="Times New Roman" w:hAnsi="Times New Roman" w:cs="Times New Roman"/>
        <w:color w:val="006100"/>
        <w:sz w:val="18"/>
        <w:szCs w:val="18"/>
      </w:rPr>
    </w:lvl>
    <w:lvl w:ilvl="1" w:tplc="C8A889F0">
      <w:start w:val="1"/>
      <w:numFmt w:val="lowerLetter"/>
      <w:lvlText w:val="%2."/>
      <w:lvlJc w:val="left"/>
      <w:pPr>
        <w:ind w:left="1440" w:hanging="360"/>
      </w:pPr>
    </w:lvl>
    <w:lvl w:ilvl="2" w:tplc="399EC8B2">
      <w:start w:val="1"/>
      <w:numFmt w:val="lowerRoman"/>
      <w:lvlText w:val="%3."/>
      <w:lvlJc w:val="right"/>
      <w:pPr>
        <w:ind w:left="2160" w:hanging="180"/>
      </w:pPr>
    </w:lvl>
    <w:lvl w:ilvl="3" w:tplc="DC92581A">
      <w:start w:val="1"/>
      <w:numFmt w:val="decimal"/>
      <w:lvlText w:val="%4."/>
      <w:lvlJc w:val="left"/>
      <w:pPr>
        <w:ind w:left="2880" w:hanging="360"/>
      </w:pPr>
    </w:lvl>
    <w:lvl w:ilvl="4" w:tplc="3482B5BE">
      <w:start w:val="1"/>
      <w:numFmt w:val="lowerLetter"/>
      <w:lvlText w:val="%5."/>
      <w:lvlJc w:val="left"/>
      <w:pPr>
        <w:ind w:left="3600" w:hanging="360"/>
      </w:pPr>
    </w:lvl>
    <w:lvl w:ilvl="5" w:tplc="C9100724">
      <w:start w:val="1"/>
      <w:numFmt w:val="lowerRoman"/>
      <w:lvlText w:val="%6."/>
      <w:lvlJc w:val="right"/>
      <w:pPr>
        <w:ind w:left="4320" w:hanging="180"/>
      </w:pPr>
    </w:lvl>
    <w:lvl w:ilvl="6" w:tplc="52DE718A">
      <w:start w:val="1"/>
      <w:numFmt w:val="decimal"/>
      <w:lvlText w:val="%7."/>
      <w:lvlJc w:val="left"/>
      <w:pPr>
        <w:ind w:left="5040" w:hanging="360"/>
      </w:pPr>
    </w:lvl>
    <w:lvl w:ilvl="7" w:tplc="24066710">
      <w:start w:val="1"/>
      <w:numFmt w:val="lowerLetter"/>
      <w:lvlText w:val="%8."/>
      <w:lvlJc w:val="left"/>
      <w:pPr>
        <w:ind w:left="5760" w:hanging="360"/>
      </w:pPr>
    </w:lvl>
    <w:lvl w:ilvl="8" w:tplc="61D0EC70">
      <w:start w:val="1"/>
      <w:numFmt w:val="lowerRoman"/>
      <w:lvlText w:val="%9."/>
      <w:lvlJc w:val="right"/>
      <w:pPr>
        <w:ind w:left="6480" w:hanging="180"/>
      </w:pPr>
    </w:lvl>
  </w:abstractNum>
  <w:abstractNum xmlns:p16="http://schemas.microsoft.com/office/word/2012/wordml" w:abstractNumId="78" p16:restartNumberingAfterBreak="0">
    <w:nsid w:val="45B20F85"/>
    <w:multiLevelType w:val="hybridMultilevel"/>
    <w:tmpl w:val="0018E5FA"/>
    <w:lvl w:ilvl="0" w:tplc="555E7FC6">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79" p16:restartNumberingAfterBreak="0">
    <w:nsid w:val="0F1558DA"/>
    <w:multiLevelType w:val="hybridMultilevel"/>
    <w:tmpl w:val="7C4AA3F2"/>
    <w:lvl w:ilvl="0" w:tplc="0F4058BE">
      <w:start w:val="1"/>
      <w:numFmt w:val="bullet"/>
      <w:lvlText w:val=""/>
      <w:lvlJc w:val="left"/>
      <w:pPr>
        <w:ind w:left="720" w:hanging="360"/>
      </w:pPr>
      <w:rPr>
        <w:rFonts w:hint="default" w:ascii="Symbol" w:hAnsi="Symbol"/>
        <w:sz w:val="16"/>
        <w:szCs w:val="16"/>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80" p16:restartNumberingAfterBreak="0">
    <w:nsid w:val="49A45912"/>
    <w:multiLevelType w:val="hybridMultilevel"/>
    <w:tmpl w:val="8EF48F9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81" p16:restartNumberingAfterBreak="0">
    <w:nsid w:val="500BC0ED"/>
    <w:multiLevelType w:val="hybridMultilevel"/>
    <w:tmpl w:val="7E6C556C"/>
    <w:lvl w:ilvl="0" w:tplc="8B3E2FA6">
      <w:start w:val="1"/>
      <w:numFmt w:val="bullet"/>
      <w:lvlText w:val="-"/>
      <w:lvlJc w:val="left"/>
      <w:pPr>
        <w:ind w:left="720" w:hanging="360"/>
      </w:pPr>
      <w:rPr>
        <w:rFonts w:hint="default" w:ascii="Calibri" w:hAnsi="Calibri"/>
      </w:rPr>
    </w:lvl>
    <w:lvl w:ilvl="1" w:tplc="4678C744">
      <w:start w:val="1"/>
      <w:numFmt w:val="bullet"/>
      <w:lvlText w:val="o"/>
      <w:lvlJc w:val="left"/>
      <w:pPr>
        <w:ind w:left="1440" w:hanging="360"/>
      </w:pPr>
      <w:rPr>
        <w:rFonts w:hint="default" w:ascii="Courier New" w:hAnsi="Courier New"/>
      </w:rPr>
    </w:lvl>
    <w:lvl w:ilvl="2" w:tplc="F676D4E2">
      <w:start w:val="1"/>
      <w:numFmt w:val="bullet"/>
      <w:lvlText w:val=""/>
      <w:lvlJc w:val="left"/>
      <w:pPr>
        <w:ind w:left="2160" w:hanging="360"/>
      </w:pPr>
      <w:rPr>
        <w:rFonts w:hint="default" w:ascii="Wingdings" w:hAnsi="Wingdings"/>
      </w:rPr>
    </w:lvl>
    <w:lvl w:ilvl="3" w:tplc="5DE8E092">
      <w:start w:val="1"/>
      <w:numFmt w:val="bullet"/>
      <w:lvlText w:val=""/>
      <w:lvlJc w:val="left"/>
      <w:pPr>
        <w:ind w:left="2880" w:hanging="360"/>
      </w:pPr>
      <w:rPr>
        <w:rFonts w:hint="default" w:ascii="Symbol" w:hAnsi="Symbol"/>
      </w:rPr>
    </w:lvl>
    <w:lvl w:ilvl="4" w:tplc="070E21AE">
      <w:start w:val="1"/>
      <w:numFmt w:val="bullet"/>
      <w:lvlText w:val="o"/>
      <w:lvlJc w:val="left"/>
      <w:pPr>
        <w:ind w:left="3600" w:hanging="360"/>
      </w:pPr>
      <w:rPr>
        <w:rFonts w:hint="default" w:ascii="Courier New" w:hAnsi="Courier New"/>
      </w:rPr>
    </w:lvl>
    <w:lvl w:ilvl="5" w:tplc="6876E762">
      <w:start w:val="1"/>
      <w:numFmt w:val="bullet"/>
      <w:lvlText w:val=""/>
      <w:lvlJc w:val="left"/>
      <w:pPr>
        <w:ind w:left="4320" w:hanging="360"/>
      </w:pPr>
      <w:rPr>
        <w:rFonts w:hint="default" w:ascii="Wingdings" w:hAnsi="Wingdings"/>
      </w:rPr>
    </w:lvl>
    <w:lvl w:ilvl="6" w:tplc="24F4107E">
      <w:start w:val="1"/>
      <w:numFmt w:val="bullet"/>
      <w:lvlText w:val=""/>
      <w:lvlJc w:val="left"/>
      <w:pPr>
        <w:ind w:left="5040" w:hanging="360"/>
      </w:pPr>
      <w:rPr>
        <w:rFonts w:hint="default" w:ascii="Symbol" w:hAnsi="Symbol"/>
      </w:rPr>
    </w:lvl>
    <w:lvl w:ilvl="7" w:tplc="F3023E04">
      <w:start w:val="1"/>
      <w:numFmt w:val="bullet"/>
      <w:lvlText w:val="o"/>
      <w:lvlJc w:val="left"/>
      <w:pPr>
        <w:ind w:left="5760" w:hanging="360"/>
      </w:pPr>
      <w:rPr>
        <w:rFonts w:hint="default" w:ascii="Courier New" w:hAnsi="Courier New"/>
      </w:rPr>
    </w:lvl>
    <w:lvl w:ilvl="8" w:tplc="A8765FB6">
      <w:start w:val="1"/>
      <w:numFmt w:val="bullet"/>
      <w:lvlText w:val=""/>
      <w:lvlJc w:val="left"/>
      <w:pPr>
        <w:ind w:left="6480" w:hanging="360"/>
      </w:pPr>
      <w:rPr>
        <w:rFonts w:hint="default" w:ascii="Wingdings" w:hAnsi="Wingdings"/>
      </w:rPr>
    </w:lvl>
  </w:abstractNum>
  <w:abstractNum xmlns:p16="http://schemas.microsoft.com/office/word/2012/wordml" w:abstractNumId="82" p16:restartNumberingAfterBreak="0">
    <w:nsid w:val="333D0D78"/>
    <w:multiLevelType w:val="hybridMultilevel"/>
    <w:tmpl w:val="BDEA41FA"/>
    <w:lvl w:ilvl="0" w:tplc="749E635C">
      <w:start w:val="1"/>
      <w:numFmt w:val="bullet"/>
      <w:lvlText w:val="-"/>
      <w:lvlJc w:val="left"/>
      <w:pPr>
        <w:ind w:left="720" w:hanging="360"/>
      </w:pPr>
      <w:rPr>
        <w:rFonts w:hint="default" w:ascii="Calibri" w:hAnsi="Calibri"/>
      </w:rPr>
    </w:lvl>
    <w:lvl w:ilvl="1" w:tplc="38440264">
      <w:start w:val="1"/>
      <w:numFmt w:val="bullet"/>
      <w:lvlText w:val="o"/>
      <w:lvlJc w:val="left"/>
      <w:pPr>
        <w:ind w:left="1440" w:hanging="360"/>
      </w:pPr>
      <w:rPr>
        <w:rFonts w:hint="default" w:ascii="Courier New" w:hAnsi="Courier New"/>
      </w:rPr>
    </w:lvl>
    <w:lvl w:ilvl="2" w:tplc="103E9B2A">
      <w:start w:val="1"/>
      <w:numFmt w:val="bullet"/>
      <w:lvlText w:val=""/>
      <w:lvlJc w:val="left"/>
      <w:pPr>
        <w:ind w:left="2160" w:hanging="360"/>
      </w:pPr>
      <w:rPr>
        <w:rFonts w:hint="default" w:ascii="Wingdings" w:hAnsi="Wingdings"/>
      </w:rPr>
    </w:lvl>
    <w:lvl w:ilvl="3" w:tplc="37CE650A">
      <w:start w:val="1"/>
      <w:numFmt w:val="bullet"/>
      <w:lvlText w:val=""/>
      <w:lvlJc w:val="left"/>
      <w:pPr>
        <w:ind w:left="2880" w:hanging="360"/>
      </w:pPr>
      <w:rPr>
        <w:rFonts w:hint="default" w:ascii="Symbol" w:hAnsi="Symbol"/>
      </w:rPr>
    </w:lvl>
    <w:lvl w:ilvl="4" w:tplc="C53ACC30">
      <w:start w:val="1"/>
      <w:numFmt w:val="bullet"/>
      <w:lvlText w:val="o"/>
      <w:lvlJc w:val="left"/>
      <w:pPr>
        <w:ind w:left="3600" w:hanging="360"/>
      </w:pPr>
      <w:rPr>
        <w:rFonts w:hint="default" w:ascii="Courier New" w:hAnsi="Courier New"/>
      </w:rPr>
    </w:lvl>
    <w:lvl w:ilvl="5" w:tplc="C1A20C0E">
      <w:start w:val="1"/>
      <w:numFmt w:val="bullet"/>
      <w:lvlText w:val=""/>
      <w:lvlJc w:val="left"/>
      <w:pPr>
        <w:ind w:left="4320" w:hanging="360"/>
      </w:pPr>
      <w:rPr>
        <w:rFonts w:hint="default" w:ascii="Wingdings" w:hAnsi="Wingdings"/>
      </w:rPr>
    </w:lvl>
    <w:lvl w:ilvl="6" w:tplc="D81438B6">
      <w:start w:val="1"/>
      <w:numFmt w:val="bullet"/>
      <w:lvlText w:val=""/>
      <w:lvlJc w:val="left"/>
      <w:pPr>
        <w:ind w:left="5040" w:hanging="360"/>
      </w:pPr>
      <w:rPr>
        <w:rFonts w:hint="default" w:ascii="Symbol" w:hAnsi="Symbol"/>
      </w:rPr>
    </w:lvl>
    <w:lvl w:ilvl="7" w:tplc="F39AEB90">
      <w:start w:val="1"/>
      <w:numFmt w:val="bullet"/>
      <w:lvlText w:val="o"/>
      <w:lvlJc w:val="left"/>
      <w:pPr>
        <w:ind w:left="5760" w:hanging="360"/>
      </w:pPr>
      <w:rPr>
        <w:rFonts w:hint="default" w:ascii="Courier New" w:hAnsi="Courier New"/>
      </w:rPr>
    </w:lvl>
    <w:lvl w:ilvl="8" w:tplc="8992115A">
      <w:start w:val="1"/>
      <w:numFmt w:val="bullet"/>
      <w:lvlText w:val=""/>
      <w:lvlJc w:val="left"/>
      <w:pPr>
        <w:ind w:left="6480" w:hanging="360"/>
      </w:pPr>
      <w:rPr>
        <w:rFonts w:hint="default" w:ascii="Wingdings" w:hAnsi="Wingdings"/>
      </w:rPr>
    </w:lvl>
  </w:abstractNum>
  <w:abstractNum xmlns:p16="http://schemas.microsoft.com/office/word/2012/wordml" w:abstractNumId="83" p16:restartNumberingAfterBreak="0">
    <w:nsid w:val="551842F8"/>
    <w:multiLevelType w:val="hybridMultilevel"/>
    <w:tmpl w:val="C6900E88"/>
    <w:lvl w:ilvl="0" w:tplc="E67840F6">
      <w:start w:val="1"/>
      <w:numFmt w:val="bullet"/>
      <w:lvlText w:val=""/>
      <w:lvlJc w:val="left"/>
      <w:pPr>
        <w:ind w:left="720" w:hanging="360"/>
      </w:pPr>
      <w:rPr>
        <w:rFonts w:hint="default" w:ascii="Symbol" w:hAnsi="Symbol"/>
        <w:color w:val="006100"/>
        <w:sz w:val="18"/>
        <w:szCs w:val="18"/>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xmlns:p16="http://schemas.microsoft.com/office/word/2012/wordml" w:abstractNumId="84" p16:restartNumberingAfterBreak="0">
    <w:nsid w:val="014B5293"/>
    <w:multiLevelType w:val="hybridMultilevel"/>
    <w:tmpl w:val="0C100B42"/>
    <w:lvl w:ilvl="0" w:tplc="749E635C">
      <w:start w:val="1"/>
      <w:numFmt w:val="bullet"/>
      <w:lvlText w:val="-"/>
      <w:lvlJc w:val="left"/>
      <w:pPr>
        <w:ind w:left="720" w:hanging="360"/>
      </w:pPr>
      <w:rPr>
        <w:rFonts w:hint="default" w:ascii="Calibri" w:hAnsi="Calibri"/>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num xmlns:w16cid="http://schemas.microsoft.com/office/word/2016/wordml/cid" w:numId="1">
    <w:abstractNumId w:val="0"/>
  </w:num>
  <w:num xmlns:w16cid="http://schemas.microsoft.com/office/word/2016/wordml/cid" w:numId="2">
    <w:abstractNumId w:val="1"/>
  </w:num>
  <w:num xmlns:w16cid="http://schemas.microsoft.com/office/word/2016/wordml/cid" w:numId="3">
    <w:abstractNumId w:val="2"/>
  </w:num>
  <w:num xmlns:w16cid="http://schemas.microsoft.com/office/word/2016/wordml/cid" w:numId="4">
    <w:abstractNumId w:val="3"/>
  </w:num>
  <w:num xmlns:w16cid="http://schemas.microsoft.com/office/word/2016/wordml/cid" w:numId="5">
    <w:abstractNumId w:val="4"/>
  </w:num>
  <w:num xmlns:w16cid="http://schemas.microsoft.com/office/word/2016/wordml/cid" w:numId="6">
    <w:abstractNumId w:val="5"/>
  </w:num>
  <w:num xmlns:w16cid="http://schemas.microsoft.com/office/word/2016/wordml/cid" w:numId="7">
    <w:abstractNumId w:val="6"/>
  </w:num>
  <w:num xmlns:w16cid="http://schemas.microsoft.com/office/word/2016/wordml/cid" w:numId="8">
    <w:abstractNumId w:val="7"/>
  </w:num>
  <w:num xmlns:w16cid="http://schemas.microsoft.com/office/word/2016/wordml/cid" w:numId="9">
    <w:abstractNumId w:val="8"/>
  </w:num>
  <w:num xmlns:w16cid="http://schemas.microsoft.com/office/word/2016/wordml/cid" w:numId="10">
    <w:abstractNumId w:val="9"/>
  </w:num>
  <w:num xmlns:w16cid="http://schemas.microsoft.com/office/word/2016/wordml/cid" w:numId="11">
    <w:abstractNumId w:val="10"/>
  </w:num>
  <w:num xmlns:w16cid="http://schemas.microsoft.com/office/word/2016/wordml/cid" w:numId="12">
    <w:abstractNumId w:val="11"/>
  </w:num>
  <w:num xmlns:w16cid="http://schemas.microsoft.com/office/word/2016/wordml/cid" w:numId="13">
    <w:abstractNumId w:val="12"/>
  </w:num>
  <w:num xmlns:w16cid="http://schemas.microsoft.com/office/word/2016/wordml/cid" w:numId="14">
    <w:abstractNumId w:val="13"/>
  </w:num>
  <w:num xmlns:w16cid="http://schemas.microsoft.com/office/word/2016/wordml/cid" w:numId="15">
    <w:abstractNumId w:val="14"/>
  </w:num>
  <w:num xmlns:w16cid="http://schemas.microsoft.com/office/word/2016/wordml/cid" w:numId="16">
    <w:abstractNumId w:val="15"/>
  </w:num>
  <w:num xmlns:w16cid="http://schemas.microsoft.com/office/word/2016/wordml/cid" w:numId="17">
    <w:abstractNumId w:val="16"/>
  </w:num>
  <w:num xmlns:w16cid="http://schemas.microsoft.com/office/word/2016/wordml/cid" w:numId="18">
    <w:abstractNumId w:val="17"/>
  </w:num>
  <w:num xmlns:w16cid="http://schemas.microsoft.com/office/word/2016/wordml/cid" w:numId="19">
    <w:abstractNumId w:val="18"/>
  </w:num>
  <w:num xmlns:w16cid="http://schemas.microsoft.com/office/word/2016/wordml/cid" w:numId="20">
    <w:abstractNumId w:val="19"/>
  </w:num>
  <w:num xmlns:w16cid="http://schemas.microsoft.com/office/word/2016/wordml/cid" w:numId="21">
    <w:abstractNumId w:val="20"/>
  </w:num>
  <w:num xmlns:w16cid="http://schemas.microsoft.com/office/word/2016/wordml/cid" w:numId="22">
    <w:abstractNumId w:val="21"/>
  </w:num>
  <w:num xmlns:w16cid="http://schemas.microsoft.com/office/word/2016/wordml/cid" w:numId="23">
    <w:abstractNumId w:val="22"/>
  </w:num>
  <w:num xmlns:w16cid="http://schemas.microsoft.com/office/word/2016/wordml/cid" w:numId="24">
    <w:abstractNumId w:val="23"/>
  </w:num>
  <w:num xmlns:w16cid="http://schemas.microsoft.com/office/word/2016/wordml/cid" w:numId="25">
    <w:abstractNumId w:val="24"/>
  </w:num>
  <w:num xmlns:w16cid="http://schemas.microsoft.com/office/word/2016/wordml/cid" w:numId="26">
    <w:abstractNumId w:val="25"/>
  </w:num>
  <w:num xmlns:w16cid="http://schemas.microsoft.com/office/word/2016/wordml/cid" w:numId="27">
    <w:abstractNumId w:val="26"/>
  </w:num>
  <w:num xmlns:w16cid="http://schemas.microsoft.com/office/word/2016/wordml/cid" w:numId="28">
    <w:abstractNumId w:val="27"/>
  </w:num>
  <w:num xmlns:w16cid="http://schemas.microsoft.com/office/word/2016/wordml/cid" w:numId="29">
    <w:abstractNumId w:val="28"/>
  </w:num>
  <w:num xmlns:w16cid="http://schemas.microsoft.com/office/word/2016/wordml/cid" w:numId="30">
    <w:abstractNumId w:val="29"/>
  </w:num>
  <w:num xmlns:w16cid="http://schemas.microsoft.com/office/word/2016/wordml/cid" w:numId="31">
    <w:abstractNumId w:val="30"/>
  </w:num>
  <w:num xmlns:w16cid="http://schemas.microsoft.com/office/word/2016/wordml/cid" w:numId="32">
    <w:abstractNumId w:val="31"/>
  </w:num>
  <w:num xmlns:w16cid="http://schemas.microsoft.com/office/word/2016/wordml/cid" w:numId="33">
    <w:abstractNumId w:val="32"/>
  </w:num>
  <w:num xmlns:w16cid="http://schemas.microsoft.com/office/word/2016/wordml/cid"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xmlns:w16cid="http://schemas.microsoft.com/office/word/2016/wordml/cid"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xmlns:w16cid="http://schemas.microsoft.com/office/word/2016/wordml/cid"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xmlns:w16cid="http://schemas.microsoft.com/office/word/2016/wordml/cid"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xmlns:w16cid="http://schemas.microsoft.com/office/word/2016/wordml/cid" w:numId="38">
    <w:abstractNumId w:val="34"/>
  </w:num>
  <w:num xmlns:w16cid="http://schemas.microsoft.com/office/word/2016/wordml/cid" w:numId="39">
    <w:abstractNumId w:val="35"/>
  </w:num>
  <w:num xmlns:p16="http://schemas.microsoft.com/office/word/2016/wordml/cid" w:numId="40">
    <w:abstractNumId w:val="36"/>
  </w:num>
  <w:num xmlns:p16="http://schemas.microsoft.com/office/word/2016/wordml/cid" w:numId="41">
    <w:abstractNumId w:val="37"/>
  </w:num>
  <w:num xmlns:p16="http://schemas.microsoft.com/office/word/2016/wordml/cid" w:numId="42">
    <w:abstractNumId w:val="38"/>
  </w:num>
  <w:num xmlns:p16="http://schemas.microsoft.com/office/word/2016/wordml/cid" w:numId="43">
    <w:abstractNumId w:val="39"/>
  </w:num>
  <w:num xmlns:p16="http://schemas.microsoft.com/office/word/2016/wordml/cid" w:numId="44">
    <w:abstractNumId w:val="40"/>
  </w:num>
  <w:num xmlns:p16="http://schemas.microsoft.com/office/word/2016/wordml/cid" w:numId="45">
    <w:abstractNumId w:val="41"/>
  </w:num>
  <w:num xmlns:p16="http://schemas.microsoft.com/office/word/2016/wordml/cid" w:numId="46">
    <w:abstractNumId w:val="42"/>
  </w:num>
  <w:num xmlns:p16="http://schemas.microsoft.com/office/word/2016/wordml/cid" w:numId="47">
    <w:abstractNumId w:val="43"/>
  </w:num>
  <w:num xmlns:p16="http://schemas.microsoft.com/office/word/2016/wordml/cid" w:numId="48">
    <w:abstractNumId w:val="44"/>
  </w:num>
  <w:num xmlns:p16="http://schemas.microsoft.com/office/word/2016/wordml/cid" w:numId="49">
    <w:abstractNumId w:val="45"/>
  </w:num>
  <w:num xmlns:p16="http://schemas.microsoft.com/office/word/2016/wordml/cid" w:numId="50">
    <w:abstractNumId w:val="46"/>
  </w:num>
  <w:num xmlns:p16="http://schemas.microsoft.com/office/word/2016/wordml/cid" w:numId="51">
    <w:abstractNumId w:val="47"/>
  </w:num>
  <w:num xmlns:p16="http://schemas.microsoft.com/office/word/2016/wordml/cid" w:numId="52">
    <w:abstractNumId w:val="48"/>
  </w:num>
  <w:num xmlns:p16="http://schemas.microsoft.com/office/word/2016/wordml/cid" w:numId="53">
    <w:abstractNumId w:val="49"/>
  </w:num>
  <w:num xmlns:p16="http://schemas.microsoft.com/office/word/2016/wordml/cid" w:numId="54">
    <w:abstractNumId w:val="50"/>
  </w:num>
  <w:num xmlns:p16="http://schemas.microsoft.com/office/word/2016/wordml/cid" w:numId="55">
    <w:abstractNumId w:val="51"/>
  </w:num>
  <w:num xmlns:p16="http://schemas.microsoft.com/office/word/2016/wordml/cid" w:numId="56">
    <w:abstractNumId w:val="52"/>
  </w:num>
  <w:num xmlns:p16="http://schemas.microsoft.com/office/word/2016/wordml/cid" w:numId="57">
    <w:abstractNumId w:val="53"/>
  </w:num>
  <w:num xmlns:p16="http://schemas.microsoft.com/office/word/2016/wordml/cid" w:numId="58">
    <w:abstractNumId w:val="54"/>
  </w:num>
  <w:num xmlns:p16="http://schemas.microsoft.com/office/word/2016/wordml/cid" w:numId="59">
    <w:abstractNumId w:val="55"/>
  </w:num>
  <w:num xmlns:p16="http://schemas.microsoft.com/office/word/2016/wordml/cid" w:numId="60">
    <w:abstractNumId w:val="56"/>
  </w:num>
  <w:num xmlns:p16="http://schemas.microsoft.com/office/word/2016/wordml/cid" w:numId="61">
    <w:abstractNumId w:val="57"/>
  </w:num>
  <w:num xmlns:p16="http://schemas.microsoft.com/office/word/2016/wordml/cid" w:numId="62">
    <w:abstractNumId w:val="58"/>
  </w:num>
  <w:num xmlns:p16="http://schemas.microsoft.com/office/word/2016/wordml/cid" w:numId="63">
    <w:abstractNumId w:val="59"/>
  </w:num>
  <w:num xmlns:p16="http://schemas.microsoft.com/office/word/2016/wordml/cid" w:numId="64">
    <w:abstractNumId w:val="60"/>
  </w:num>
  <w:num xmlns:p16="http://schemas.microsoft.com/office/word/2016/wordml/cid" w:numId="65">
    <w:abstractNumId w:val="61"/>
  </w:num>
  <w:num xmlns:p16="http://schemas.microsoft.com/office/word/2016/wordml/cid" w:numId="66">
    <w:abstractNumId w:val="62"/>
  </w:num>
  <w:num xmlns:p16="http://schemas.microsoft.com/office/word/2016/wordml/cid" w:numId="67">
    <w:abstractNumId w:val="63"/>
  </w:num>
  <w:num xmlns:p16="http://schemas.microsoft.com/office/word/2016/wordml/cid" w:numId="68">
    <w:abstractNumId w:val="64"/>
  </w:num>
  <w:num xmlns:p16="http://schemas.microsoft.com/office/word/2016/wordml/cid" w:numId="69">
    <w:abstractNumId w:val="65"/>
  </w:num>
  <w:num xmlns:p16="http://schemas.microsoft.com/office/word/2016/wordml/cid" w:numId="70">
    <w:abstractNumId w:val="66"/>
  </w:num>
  <w:num xmlns:p16="http://schemas.microsoft.com/office/word/2016/wordml/cid" w:numId="71">
    <w:abstractNumId w:val="67"/>
  </w:num>
  <w:num xmlns:p16="http://schemas.microsoft.com/office/word/2016/wordml/cid" w:numId="72">
    <w:abstractNumId w:val="68"/>
  </w:num>
  <w:num xmlns:p16="http://schemas.microsoft.com/office/word/2016/wordml/cid" w:numId="73">
    <w:abstractNumId w:val="69"/>
  </w:num>
  <w:num xmlns:p16="http://schemas.microsoft.com/office/word/2016/wordml/cid" w:numId="74">
    <w:abstractNumId w:val="70"/>
  </w:num>
  <w:num xmlns:p16="http://schemas.microsoft.com/office/word/2016/wordml/cid" w:numId="75">
    <w:abstractNumId w:val="71"/>
  </w:num>
  <w:num xmlns:p16="http://schemas.microsoft.com/office/word/2016/wordml/cid" w:numId="76">
    <w:abstractNumId w:val="72"/>
  </w:num>
  <w:num xmlns:p16="http://schemas.microsoft.com/office/word/2016/wordml/cid" w:numId="77">
    <w:abstractNumId w:val="73"/>
  </w:num>
  <w:num xmlns:p16="http://schemas.microsoft.com/office/word/2016/wordml/cid" w:numId="78">
    <w:abstractNumId w:val="74"/>
  </w:num>
  <w:num xmlns:p16="http://schemas.microsoft.com/office/word/2016/wordml/cid" w:numId="79">
    <w:abstractNumId w:val="75"/>
  </w:num>
  <w:num xmlns:p16="http://schemas.microsoft.com/office/word/2016/wordml/cid" w:numId="80">
    <w:abstractNumId w:val="76"/>
  </w:num>
  <w:num xmlns:p16="http://schemas.microsoft.com/office/word/2016/wordml/cid" w:numId="81">
    <w:abstractNumId w:val="77"/>
  </w:num>
  <w:num xmlns:p16="http://schemas.microsoft.com/office/word/2016/wordml/cid" w:numId="82">
    <w:abstractNumId w:val="78"/>
  </w:num>
  <w:num xmlns:p16="http://schemas.microsoft.com/office/word/2016/wordml/cid" w:numId="83">
    <w:abstractNumId w:val="79"/>
  </w:num>
  <w:num xmlns:p16="http://schemas.microsoft.com/office/word/2016/wordml/cid" w:numId="84">
    <w:abstractNumId w:val="80"/>
  </w:num>
  <w:num xmlns:p16="http://schemas.microsoft.com/office/word/2016/wordml/cid" w:numId="85">
    <w:abstractNumId w:val="81"/>
  </w:num>
  <w:num xmlns:p16="http://schemas.microsoft.com/office/word/2016/wordml/cid" w:numId="86">
    <w:abstractNumId w:val="82"/>
  </w:num>
  <w:num xmlns:p16="http://schemas.microsoft.com/office/word/2016/wordml/cid" w:numId="87">
    <w:abstractNumId w:val="83"/>
  </w:num>
  <w:num xmlns:p16="http://schemas.microsoft.com/office/word/2016/wordml/cid" w:numId="88">
    <w:abstractNumId w:val="84"/>
  </w:num>
  <w:num xmlns:p16="http://schemas.microsoft.com/office/word/2016/wordml/cid" w:numId="89">
    <w:abstractNumId w:val="33"/>
  </w:num>
  <w:num xmlns:p16="http://schemas.microsoft.com/office/word/2016/wordml/cid" w:numId="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defaultTabStop w:val="720"/>
  <w:characterSpacingControl w:val="doNotCompress"/>
  <w:footnotePr>
    <w:footnote w:id="-1"/>
    <w:footnote w:id="0"/>
    <w:footnote w:id="1"/>
  </w:footnotePr>
  <w:endnotePr>
    <w:endnote w:id="0"/>
    <w:endnote w:id="1"/>
  </w:endnotePr>
  <w:docVars>
    <w:docVar w:name="DW_DocType" w:val=""/>
    <w:docVar w:name="DW_ProcessingType" w:val=""/>
    <w:docVar w:name="Council" w:val="true"/>
    <w:docVar w:name="DocuWriteMetaData" w:val="&lt;metadataset docuwriteversion=&quot;4.13.1&quot; technicalblockguid=&quot;5568692986073102431&quot;&gt;&#13;&#10;  &lt;metadata key=&quot;md_DocumentLanguages&quot;&gt;&#13;&#10;    &lt;basicdatatypelist&gt;&#13;&#10;      &lt;language key=&quot;EN&quot; text=&quot;EN&quot; /&gt;&#13;&#10;    &lt;/basicdatatypelist&gt;&#13;&#10;  &lt;/metadata&gt;&#13;&#10;  &lt;metadata key=&quot;md_OriginalLanguages&quot;&gt;&#13;&#10;    &lt;basicdatatypelist&gt;&#13;&#10;      &lt;language key=&quot;EN&quot; text=&quot;EN&quot; /&gt;&#13;&#10;    &lt;/basicdatatypelist&gt;&#13;&#10;  &lt;/metadata&gt;&#13;&#10;  &lt;metadata key=&quot;md_UniqueHeading&quot;&gt;&#13;&#10;    &lt;basicdatatype&gt;&#13;&#10;      &lt;heading key=&quot;uh_36&quot; text=&quot;NOTE&quot; /&gt;&#13;&#10;    &lt;/basicdatatype&gt;&#13;&#10;  &lt;/metadata&gt;&#13;&#10;  &lt;metadata key=&quot;md_HeadingText&quot;&gt;&#13;&#10;    &lt;headingtext text=&quot;NOTE&quot;&gt;&#13;&#10;      &lt;formattedtext&gt;&#13;&#10;        &lt;xaml text=&quot;NOTE&quot;&gt;&amp;lt;FlowDocument xmlns=&quot;http://schemas.microsoft.com/winfx/2006/xaml/presentation&quot;&amp;gt;&amp;lt;Paragraph&amp;gt;NOTE&amp;lt;/Paragraph&amp;gt;&amp;lt;/FlowDocument&amp;gt;&lt;/xaml&gt;&#13;&#10;      &lt;/formattedtext&gt;&#13;&#10;    &lt;/headingtext&gt;&#13;&#10;  &lt;/metadata&gt;&#13;&#10;  &lt;metadata key=&quot;md_CustomFootnote&quot;&gt;&#13;&#10;    &lt;text&gt;&lt;/text&gt;&#13;&#10;  &lt;/metadata&gt;&#13;&#10;  &lt;metadata key=&quot;md_DocumentGroup&quot;&gt;&#13;&#10;    &lt;basicdatatype&gt;&#13;&#10;      &lt;document_group key=&quot;dg_07&quot; text=&quot;Note&quot; /&gt;&#13;&#10;    &lt;/basicdatatype&gt;&#13;&#10;  &lt;/metadata&gt;&#13;&#10;  &lt;metadata key=&quot;md_DocumentType&quot;&gt;&#13;&#10;    &lt;basicdatatype&gt;&#13;&#10;      &lt;doc_type key=&quot;dt_ST&quot; text=&quot;ST&quot; /&gt;&#13;&#10;    &lt;/basicdatatype&gt;&#13;&#10;  &lt;/metadata&gt;&#13;&#10;  &lt;metadata key=&quot;md_InstitutionalFramework&quot;&gt;&#13;&#10;    &lt;basicdatatype&gt;&#13;&#10;      &lt;framework key=&quot;if_01&quot; text=&quot;Council of the European Union&quot; institution=&quot;instfr_institution&quot; acronym=&quot;instfr_acronym&quot; /&gt;&#13;&#10;    &lt;/basicdatatype&gt;&#13;&#10;  &lt;/metadata&gt;&#13;&#10;  &lt;metadata key=&quot;md_DraftNote&quot; /&gt;&#13;&#10;  &lt;metadata key=&quot;md_DGName&quot; /&gt;&#13;&#10;  &lt;metadata key=&quot;md_ContributingService&quot; /&gt;&#13;&#10;  &lt;metadata key=&quot;md_DocumentLocation&quot;&gt;&#13;&#10;    &lt;basicdatatype&gt;&#13;&#10;      &lt;location key=&quot;loc_01&quot; text=&quot;Brussels&quot; /&gt;&#13;&#10;    &lt;/basicdatatype&gt;&#13;&#10;  &lt;/metadata&gt;&#13;&#10;  &lt;metadata key=&quot;md_DocumentDate&quot;&gt;&#13;&#10;    &lt;text&gt;2025-12-09&lt;/text&gt;&#13;&#10;  &lt;/metadata&gt;&#13;&#10;  &lt;metadata key=&quot;md_Prefix&quot;&gt;&#13;&#10;    &lt;text&gt;&lt;/text&gt;&#13;&#10;  &lt;/metadata&gt;&#13;&#10;  &lt;metadata key=&quot;md_DocumentNumber&quot;&gt;&#13;&#10;    &lt;text&gt;15755&lt;/text&gt;&#13;&#10;  &lt;/metadata&gt;&#13;&#10;  &lt;metadata key=&quot;md_YearDocumentNumber&quot;&gt;&#13;&#10;    &lt;text&gt;2025&lt;/text&gt;&#13;&#10;  &lt;/metadata&gt;&#13;&#10;  &lt;metadata key=&quot;md_Suffixes&quot;&gt;&#13;&#10;    &lt;text&gt;ADD 1&lt;/text&gt;&#13;&#10;  &lt;/metadata&gt;&#13;&#10;  &lt;metadata key=&quot;md_SuffixLanguagesInvolved&quot;&gt;&#13;&#10;    &lt;text&gt;&lt;/text&gt;&#13;&#10;  &lt;/metadata&gt;&#13;&#10;  &lt;metadata key=&quot;md_FirstRevNumber&quot;&gt;&#13;&#10;    &lt;text&gt;&lt;/text&gt;&#13;&#10;  &lt;/metadata&gt;&#13;&#10;  &lt;metadata key=&quot;md_Distribution&quot;&gt;&#13;&#10;    &lt;basicdatatype&gt;&#13;&#10;      &lt;distribution key=&quot;dis_01&quot; text=&quot;PUBLIC&quot; /&gt;&#13;&#10;    &lt;/basicdatatype&gt;&#13;&#10;  &lt;/metadata&gt;&#13;&#10;  &lt;metadata key=&quot;md_SubjectCodes&quot;&gt;&#13;&#10;    &lt;textlist&gt;&#13;&#10;      &lt;text&gt;ECOFIN 1576&lt;/text&gt;&#13;&#10;      &lt;text&gt;UEM 574&lt;/text&gt;&#13;&#10;      &lt;text&gt;FIN 1429&lt;/text&gt;&#13;&#10;    &lt;/textlist&gt;&#13;&#10;  &lt;/metadata&gt;&#13;&#10;  &lt;metadata key=&quot;md_ThirdPartyDistributionMarkers&quot;&gt;&#13;&#10;    &lt;textlist&gt;&#13;&#10;      &lt;text&gt;ECB&lt;/text&gt;&#13;&#10;      &lt;text&gt;EIB&lt;/text&gt;&#13;&#10;    &lt;/textlist&gt;&#13;&#10;  &lt;/metadata&gt;&#13;&#10;  &lt;metadata key=&quot;md_Contact&quot;&gt;&#13;&#10;    &lt;text&gt;&lt;/text&gt;&#13;&#10;  &lt;/metadata&gt;&#13;&#10;  &lt;metadata key=&quot;md_ContactPhoneFax&quot;&gt;&#13;&#10;    &lt;text&gt;&lt;/text&gt;&#13;&#10;  &lt;/metadata&gt;&#13;&#10;  &lt;metadata key=&quot;md_MeetingVenue&quot; /&gt;&#13;&#10;  &lt;metadata key=&quot;md_ProvisionalVersion&quot;&gt;&#13;&#10;    &lt;text&gt;&lt;/text&gt;&#13;&#10;  &lt;/metadata&gt;&#13;&#10;  &lt;metadata key=&quot;md_PresidentInformation&quot; /&gt;&#13;&#10;  &lt;metadata key=&quot;md_MeetingNumber&quot;&gt;&#13;&#10;    &lt;text&gt;&lt;/text&gt;&#13;&#10;  &lt;/metadata&gt;&#13;&#10;  &lt;metadata key=&quot;md_CouncilConfiguration&quot; /&gt;&#13;&#10;  &lt;metadata key=&quot;md_CouncilIssue&quot; /&gt;&#13;&#10;  &lt;metadata key=&quot;md_PhoneNumber&quot;&gt;&#13;&#10;    &lt;text&gt;&lt;/text&gt;&#13;&#10;  &lt;/metadata&gt;&#13;&#10;  &lt;metadata key=&quot;md_TypeOfHeading&quot;&gt;&#13;&#10;    &lt;basicdatatype&gt;&#13;&#10;      &lt;typeofheading key=&quot;typeofhead_06&quot; text=&quot;Other&quot; /&gt;&#13;&#10;    &lt;/basicdatatype&gt;&#13;&#10;  &lt;/metadata&gt;&#13;&#10;  &lt;metadata key=&quot;md_ReplyName&quot; /&gt;&#13;&#10;  &lt;metadata key=&quot;md_EPQuestionsData&quot; /&gt;&#13;&#10;  &lt;metadata key=&quot;md_Deadline&quot; /&gt;&#13;&#10;  &lt;metadata key=&quot;md_InterinstitutionalFiles&quot;&gt;&#13;&#10;    &lt;textlist&gt;&#13;&#10;      &lt;text&gt;2025/0374 (NLE)&lt;/text&gt;&#13;&#10;    &lt;/textlist&gt;&#13;&#10;  &lt;/metadata&gt;&#13;&#10;  &lt;metadata key=&quot;md_AdditionalReferences&quot;&gt;&#13;&#10;    &lt;textlist&gt;&#13;&#10;      &lt;text&gt;&lt;/text&gt;&#13;&#10;    &lt;/textlist&gt;&#13;&#10;  &lt;/metadata&gt;&#13;&#10;  &lt;metadata key=&quot;md_LEXNumber&quot;&gt;&#13;&#10;    &lt;text&gt;&lt;/text&gt;&#13;&#10;  &lt;/metadata&gt;&#13;&#10;  &lt;metadata key=&quot;md_SousEmbargo&quot;&gt;&#13;&#10;    &lt;text&gt;&lt;/text&gt;&#13;&#10;  &lt;/metadata&gt;&#13;&#10;  &lt;metadata key=&quot;md_DraftVersion&quot;&gt;&#13;&#10;    &lt;text&gt;&lt;/text&gt;&#13;&#10;  &lt;/metadata&gt;&#13;&#10;  &lt;metadata key=&quot;md_Originator&quot;&gt;&#13;&#10;    &lt;basicdatatype&gt;&#13;&#10;      &lt;originator key=&quot;or_09&quot; text=&quot;General Secretariat of the Council&quot; /&gt;&#13;&#10;    &lt;/basicdatatype&gt;&#13;&#10;  &lt;/metadata&gt;&#13;&#10;  &lt;metadata key=&quot;md_Recipient&quot;&gt;&#13;&#10;    &lt;basicdatatype&gt;&#13;&#10;      &lt;recipient key=&quot;re_07&quot; text=&quot;Delegations&quot; /&gt;&#13;&#10;    &lt;/basicdatatype&gt;&#13;&#10;  &lt;/metadata&gt;&#13;&#10;  &lt;metadata key=&quot;md_DateOfReceipt&quot;&gt;&#13;&#10;    &lt;text&gt;&lt;/text&gt;&#13;&#10;  &lt;/metadata&gt;&#13;&#10;  &lt;metadata key=&quot;md_FreeDate&quot;&gt;&#13;&#10;    &lt;textlist /&gt;&#13;&#10;  &lt;/metadata&gt;&#13;&#10;  &lt;metadata key=&quot;md_PrecedingDocuments&quot;&gt;&#13;&#10;    &lt;textlist /&gt;&#13;&#10;  &lt;/metadata&gt;&#13;&#10;  &lt;metadata key=&quot;md_CommissionDocuments&quot;&gt;&#13;&#10;    &lt;textlist /&gt;&#13;&#10;  &lt;/metadata&gt;&#13;&#10;  &lt;metadata key=&quot;md_DocForDWNDCL&quot; /&gt;&#13;&#10;  &lt;metadata key=&quot;md_Distribution_NewClassification&quot; /&gt;&#13;&#10;  &lt;metadata key=&quot;md_DWNDCLAuthorization&quot; /&gt;&#13;&#10;  &lt;metadata key=&quot;md_DateOfAuthorization&quot; /&gt;&#13;&#10;  &lt;metadata key=&quot;md_MeetingLocation&quot;&gt;&#13;&#10;    &lt;basicdatatype&gt;&#13;&#10;      &lt;location key=&quot;&quot; /&gt;&#13;&#10;    &lt;/basicdatatype&gt;&#13;&#10;  &lt;/metadata&gt;&#13;&#10;  &lt;metadata key=&quot;md_MeetingDate&quot;&gt;&#13;&#10;    &lt;textlist /&gt;&#13;&#10;  &lt;/metadata&gt;&#13;&#10;  &lt;metadata key=&quot;md_DateFormatOr&quot;&gt;&#13;&#10;    &lt;text&gt;&lt;/text&gt;&#13;&#10;  &lt;/metadata&gt;&#13;&#10;  &lt;metadata key=&quot;md_MeetingInformation&quot; /&gt;&#13;&#10;  &lt;metadata key=&quot;md_Item&quot; /&gt;&#13;&#10;  &lt;metadata key=&quot;md_SubjectPrefix&quot; /&gt;&#13;&#10;  &lt;metadata key=&quot;md_Subject&quot;&gt;&#13;&#10;    &lt;xaml text=&quot;ANNEX to the COUNCIL IMPLEMENTING DECISION amending Implementing Decision of 8 September 2021 on the approval of the assessment of the recovery and resilience plan for Czechia&quot;&gt;&amp;lt;FlowDocument xmlns=&quot;http://schemas.microsoft.com/winfx/2006/xaml/presentation&quot;&amp;gt;&amp;lt;Paragraph&amp;gt;ANNEX to the COUNCIL IMPLEMENTING DECISION amending Implementing Decision of 8 September 2021 on the approval of the assessment of the recovery and resilience plan for Czechia&amp;lt;/Paragraph&amp;gt;&amp;lt;/FlowDocument&amp;gt;&lt;/xaml&gt;&#13;&#10;  &lt;/metadata&gt;&#13;&#10;  &lt;metadata key=&quot;md_SubjectFootnote&quot;&gt;&#13;&#10;    &lt;text&gt;&lt;/text&gt;&#13;&#10;  &lt;/metadata&gt;&#13;&#10;  &lt;metadata key=&quot;md_DG&quot;&gt;&#13;&#10;    &lt;text&gt;ECOFIN 1A&lt;/text&gt;&#13;&#10;  &lt;/metadata&gt;&#13;&#10;  &lt;metadata key=&quot;md_Initials&quot;&gt;&#13;&#10;    &lt;text&gt;&lt;/text&gt;&#13;&#10;  &lt;/metadata&gt;&#13;&#10;  &lt;metadata key=&quot;md_SensitivityLabel&quot;&gt;&#13;&#10;    &lt;basicdatatype&gt;&#13;&#10;      &lt;sensitivity_label key=&quot;senslabel_01&quot; text=&quot;PUBLIC&quot; labelid=&quot;af60b174-6478-47f9-866e-33f097bb6603&quot; siteid=&quot;03ad1c97-0a4d-4e82-8f93-27291a6a0767&quot; isdefault=&quot;false&quot; /&gt;&#13;&#10;    &lt;/basicdatatype&gt;&#13;&#10;  &lt;/metadata&gt;&#13;&#10;  &lt;metadata key=&quot;md_RectifProcedureType&quot; /&gt;&#13;&#10;  &lt;metadata key=&quot;md_RectifLanguagesBase&quot; /&gt;&#13;&#10;  &lt;metadata key=&quot;md_RectifLanguagesConcerned&quot; /&gt;&#13;&#10;  &lt;metadata key=&quot;md_RectifIsLangSpec&quot; /&gt;&#13;&#10;  &lt;metadata key=&quot;md_RectifLangSpecValue&quot; /&gt;&#13;&#10;  &lt;metadata key=&quot;md_RectifNumberOfMistakes&quot; /&gt;&#13;&#10;  &lt;metadata key=&quot;md_RectifHasRemarks&quot; /&gt;&#13;&#10;  &lt;metadata key=&quot;md_RectifUseDocRef&quot; /&gt;&#13;&#10;  &lt;metadata key=&quot;md_RectifDocRefNumber&quot; /&gt;&#13;&#10;  &lt;metadata key=&quot;md_RectifDocRefDate&quot; /&gt;&#13;&#10;  &lt;metadata key=&quot;md_RectifUseOJRef&quot; /&gt;&#13;&#10;  &lt;metadata key=&quot;md_RectifOJRefType&quot; /&gt;&#13;&#10;  &lt;metadata key=&quot;md_RectifOJLRefNumber&quot; /&gt;&#13;&#10;  &lt;metadata key=&quot;md_RectifOJCRefNumber&quot; /&gt;&#13;&#10;  &lt;metadata key=&quot;md_RectifOJLRefDate&quot; /&gt;&#13;&#10;  &lt;metadata key=&quot;md_RectifOJCRefDate&quot; /&gt;&#13;&#10;  &lt;metadata key=&quot;md_RectifOJLRefPage&quot; /&gt;&#13;&#10;  &lt;metadata key=&quot;md_RectifOJCRefPage&quot; /&gt;&#13;&#10;  &lt;metadata key=&quot;md_RectifUseOJCorRef&quot; /&gt;&#13;&#10;  &lt;metadata key=&quot;md_RectifOJCorRefNumber&quot; /&gt;&#13;&#10;  &lt;metadata key=&quot;md_RectifOJCorRefDate&quot; /&gt;&#13;&#10;  &lt;metadata key=&quot;md_RectifOJCorRefPage&quot; /&gt;&#13;&#10;  &lt;metadata key=&quot;md_RectifTimeLimit&quot; /&gt;&#13;&#10;  &lt;metadata key=&quot;md_RectifCodecision&quot; /&gt;&#13;&#10;  &lt;metadata key=&quot;md_RectifCorrectionNewLang&quot; /&gt;&#13;&#10;  &lt;metadata key=&quot;md_RectifAgreement&quot; /&gt;&#13;&#10;  &lt;metadata key=&quot;md_RectifSignature&quot; /&gt;&#13;&#10;  &lt;metadata key=&quot;md_RectifLastMergeDate&quot; /&gt;&#13;&#10;  &lt;metadata key=&quot;md_Rectif_Source1_UniqueHeading&quot; /&gt;&#13;&#10;  &lt;metadata key=&quot;md_Rectif_Source1_DocumentType&quot; /&gt;&#13;&#10;  &lt;metadata key=&quot;md_Rectif_Source1_DocumentNumber&quot; /&gt;&#13;&#10;  &lt;metadata key=&quot;md_Rectif_Source1_YearDocumentNumber&quot; /&gt;&#13;&#10;  &lt;metadata key=&quot;md_Rectif_Source1_Suffixes&quot; /&gt;&#13;&#10;  &lt;metadata key=&quot;md_Rectif_Source2_UniqueHeading&quot; /&gt;&#13;&#10;  &lt;metadata key=&quot;md_Rectif_Source2_DocumentType&quot; /&gt;&#13;&#10;  &lt;metadata key=&quot;md_Rectif_Source2_DocumentNumber&quot; /&gt;&#13;&#10;  &lt;metadata key=&quot;md_Rectif_Source2_YearDocumentNumber&quot; /&gt;&#13;&#10;  &lt;metadata key=&quot;md_Rectif_Source2_Suffixes&quot; /&gt;&#13;&#10;  &lt;metadata key=&quot;md_CoverPageDocWithCouncilFooter&quot;&gt;&#13;&#10;    &lt;text&gt;&lt;/text&gt;&#13;&#10;  &lt;/metadata&gt;&#13;&#10;  &lt;metadata key=&quot;md_SourceDocLanguage&quot; /&gt;&#13;&#10;  &lt;metadata key=&quot;md_SourceDocType&quot; /&gt;&#13;&#10;  &lt;metadata key=&quot;md_SourceDocTitle&quot; /&gt;&#13;&#10;  &lt;metadata key=&quot;md_SourceDocIsCECDoc&quot;&gt;&#13;&#10;    &lt;text&gt;&lt;/text&gt;&#13;&#10;  &lt;/metadata&gt;&#13;&#10;  &lt;metadata key=&quot;md_NB1&quot; /&gt;&#13;&#10;  &lt;metadata key=&quot;md_NB2&quot; /&gt;&#13;&#10;  &lt;metadata key=&quot;md_NB3&quot; /&gt;&#13;&#10;  &lt;metadata key=&quot;md_NB4&quot; /&gt;&#13;&#10;  &lt;metadata key=&quot;md_NB5&quot; /&gt;&#13;&#10;  &lt;metadata key=&quot;md_CustomNB&quot; /&gt;&#13;&#10;  &lt;metadata key=&quot;md_Meetings&quot;&gt;&#13;&#10;    &lt;meetings /&gt;&#13;&#10;  &lt;/metadata&gt;&#13;&#10;  &lt;metadata key=&quot;md_VisualRepresentation&quot;&gt;&#13;&#10;    &lt;basicdatatype&gt;&#13;&#10;      &lt;visualrepresentation key=&quot;visrep_02&quot; text=&quot;New visual identity&quot; /&gt;&#13;&#10;    &lt;/basicdatatype&gt;&#13;&#10;  &lt;/metadata&gt;&#13;&#10;  &lt;metadata key=&quot;md_LetterData&quot; /&gt;&#13;&#10;  &lt;metadata key=&quot;md_InstFrSubWordmark&quot;&gt;&#13;&#10;    &lt;xaml text=&quot;&quot;&gt;&amp;lt;FlowDocument xmlns=&quot;http://schemas.microsoft.com/winfx/2006/xaml/presentation&quot;&amp;gt;&amp;lt;Paragraph&amp;gt;&amp;lt;/Paragraph&amp;gt;&amp;lt;/FlowDocument&amp;gt;&lt;/xaml&gt;&#13;&#10;  &lt;/metadata&gt;&#13;&#10;  &lt;metadata key=&quot;md_WorkflowLinkStatus&quot; /&gt;&#13;&#10;  &lt;metadata key=&quot;md_eAgendaLinkStatus&quot; /&gt;&#13;&#10;  &lt;metadata key=&quot;md_Caveat&quot; /&gt;&#13;&#10;  &lt;metadata key=&quot;md_TechnicalKey&quot; /&gt;&#13;&#10;&lt;/metadataset&gt;"/>
    <w:docVar w:name="DocStatus" w:val="Green"/>
    <w:docVar w:name="DW_AutoOpen" w:val="True"/>
    <w:docVar w:name="EPKit_DocumentHasBeenSaved" w:val="true"/>
    <w:docVar w:name="LW_ACCOMPAGNANT.CP" w:val="to the "/>
    <w:docVar w:name="LW_ANNEX_NBR_FIRST" w:val="1"/>
    <w:docVar w:name="LW_ANNEX_NBR_LAST" w:val="1"/>
    <w:docVar w:name="LW_ANNEX_UNIQUE" w:val="1"/>
    <w:docVar w:name="LW_CORRIGENDUM" w:val="&lt;UNUSED&gt;"/>
    <w:docVar w:name="LW_COVERPAGE_EXISTS" w:val="True"/>
    <w:docVar w:name="LW_COVERPAGE_GUID" w:val="4023CFF9-76C3-49AC-82AF-7A61C3A05085"/>
    <w:docVar w:name="LW_COVERPAGE_TYPE" w:val="1"/>
    <w:docVar w:name="LW_CROSSREFERENCE" w:val="{SWD(2025) 376 final}"/>
    <w:docVar w:name="LW_EMISSION" w:val="20.11.2025"/>
    <w:docVar w:name="LW_EMISSION_ISODATE" w:val="2025-11-20"/>
    <w:docVar w:name="LW_EMISSION_LOCATION" w:val="BRX"/>
    <w:docVar w:name="LW_EMISSION_PREFIX" w:val="Brussels, "/>
    <w:docVar w:name="LW_EMISSION_SUFFIX" w:val=" "/>
    <w:docVar w:name="LW_ID_DOCTYPE_NONLW" w:val="CP-036"/>
    <w:docVar w:name="LW_LANGUE" w:val="EN"/>
    <w:docVar w:name="LW_LEVEL_OF_SENSITIVITY" w:val="Standard treatment"/>
    <w:docVar w:name="LW_NOM.INST" w:val="EUROPEAN COMMISSION"/>
    <w:docVar w:name="LW_NOM.INST_JOINTDOC" w:val="&lt;EMPTY&gt;"/>
    <w:docVar w:name="LW_OBJETACTEPRINCIPAL.CP" w:val="&lt;FMT:Bold&gt;amending the Implementing Decision of 8 September 2021 on the approval of the assessment of the recovery and resilience plan for Czechia&lt;/FMT&gt;"/>
    <w:docVar w:name="LW_PART_NBR" w:val="1"/>
    <w:docVar w:name="LW_PART_NBR_TOTAL" w:val="1"/>
    <w:docVar w:name="LW_REF.INST.NEW" w:val="COM"/>
    <w:docVar w:name="LW_REF.INST.NEW_ADOPTED" w:val="final"/>
    <w:docVar w:name="LW_REF.INST.NEW_TEXT" w:val="(2025) 72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Proposal for a COUNCIL IMPLEMENTING DECISION "/>
    <w:docVar w:name="LwApiVersions" w:val="LW4CoDe 1.24.5.0; LW 9.0, Build 20240221"/>
  </w:docVars>
  <w:rsids>
    <w:rsidRoot w:val="00A86151"/>
    <w:rsid w:val="00052D7C"/>
    <w:rsid w:val="00144FF1"/>
    <w:rsid w:val="001C16E9"/>
    <w:rsid w:val="003558E4"/>
    <w:rsid w:val="003B3627"/>
    <w:rsid w:val="003C184A"/>
    <w:rsid w:val="00443A64"/>
    <w:rsid w:val="0054146C"/>
    <w:rsid w:val="00546796"/>
    <w:rsid w:val="007F499B"/>
    <w:rsid w:val="00854E58"/>
    <w:rsid w:val="00894139"/>
    <w:rsid w:val="00A43C50"/>
    <w:rsid w:val="00A86151"/>
    <w:rsid w:val="00D3039B"/>
    <w:rsid w:val="00D93DF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075C0-6990-4042-BE74-F3D5390DE68A}"/>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attachedTemplate r:id="rId1"/>
</w:settings>
</file>

<file path=word/styles.xml><?xml version="1.0" encoding="utf-8"?>
<w:styles xmlns:w14="http://schemas.microsoft.com/office/word/2010/wordml" xmlns:w="http://schemas.openxmlformats.org/wordprocessingml/2006/main">
  <w:docDefaults>
    <w:rPrDefault>
      <w:rPr>
        <w:rFonts w:asciiTheme="minorHAnsi" w:hAnsiTheme="minorHAnsi" w:eastAsiaTheme="minorHAnsi" w:cstheme="minorBidi"/>
        <w:kern w:val="2"/>
        <w:sz w:val="22"/>
        <w:szCs w:val="22"/>
        <w:lang w:val="fr-BE" w:eastAsia="en-US" w:bidi="ar-SA"/>
        <w14:ligatures xmlns:w14="http://schemas.microsoft.com/office/word/2010/wordml"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3458A"/>
    <w:pPr>
      <w:spacing w:before="120" w:after="120" w:line="360" w:lineRule="auto"/>
    </w:pPr>
    <w:rPr>
      <w:rFonts w:ascii="Times New Roman" w:hAnsi="Times New Roman" w:cs="Times New Roman"/>
      <w:kern w:val="0"/>
      <w:sz w:val="24"/>
      <w:lang w:val="en-GB"/>
    </w:rPr>
  </w:style>
  <w:style w:type="paragraph" w:styleId="Heading1">
    <w:name w:val="heading 1"/>
    <w:basedOn w:val="Normal"/>
    <w:next w:val="Normal"/>
    <w:link w:val="Heading1Char"/>
    <w:uiPriority w:val="9"/>
    <w:qFormat/>
    <w:rsid w:val="00E3458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458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45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45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345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345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45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45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458A"/>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226F4"/>
    <w:rPr>
      <w:rFonts w:asciiTheme="majorHAnsi" w:hAnsiTheme="majorHAnsi" w:eastAsiaTheme="majorEastAsia" w:cstheme="majorBidi"/>
      <w:color w:val="0F4761" w:themeColor="accent1" w:themeShade="BF"/>
      <w:kern w:val="0"/>
      <w:sz w:val="40"/>
      <w:szCs w:val="40"/>
      <w:lang w:val="en-GB"/>
    </w:rPr>
  </w:style>
  <w:style w:type="character" w:styleId="Heading2Char" w:customStyle="1">
    <w:name w:val="Heading 2 Char"/>
    <w:basedOn w:val="DefaultParagraphFont"/>
    <w:link w:val="Heading2"/>
    <w:uiPriority w:val="9"/>
    <w:semiHidden/>
    <w:rsid w:val="00D226F4"/>
    <w:rPr>
      <w:rFonts w:asciiTheme="majorHAnsi" w:hAnsiTheme="majorHAnsi" w:eastAsiaTheme="majorEastAsia" w:cstheme="majorBidi"/>
      <w:color w:val="0F4761" w:themeColor="accent1" w:themeShade="BF"/>
      <w:kern w:val="0"/>
      <w:sz w:val="32"/>
      <w:szCs w:val="32"/>
      <w:lang w:val="en-GB"/>
    </w:rPr>
  </w:style>
  <w:style w:type="character" w:styleId="Heading3Char" w:customStyle="1">
    <w:name w:val="Heading 3 Char"/>
    <w:basedOn w:val="DefaultParagraphFont"/>
    <w:link w:val="Heading3"/>
    <w:uiPriority w:val="9"/>
    <w:semiHidden/>
    <w:rsid w:val="00D226F4"/>
    <w:rPr>
      <w:rFonts w:ascii="Times New Roman" w:hAnsi="Times New Roman" w:eastAsiaTheme="majorEastAsia" w:cstheme="majorBidi"/>
      <w:color w:val="0F4761" w:themeColor="accent1" w:themeShade="BF"/>
      <w:kern w:val="0"/>
      <w:sz w:val="28"/>
      <w:szCs w:val="28"/>
      <w:lang w:val="en-GB"/>
    </w:rPr>
  </w:style>
  <w:style w:type="character" w:styleId="Heading4Char" w:customStyle="1">
    <w:name w:val="Heading 4 Char"/>
    <w:basedOn w:val="DefaultParagraphFont"/>
    <w:link w:val="Heading4"/>
    <w:uiPriority w:val="9"/>
    <w:semiHidden/>
    <w:rsid w:val="00D226F4"/>
    <w:rPr>
      <w:rFonts w:ascii="Times New Roman" w:hAnsi="Times New Roman" w:eastAsiaTheme="majorEastAsia" w:cstheme="majorBidi"/>
      <w:i/>
      <w:iCs/>
      <w:color w:val="0F4761" w:themeColor="accent1" w:themeShade="BF"/>
      <w:kern w:val="0"/>
      <w:sz w:val="24"/>
      <w:lang w:val="en-GB"/>
    </w:rPr>
  </w:style>
  <w:style w:type="character" w:styleId="Heading5Char" w:customStyle="1">
    <w:name w:val="Heading 5 Char"/>
    <w:basedOn w:val="DefaultParagraphFont"/>
    <w:link w:val="Heading5"/>
    <w:rsid w:val="00D226F4"/>
    <w:rPr>
      <w:rFonts w:ascii="Times New Roman" w:hAnsi="Times New Roman" w:eastAsiaTheme="majorEastAsia" w:cstheme="majorBidi"/>
      <w:color w:val="0F4761" w:themeColor="accent1" w:themeShade="BF"/>
      <w:kern w:val="0"/>
      <w:sz w:val="24"/>
      <w:lang w:val="en-GB"/>
    </w:rPr>
  </w:style>
  <w:style w:type="character" w:styleId="Heading6Char" w:customStyle="1">
    <w:name w:val="Heading 6 Char"/>
    <w:basedOn w:val="DefaultParagraphFont"/>
    <w:link w:val="Heading6"/>
    <w:rsid w:val="00D226F4"/>
    <w:rPr>
      <w:rFonts w:ascii="Times New Roman" w:hAnsi="Times New Roman" w:eastAsiaTheme="majorEastAsia" w:cstheme="majorBidi"/>
      <w:i/>
      <w:iCs/>
      <w:color w:val="595959" w:themeColor="text1" w:themeTint="A6"/>
      <w:kern w:val="0"/>
      <w:sz w:val="24"/>
      <w:lang w:val="en-GB"/>
    </w:rPr>
  </w:style>
  <w:style w:type="character" w:styleId="Heading7Char" w:customStyle="1">
    <w:name w:val="Heading 7 Char"/>
    <w:basedOn w:val="DefaultParagraphFont"/>
    <w:link w:val="Heading7"/>
    <w:uiPriority w:val="9"/>
    <w:semiHidden/>
    <w:rsid w:val="00D226F4"/>
    <w:rPr>
      <w:rFonts w:ascii="Times New Roman" w:hAnsi="Times New Roman" w:eastAsiaTheme="majorEastAsia" w:cstheme="majorBidi"/>
      <w:color w:val="595959" w:themeColor="text1" w:themeTint="A6"/>
      <w:kern w:val="0"/>
      <w:sz w:val="24"/>
      <w:lang w:val="en-GB"/>
    </w:rPr>
  </w:style>
  <w:style w:type="character" w:styleId="Heading8Char" w:customStyle="1">
    <w:name w:val="Heading 8 Char"/>
    <w:basedOn w:val="DefaultParagraphFont"/>
    <w:link w:val="Heading8"/>
    <w:uiPriority w:val="9"/>
    <w:semiHidden/>
    <w:rsid w:val="00D226F4"/>
    <w:rPr>
      <w:rFonts w:ascii="Times New Roman" w:hAnsi="Times New Roman" w:eastAsiaTheme="majorEastAsia" w:cstheme="majorBidi"/>
      <w:i/>
      <w:iCs/>
      <w:color w:val="272727" w:themeColor="text1" w:themeTint="D8"/>
      <w:kern w:val="0"/>
      <w:sz w:val="24"/>
      <w:lang w:val="en-GB"/>
    </w:rPr>
  </w:style>
  <w:style w:type="character" w:styleId="Heading9Char" w:customStyle="1">
    <w:name w:val="Heading 9 Char"/>
    <w:basedOn w:val="DefaultParagraphFont"/>
    <w:link w:val="Heading9"/>
    <w:uiPriority w:val="9"/>
    <w:semiHidden/>
    <w:rsid w:val="00D226F4"/>
    <w:rPr>
      <w:rFonts w:ascii="Times New Roman" w:hAnsi="Times New Roman" w:eastAsiaTheme="majorEastAsia" w:cstheme="majorBidi"/>
      <w:color w:val="272727" w:themeColor="text1" w:themeTint="D8"/>
      <w:kern w:val="0"/>
      <w:sz w:val="24"/>
      <w:lang w:val="en-GB"/>
    </w:rPr>
  </w:style>
  <w:style w:type="paragraph" w:styleId="Title">
    <w:name w:val="Title"/>
    <w:basedOn w:val="Normal"/>
    <w:next w:val="Normal"/>
    <w:link w:val="TitleChar"/>
    <w:qFormat/>
    <w:rsid w:val="00E3458A"/>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rsid w:val="00D226F4"/>
    <w:rPr>
      <w:rFonts w:asciiTheme="majorHAnsi" w:hAnsiTheme="majorHAnsi" w:eastAsiaTheme="majorEastAsia" w:cstheme="majorBidi"/>
      <w:spacing w:val="-10"/>
      <w:kern w:val="28"/>
      <w:sz w:val="56"/>
      <w:szCs w:val="56"/>
      <w:lang w:val="en-GB"/>
    </w:rPr>
  </w:style>
  <w:style w:type="paragraph" w:styleId="Subtitle">
    <w:name w:val="Subtitle"/>
    <w:basedOn w:val="Normal"/>
    <w:next w:val="Normal"/>
    <w:link w:val="SubtitleChar"/>
    <w:qFormat/>
    <w:rsid w:val="00E3458A"/>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rsid w:val="00D226F4"/>
    <w:rPr>
      <w:rFonts w:ascii="Times New Roman" w:hAnsi="Times New Roman" w:eastAsiaTheme="majorEastAsia" w:cstheme="majorBidi"/>
      <w:color w:val="595959" w:themeColor="text1" w:themeTint="A6"/>
      <w:spacing w:val="15"/>
      <w:kern w:val="0"/>
      <w:sz w:val="28"/>
      <w:szCs w:val="28"/>
      <w:lang w:val="en-GB"/>
    </w:rPr>
  </w:style>
  <w:style w:type="paragraph" w:styleId="Quote">
    <w:name w:val="Quote"/>
    <w:basedOn w:val="Normal"/>
    <w:next w:val="Normal"/>
    <w:link w:val="QuoteChar"/>
    <w:uiPriority w:val="29"/>
    <w:qFormat/>
    <w:rsid w:val="00E3458A"/>
    <w:pPr>
      <w:spacing w:before="160"/>
      <w:jc w:val="center"/>
    </w:pPr>
    <w:rPr>
      <w:i/>
      <w:iCs/>
      <w:color w:val="404040" w:themeColor="text1" w:themeTint="BF"/>
    </w:rPr>
  </w:style>
  <w:style w:type="character" w:styleId="QuoteChar" w:customStyle="1">
    <w:name w:val="Quote Char"/>
    <w:basedOn w:val="DefaultParagraphFont"/>
    <w:link w:val="Quote"/>
    <w:uiPriority w:val="29"/>
    <w:rsid w:val="00D226F4"/>
    <w:rPr>
      <w:rFonts w:ascii="Times New Roman" w:hAnsi="Times New Roman" w:cs="Times New Roman"/>
      <w:i/>
      <w:iCs/>
      <w:color w:val="404040" w:themeColor="text1" w:themeTint="BF"/>
      <w:kern w:val="0"/>
      <w:sz w:val="24"/>
      <w:lang w:val="en-GB"/>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tabulky"/>
    <w:basedOn w:val="Normal"/>
    <w:link w:val="ListParagraphChar"/>
    <w:uiPriority w:val="34"/>
    <w:qFormat/>
    <w:rsid w:val="00E3458A"/>
    <w:pPr>
      <w:ind w:left="720"/>
      <w:contextualSpacing/>
    </w:pPr>
  </w:style>
  <w:style w:type="character" w:styleId="IntenseEmphasis">
    <w:name w:val="Intense Emphasis"/>
    <w:basedOn w:val="DefaultParagraphFont"/>
    <w:uiPriority w:val="21"/>
    <w:qFormat/>
    <w:rsid w:val="00D226F4"/>
    <w:rPr>
      <w:i/>
      <w:iCs/>
      <w:color w:val="0F4761" w:themeColor="accent1" w:themeShade="BF"/>
    </w:rPr>
  </w:style>
  <w:style w:type="paragraph" w:styleId="IntenseQuote">
    <w:name w:val="Intense Quote"/>
    <w:basedOn w:val="Normal"/>
    <w:next w:val="Normal"/>
    <w:link w:val="IntenseQuoteChar"/>
    <w:uiPriority w:val="30"/>
    <w:qFormat/>
    <w:rsid w:val="00E3458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D226F4"/>
    <w:rPr>
      <w:rFonts w:ascii="Times New Roman" w:hAnsi="Times New Roman" w:cs="Times New Roman"/>
      <w:i/>
      <w:iCs/>
      <w:color w:val="0F4761" w:themeColor="accent1" w:themeShade="BF"/>
      <w:kern w:val="0"/>
      <w:sz w:val="24"/>
      <w:lang w:val="en-GB"/>
    </w:rPr>
  </w:style>
  <w:style w:type="character" w:styleId="IntenseReference">
    <w:name w:val="Intense Reference"/>
    <w:basedOn w:val="DefaultParagraphFont"/>
    <w:uiPriority w:val="32"/>
    <w:qFormat/>
    <w:rsid w:val="00D226F4"/>
    <w:rPr>
      <w:b/>
      <w:bCs/>
      <w:smallCaps/>
      <w:color w:val="0F4761" w:themeColor="accent1" w:themeShade="BF"/>
      <w:spacing w:val="5"/>
    </w:rPr>
  </w:style>
  <w:style w:type="paragraph" w:styleId="TechnicalBlockBase" w:customStyle="1">
    <w:name w:val="TechnicalBlockBase"/>
    <w:link w:val="TechnicalBlockBaseChar"/>
    <w:rsid w:val="00E3458A"/>
    <w:pPr>
      <w:widowControl w:val="0"/>
      <w:spacing w:before="140" w:after="140" w:line="185" w:lineRule="auto"/>
      <w:ind w:left="260" w:right="260"/>
    </w:pPr>
    <w:rPr>
      <w:rFonts w:ascii="Arial New Roman" w:hAnsi="Arial New Roman" w:eastAsia="Times New Roman" w:cs="Arial"/>
      <w:b/>
      <w:i/>
      <w:dstrike/>
      <w:color w:val="606060"/>
      <w:w w:val="98"/>
      <w:kern w:val="0"/>
      <w:sz w:val="10"/>
      <w:szCs w:val="20"/>
      <w:u w:val="words" w:color="606060"/>
      <w:lang w:val="en-GB" w:eastAsia="fr-BE"/>
    </w:rPr>
  </w:style>
  <w:style w:type="character" w:styleId="TechnicalBlockBaseChar" w:customStyle="1">
    <w:name w:val="TechnicalBlockBase Char"/>
    <w:basedOn w:val="EntInstitChar"/>
    <w:link w:val="TechnicalBlockBase"/>
    <w:rsid w:val="00D226F4"/>
    <w:rPr>
      <w:rFonts w:ascii="Arial New Roman" w:hAnsi="Arial New Roman" w:eastAsia="Times New Roman" w:cs="Arial"/>
      <w:b/>
      <w:i/>
      <w:dstrike/>
      <w:color w:val="606060"/>
      <w:w w:val="98"/>
      <w:kern w:val="0"/>
      <w:sz w:val="10"/>
      <w:szCs w:val="20"/>
      <w:u w:val="words" w:color="606060"/>
      <w:lang w:val="en-GB" w:eastAsia="fr-BE"/>
    </w:rPr>
  </w:style>
  <w:style w:type="paragraph" w:styleId="TBEntRefer" w:customStyle="1">
    <w:name w:val="TBEntRefer"/>
    <w:basedOn w:val="TechnicalBlockBase"/>
    <w:link w:val="EntReferChar"/>
    <w:rsid w:val="00D226F4"/>
    <w:pPr>
      <w:spacing w:before="0" w:after="0" w:line="240" w:lineRule="auto"/>
      <w:ind w:left="0" w:right="0"/>
    </w:pPr>
    <w:rPr>
      <w:rFonts w:ascii="Arial" w:hAnsi="Arial"/>
      <w:i w:val="0"/>
      <w:dstrike w:val="0"/>
      <w:color w:val="auto"/>
      <w:w w:val="100"/>
      <w:sz w:val="23"/>
      <w:u w:val="none"/>
    </w:rPr>
  </w:style>
  <w:style w:type="character" w:styleId="EntReferChar" w:customStyle="1">
    <w:name w:val="EntRefer Char"/>
    <w:basedOn w:val="DefaultParagraphFont"/>
    <w:link w:val="TBEntRefer"/>
    <w:rsid w:val="00D226F4"/>
    <w:rPr>
      <w:rFonts w:ascii="Arial" w:hAnsi="Arial" w:eastAsia="Times New Roman" w:cs="Arial"/>
      <w:b/>
      <w:kern w:val="0"/>
      <w:sz w:val="23"/>
      <w:szCs w:val="20"/>
      <w:u w:color="606060"/>
      <w:lang w:val="en-GB" w:eastAsia="fr-BE"/>
    </w:rPr>
  </w:style>
  <w:style w:type="paragraph" w:styleId="TBDistrbMarkers" w:customStyle="1">
    <w:name w:val="TBDistrbMarkers"/>
    <w:basedOn w:val="TBEntRefer"/>
    <w:qFormat/>
    <w:rsid w:val="00D226F4"/>
    <w:pPr>
      <w:tabs>
        <w:tab w:val="left" w:pos="2262"/>
      </w:tabs>
    </w:pPr>
    <w:rPr>
      <w:i/>
      <w:iCs/>
      <w:szCs w:val="23"/>
    </w:rPr>
  </w:style>
  <w:style w:type="paragraph" w:styleId="TBEntACP" w:customStyle="1">
    <w:name w:val="TBEntACP"/>
    <w:basedOn w:val="TechnicalBlockBase"/>
    <w:rsid w:val="00D226F4"/>
    <w:pPr>
      <w:widowControl/>
      <w:spacing w:before="0" w:after="0" w:line="360" w:lineRule="auto"/>
      <w:ind w:left="0" w:right="0"/>
      <w:jc w:val="center"/>
    </w:pPr>
    <w:rPr>
      <w:rFonts w:ascii="Arial" w:hAnsi="Arial"/>
      <w:bCs/>
      <w:i w:val="0"/>
      <w:dstrike w:val="0"/>
      <w:color w:val="auto"/>
      <w:spacing w:val="40"/>
      <w:w w:val="100"/>
      <w:sz w:val="28"/>
      <w:szCs w:val="28"/>
      <w:u w:val="none"/>
    </w:rPr>
  </w:style>
  <w:style w:type="paragraph" w:styleId="TBEntInstitACP" w:customStyle="1">
    <w:name w:val="TBEntInstitACP"/>
    <w:basedOn w:val="TechnicalBlockBase"/>
    <w:rsid w:val="00D226F4"/>
    <w:pPr>
      <w:widowControl/>
      <w:spacing w:before="0" w:after="0" w:line="240" w:lineRule="auto"/>
      <w:ind w:left="0" w:right="0"/>
      <w:jc w:val="center"/>
    </w:pPr>
    <w:rPr>
      <w:rFonts w:ascii="Arial" w:hAnsi="Arial"/>
      <w:bCs/>
      <w:i w:val="0"/>
      <w:dstrike w:val="0"/>
      <w:color w:val="auto"/>
      <w:w w:val="100"/>
      <w:sz w:val="23"/>
      <w:szCs w:val="23"/>
      <w:u w:val="none"/>
    </w:rPr>
  </w:style>
  <w:style w:type="paragraph" w:styleId="TBSousEmbargo" w:customStyle="1">
    <w:name w:val="TBSousEmbargo"/>
    <w:basedOn w:val="TechnicalBlockBase"/>
    <w:qFormat/>
    <w:rsid w:val="00D226F4"/>
    <w:pPr>
      <w:spacing w:before="360" w:after="360" w:line="240" w:lineRule="auto"/>
      <w:ind w:left="0" w:right="0"/>
      <w:jc w:val="center"/>
    </w:pPr>
    <w:rPr>
      <w:rFonts w:ascii="Arial" w:hAnsi="Arial"/>
      <w:i w:val="0"/>
      <w:dstrike w:val="0"/>
      <w:color w:val="auto"/>
      <w:w w:val="100"/>
      <w:sz w:val="23"/>
      <w:szCs w:val="23"/>
      <w:u w:val="double"/>
    </w:rPr>
  </w:style>
  <w:style w:type="paragraph" w:styleId="TBEntInstit" w:customStyle="1">
    <w:name w:val="TBEntInstit"/>
    <w:basedOn w:val="TechnicalBlockBase"/>
    <w:link w:val="EntInstitChar"/>
    <w:rsid w:val="00D226F4"/>
    <w:pPr>
      <w:spacing w:before="0" w:after="60" w:line="240" w:lineRule="auto"/>
      <w:ind w:left="0" w:right="0"/>
      <w:jc w:val="right"/>
    </w:pPr>
    <w:rPr>
      <w:rFonts w:ascii="Arial" w:hAnsi="Arial"/>
      <w:i w:val="0"/>
      <w:dstrike w:val="0"/>
      <w:color w:val="auto"/>
      <w:w w:val="100"/>
      <w:sz w:val="23"/>
      <w:u w:val="none"/>
    </w:rPr>
  </w:style>
  <w:style w:type="paragraph" w:styleId="TBEntReferNew" w:customStyle="1">
    <w:name w:val="TBEntReferNew"/>
    <w:basedOn w:val="TechnicalBlockBase"/>
    <w:rsid w:val="00D226F4"/>
    <w:pPr>
      <w:widowControl/>
      <w:spacing w:before="0" w:after="0" w:line="240" w:lineRule="auto"/>
      <w:ind w:left="0" w:right="0"/>
      <w:jc w:val="center"/>
    </w:pPr>
    <w:rPr>
      <w:rFonts w:ascii="Arial" w:hAnsi="Arial"/>
      <w:bCs/>
      <w:i w:val="0"/>
      <w:dstrike w:val="0"/>
      <w:color w:val="auto"/>
      <w:w w:val="100"/>
      <w:sz w:val="24"/>
      <w:szCs w:val="24"/>
      <w:u w:val="none"/>
      <w:lang w:eastAsia="en-US"/>
    </w:rPr>
  </w:style>
  <w:style w:type="paragraph" w:styleId="TBInstitution" w:customStyle="1">
    <w:name w:val="TBInstitution"/>
    <w:basedOn w:val="TechnicalBlockBase"/>
    <w:rsid w:val="00D226F4"/>
    <w:pPr>
      <w:spacing w:before="0" w:after="28" w:line="204" w:lineRule="auto"/>
      <w:ind w:left="0" w:right="0"/>
    </w:pPr>
    <w:rPr>
      <w:rFonts w:ascii="Arial" w:hAnsi="Arial"/>
      <w:i w:val="0"/>
      <w:dstrike w:val="0"/>
      <w:color w:val="626262"/>
      <w:spacing w:val="4"/>
      <w:w w:val="100"/>
      <w:sz w:val="24"/>
      <w:szCs w:val="23"/>
      <w:u w:val="none"/>
    </w:rPr>
  </w:style>
  <w:style w:type="paragraph" w:styleId="TBNormalTechnicalBlock" w:customStyle="1">
    <w:name w:val="TBNormalTechnicalBlock"/>
    <w:basedOn w:val="TechnicalBlockBase"/>
    <w:rsid w:val="00D226F4"/>
    <w:pPr>
      <w:spacing w:before="0" w:after="0" w:line="216" w:lineRule="auto"/>
      <w:ind w:left="0" w:right="0"/>
      <w:contextualSpacing/>
    </w:pPr>
    <w:rPr>
      <w:rFonts w:ascii="Arial" w:hAnsi="Arial"/>
      <w:i w:val="0"/>
      <w:dstrike w:val="0"/>
      <w:color w:val="auto"/>
      <w:w w:val="100"/>
      <w:sz w:val="23"/>
      <w:szCs w:val="23"/>
      <w:u w:val="none"/>
    </w:rPr>
  </w:style>
  <w:style w:type="paragraph" w:styleId="TBInstitutionSubwordmark" w:customStyle="1">
    <w:name w:val="TBInstitutionSubwordmark"/>
    <w:basedOn w:val="TechnicalBlockBase"/>
    <w:rsid w:val="00D226F4"/>
    <w:pPr>
      <w:spacing w:before="0" w:after="0" w:line="204" w:lineRule="auto"/>
      <w:ind w:left="0" w:right="0"/>
    </w:pPr>
    <w:rPr>
      <w:rFonts w:ascii="Arial" w:hAnsi="Arial"/>
      <w:b w:val="0"/>
      <w:i w:val="0"/>
      <w:dstrike w:val="0"/>
      <w:color w:val="626262"/>
      <w:spacing w:val="4"/>
      <w:w w:val="100"/>
      <w:sz w:val="24"/>
      <w:u w:val="none"/>
    </w:rPr>
  </w:style>
  <w:style w:type="character" w:styleId="EntInstitChar" w:customStyle="1">
    <w:name w:val="EntInstit Char"/>
    <w:basedOn w:val="DefaultParagraphFont"/>
    <w:link w:val="TBEntInstit"/>
    <w:rsid w:val="00D226F4"/>
    <w:rPr>
      <w:rFonts w:ascii="Arial" w:hAnsi="Arial" w:eastAsia="Times New Roman" w:cs="Arial"/>
      <w:b/>
      <w:kern w:val="0"/>
      <w:sz w:val="23"/>
      <w:szCs w:val="20"/>
      <w:u w:color="606060"/>
      <w:lang w:val="en-GB" w:eastAsia="fr-BE"/>
    </w:rPr>
  </w:style>
  <w:style w:type="paragraph" w:styleId="TBSubjectTable" w:customStyle="1">
    <w:name w:val="TBSubjectTable"/>
    <w:basedOn w:val="TechnicalBlockBase"/>
    <w:rsid w:val="00D226F4"/>
    <w:pPr>
      <w:widowControl/>
      <w:spacing w:before="40" w:after="40" w:line="240" w:lineRule="auto"/>
      <w:ind w:left="0" w:right="0"/>
    </w:pPr>
    <w:rPr>
      <w:rFonts w:ascii="Arial" w:hAnsi="Arial"/>
      <w:b w:val="0"/>
      <w:i w:val="0"/>
      <w:dstrike w:val="0"/>
      <w:color w:val="auto"/>
      <w:w w:val="100"/>
      <w:sz w:val="23"/>
      <w:u w:val="none"/>
    </w:rPr>
  </w:style>
  <w:style w:type="paragraph" w:styleId="TBDocumentGroup" w:customStyle="1">
    <w:name w:val="TBDocumentGroup"/>
    <w:basedOn w:val="TechnicalBlockBase"/>
    <w:rsid w:val="00D226F4"/>
    <w:pPr>
      <w:widowControl/>
      <w:spacing w:before="560" w:after="480" w:line="240" w:lineRule="auto"/>
      <w:ind w:left="0" w:right="0"/>
      <w:jc w:val="center"/>
    </w:pPr>
    <w:rPr>
      <w:rFonts w:ascii="Arial" w:hAnsi="Arial"/>
      <w:i w:val="0"/>
      <w:caps/>
      <w:dstrike w:val="0"/>
      <w:color w:val="auto"/>
      <w:w w:val="100"/>
      <w:sz w:val="23"/>
      <w:u w:val="single"/>
    </w:rPr>
  </w:style>
  <w:style w:type="paragraph" w:styleId="TBHeadingTable" w:customStyle="1">
    <w:name w:val="TBHeadingTable"/>
    <w:basedOn w:val="TechnicalBlockBase"/>
    <w:rsid w:val="00D226F4"/>
    <w:pPr>
      <w:widowControl/>
      <w:spacing w:before="240" w:after="40" w:line="240" w:lineRule="auto"/>
      <w:ind w:left="0" w:right="0"/>
    </w:pPr>
    <w:rPr>
      <w:rFonts w:ascii="Arial" w:hAnsi="Arial"/>
      <w:i w:val="0"/>
      <w:dstrike w:val="0"/>
      <w:color w:val="auto"/>
      <w:w w:val="100"/>
      <w:sz w:val="23"/>
      <w:u w:val="none"/>
    </w:rPr>
  </w:style>
  <w:style w:type="paragraph" w:styleId="TBSubjectBold" w:customStyle="1">
    <w:name w:val="TBSubjectBold"/>
    <w:basedOn w:val="TechnicalBlockBase"/>
    <w:rsid w:val="00D226F4"/>
    <w:pPr>
      <w:widowControl/>
      <w:spacing w:before="160" w:after="0" w:line="360" w:lineRule="auto"/>
      <w:ind w:left="0" w:right="0"/>
      <w:jc w:val="center"/>
    </w:pPr>
    <w:rPr>
      <w:rFonts w:ascii="Arial" w:hAnsi="Arial"/>
      <w:i w:val="0"/>
      <w:dstrike w:val="0"/>
      <w:color w:val="auto"/>
      <w:w w:val="100"/>
      <w:sz w:val="23"/>
      <w:u w:val="none"/>
    </w:rPr>
  </w:style>
  <w:style w:type="paragraph" w:styleId="TBSubjectText" w:customStyle="1">
    <w:name w:val="TBSubjectText"/>
    <w:basedOn w:val="TechnicalBlockBase"/>
    <w:qFormat/>
    <w:rsid w:val="00D226F4"/>
    <w:pPr>
      <w:widowControl/>
      <w:spacing w:before="40" w:after="40" w:line="240" w:lineRule="auto"/>
      <w:ind w:left="0" w:right="0"/>
    </w:pPr>
    <w:rPr>
      <w:rFonts w:ascii="Arial" w:hAnsi="Arial"/>
      <w:b w:val="0"/>
      <w:i w:val="0"/>
      <w:dstrike w:val="0"/>
      <w:color w:val="auto"/>
      <w:w w:val="100"/>
      <w:sz w:val="23"/>
      <w:u w:val="none"/>
    </w:rPr>
  </w:style>
  <w:style w:type="paragraph" w:styleId="HeaderCouncilLarge" w:customStyle="1">
    <w:name w:val="Header Council Large"/>
    <w:basedOn w:val="Normal"/>
    <w:link w:val="HeaderCouncilLargeChar"/>
    <w:unhideWhenUsed/>
    <w:rsid w:val="00E3458A"/>
    <w:pPr>
      <w:spacing w:before="0" w:after="440"/>
    </w:pPr>
    <w:rPr>
      <w:sz w:val="2"/>
      <w:rFonts w:ascii="Times New Roman" w:hAnsi="Times New Roman"/>
    </w:rPr>
  </w:style>
  <w:style w:type="paragraph" w:styleId="FooterText" w:customStyle="1">
    <w:name w:val="Footer Text"/>
    <w:basedOn w:val="Normal"/>
    <w:unhideWhenUsed/>
    <w:rsid w:val="00E3458A"/>
    <w:pPr>
      <w:spacing w:before="0" w:after="0" w:line="240" w:lineRule="auto"/>
    </w:pPr>
    <w:rPr>
      <w:rFonts w:ascii="Times New Roman" w:hAnsi="Times New Roman"/>
      <w:sz w:val="24"/>
      <w:color w:val="auto"/>
    </w:rPr>
  </w:style>
  <w:style w:type="paragraph" w:styleId="Header">
    <w:name w:val="header"/>
    <w:basedOn w:val="Normal"/>
    <w:link w:val="HeaderChar"/>
    <w:uiPriority w:val="99"/>
    <w:unhideWhenUsed/>
    <w:rsid w:val="00D226F4"/>
    <w:pPr>
      <w:tabs>
        <w:tab w:val="right" w:pos="9638"/>
      </w:tabs>
    </w:pPr>
  </w:style>
  <w:style w:type="character" w:styleId="HeaderChar" w:customStyle="1">
    <w:name w:val="Header Char"/>
    <w:basedOn w:val="DefaultParagraphFont"/>
    <w:link w:val="Header"/>
    <w:uiPriority w:val="99"/>
    <w:rsid w:val="00D226F4"/>
    <w:rPr>
      <w:rFonts w:ascii="Times New Roman" w:hAnsi="Times New Roman" w:cs="Times New Roman"/>
      <w:kern w:val="0"/>
      <w:sz w:val="24"/>
      <w:lang w:val="en-GB"/>
    </w:rPr>
  </w:style>
  <w:style w:type="paragraph" w:styleId="Footer">
    <w:name w:val="footer"/>
    <w:basedOn w:val="Normal"/>
    <w:link w:val="FooterChar"/>
    <w:uiPriority w:val="99"/>
    <w:unhideWhenUsed/>
    <w:rsid w:val="00D226F4"/>
    <w:pPr>
      <w:tabs>
        <w:tab w:val="center" w:pos="4819"/>
        <w:tab w:val="center" w:pos="7370"/>
        <w:tab w:val="right" w:pos="9638"/>
      </w:tabs>
      <w:spacing w:before="0" w:after="0" w:line="240" w:lineRule="auto"/>
    </w:pPr>
  </w:style>
  <w:style w:type="character" w:styleId="FooterChar" w:customStyle="1">
    <w:name w:val="Footer Char"/>
    <w:basedOn w:val="DefaultParagraphFont"/>
    <w:link w:val="Footer"/>
    <w:uiPriority w:val="99"/>
    <w:rsid w:val="00D226F4"/>
    <w:rPr>
      <w:rFonts w:ascii="Times New Roman" w:hAnsi="Times New Roman" w:cs="Times New Roman"/>
      <w:kern w:val="0"/>
      <w:sz w:val="24"/>
      <w:lang w:val="en-GB"/>
    </w:rPr>
  </w:style>
  <w:style w:type="paragraph" w:styleId="FootnoteText">
    <w:name w:val="footnote text"/>
    <w:basedOn w:val="Normal"/>
    <w:link w:val="FootnoteTextChar"/>
    <w:uiPriority w:val="99"/>
    <w:unhideWhenUsed/>
    <w:rsid w:val="00D226F4"/>
    <w:pPr>
      <w:spacing w:before="0" w:after="0" w:line="240" w:lineRule="auto"/>
      <w:ind w:left="720" w:hanging="720"/>
    </w:pPr>
    <w:rPr>
      <w:szCs w:val="20"/>
    </w:rPr>
  </w:style>
  <w:style w:type="character" w:styleId="FootnoteTextChar" w:customStyle="1">
    <w:name w:val="Footnote Text Char"/>
    <w:basedOn w:val="DefaultParagraphFont"/>
    <w:link w:val="FootnoteText"/>
    <w:uiPriority w:val="99"/>
    <w:rsid w:val="00D226F4"/>
    <w:rPr>
      <w:rFonts w:ascii="Times New Roman" w:hAnsi="Times New Roman" w:cs="Times New Roman"/>
      <w:kern w:val="0"/>
      <w:sz w:val="24"/>
      <w:szCs w:val="20"/>
      <w:lang w:val="en-GB"/>
    </w:rPr>
  </w:style>
  <w:style w:type="paragraph" w:styleId="NormalCentered" w:customStyle="1">
    <w:name w:val="Normal Centered"/>
    <w:basedOn w:val="Normal"/>
    <w:rsid w:val="00D226F4"/>
    <w:pPr>
      <w:spacing w:before="200"/>
      <w:jc w:val="center"/>
    </w:pPr>
  </w:style>
  <w:style w:type="paragraph" w:styleId="NormalRight" w:customStyle="1">
    <w:name w:val="Normal Right"/>
    <w:basedOn w:val="Normal"/>
    <w:rsid w:val="00D226F4"/>
    <w:pPr>
      <w:spacing w:before="200"/>
      <w:jc w:val="right"/>
    </w:pPr>
  </w:style>
  <w:style w:type="paragraph" w:styleId="NormalJustified" w:customStyle="1">
    <w:name w:val="Normal Justified"/>
    <w:basedOn w:val="Normal"/>
    <w:rsid w:val="00D226F4"/>
    <w:pPr>
      <w:spacing w:before="200"/>
      <w:jc w:val="both"/>
    </w:pPr>
  </w:style>
  <w:style w:type="paragraph" w:styleId="HeaderLandscape" w:customStyle="1">
    <w:name w:val="HeaderLandscape"/>
    <w:basedOn w:val="Normal"/>
    <w:rsid w:val="00D226F4"/>
    <w:pPr>
      <w:tabs>
        <w:tab w:val="right" w:pos="14570"/>
      </w:tabs>
    </w:pPr>
  </w:style>
  <w:style w:type="paragraph" w:styleId="FooterLandscape" w:customStyle="1">
    <w:name w:val="FooterLandscape"/>
    <w:basedOn w:val="Normal"/>
    <w:rsid w:val="00D226F4"/>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D226F4"/>
    <w:rPr>
      <w:b/>
      <w:shd w:val="clear" w:color="auto" w:fill="auto"/>
      <w:vertAlign w:val="superscript"/>
    </w:rPr>
  </w:style>
  <w:style w:type="paragraph" w:styleId="HeaderCouncil" w:customStyle="1">
    <w:name w:val="Header Council"/>
    <w:basedOn w:val="Normal"/>
    <w:link w:val="HeaderCouncilChar"/>
    <w:rsid w:val="00E3458A"/>
    <w:pPr>
      <w:spacing w:before="0" w:after="0" w:line="240" w:lineRule="auto"/>
    </w:pPr>
    <w:rPr>
      <w:sz w:val="2"/>
      <w:rFonts w:ascii="Times New Roman" w:hAnsi="Times New Roman"/>
    </w:rPr>
  </w:style>
  <w:style w:type="paragraph" w:styleId="FooterCouncil" w:customStyle="1">
    <w:name w:val="Footer Council"/>
    <w:basedOn w:val="Normal"/>
    <w:link w:val="FooterCouncilChar"/>
    <w:rsid w:val="00E3458A"/>
    <w:pPr>
      <w:spacing w:before="0" w:after="0" w:line="240" w:lineRule="auto"/>
    </w:pPr>
    <w:rPr>
      <w:sz w:val="2"/>
      <w:rFonts w:ascii="Times New Roman" w:hAnsi="Times New Roman"/>
    </w:rPr>
  </w:style>
  <w:style w:type="paragraph" w:styleId="TechnicalBlock" w:customStyle="1">
    <w:name w:val="Technical Block"/>
    <w:basedOn w:val="Normal"/>
    <w:next w:val="Normal"/>
    <w:rsid w:val="00D226F4"/>
    <w:pPr>
      <w:spacing w:before="0" w:after="240" w:line="240" w:lineRule="auto"/>
      <w:jc w:val="center"/>
    </w:pPr>
  </w:style>
  <w:style w:type="paragraph" w:styleId="FinalLine" w:customStyle="1">
    <w:name w:val="Final Line"/>
    <w:basedOn w:val="Normal"/>
    <w:next w:val="Normal"/>
    <w:rsid w:val="00D226F4"/>
    <w:pPr>
      <w:pBdr>
        <w:bottom w:val="single" w:color="000000" w:sz="4" w:space="0"/>
      </w:pBdr>
      <w:spacing w:before="360"/>
      <w:ind w:left="3400" w:right="3400"/>
      <w:jc w:val="center"/>
    </w:pPr>
    <w:rPr>
      <w:b/>
    </w:rPr>
  </w:style>
  <w:style w:type="paragraph" w:styleId="FinalLineLandscape" w:customStyle="1">
    <w:name w:val="Final Line (Landscape)"/>
    <w:basedOn w:val="Normal"/>
    <w:next w:val="Normal"/>
    <w:rsid w:val="00D226F4"/>
    <w:pPr>
      <w:pBdr>
        <w:bottom w:val="single" w:color="000000" w:sz="4" w:space="0"/>
      </w:pBdr>
      <w:spacing w:before="360"/>
      <w:ind w:left="5868" w:right="5868"/>
      <w:jc w:val="center"/>
    </w:pPr>
    <w:rPr>
      <w:b/>
    </w:rPr>
  </w:style>
  <w:style w:type="paragraph" w:styleId="Text1" w:customStyle="1">
    <w:name w:val="Text 1"/>
    <w:basedOn w:val="Normal"/>
    <w:rsid w:val="00D226F4"/>
    <w:pPr>
      <w:ind w:left="567"/>
    </w:pPr>
  </w:style>
  <w:style w:type="paragraph" w:styleId="Text2" w:customStyle="1">
    <w:name w:val="Text 2"/>
    <w:basedOn w:val="Normal"/>
    <w:rsid w:val="00D226F4"/>
    <w:pPr>
      <w:ind w:left="1134"/>
    </w:pPr>
  </w:style>
  <w:style w:type="paragraph" w:styleId="Text3" w:customStyle="1">
    <w:name w:val="Text 3"/>
    <w:basedOn w:val="Normal"/>
    <w:rsid w:val="00D226F4"/>
    <w:pPr>
      <w:ind w:left="1701"/>
    </w:pPr>
  </w:style>
  <w:style w:type="paragraph" w:styleId="Text4" w:customStyle="1">
    <w:name w:val="Text 4"/>
    <w:basedOn w:val="Normal"/>
    <w:rsid w:val="00D226F4"/>
    <w:pPr>
      <w:ind w:left="2268"/>
    </w:pPr>
  </w:style>
  <w:style w:type="paragraph" w:styleId="Text5" w:customStyle="1">
    <w:name w:val="Text 5"/>
    <w:basedOn w:val="Normal"/>
    <w:rsid w:val="00D226F4"/>
    <w:pPr>
      <w:ind w:left="2835"/>
    </w:pPr>
  </w:style>
  <w:style w:type="paragraph" w:styleId="Text6" w:customStyle="1">
    <w:name w:val="Text 6"/>
    <w:basedOn w:val="Normal"/>
    <w:rsid w:val="00D226F4"/>
    <w:pPr>
      <w:ind w:left="3402"/>
    </w:pPr>
  </w:style>
  <w:style w:type="paragraph" w:styleId="PointManual" w:customStyle="1">
    <w:name w:val="Point Manual"/>
    <w:basedOn w:val="Normal"/>
    <w:rsid w:val="00D226F4"/>
    <w:pPr>
      <w:ind w:left="567" w:hanging="567"/>
    </w:pPr>
  </w:style>
  <w:style w:type="paragraph" w:styleId="PointManual1" w:customStyle="1">
    <w:name w:val="Point Manual (1)"/>
    <w:basedOn w:val="Normal"/>
    <w:rsid w:val="00D226F4"/>
    <w:pPr>
      <w:ind w:left="1134" w:hanging="567"/>
    </w:pPr>
  </w:style>
  <w:style w:type="paragraph" w:styleId="PointManual2" w:customStyle="1">
    <w:name w:val="Point Manual (2)"/>
    <w:basedOn w:val="Normal"/>
    <w:rsid w:val="00D226F4"/>
    <w:pPr>
      <w:ind w:left="1701" w:hanging="567"/>
    </w:pPr>
  </w:style>
  <w:style w:type="paragraph" w:styleId="PointManual3" w:customStyle="1">
    <w:name w:val="Point Manual (3)"/>
    <w:basedOn w:val="Normal"/>
    <w:rsid w:val="00D226F4"/>
    <w:pPr>
      <w:ind w:left="2268" w:hanging="567"/>
    </w:pPr>
  </w:style>
  <w:style w:type="paragraph" w:styleId="PointManual4" w:customStyle="1">
    <w:name w:val="Point Manual (4)"/>
    <w:basedOn w:val="Normal"/>
    <w:rsid w:val="00D226F4"/>
    <w:pPr>
      <w:ind w:left="2835" w:hanging="567"/>
    </w:pPr>
  </w:style>
  <w:style w:type="paragraph" w:styleId="PointDoubleManual" w:customStyle="1">
    <w:name w:val="Point Double Manual"/>
    <w:basedOn w:val="Normal"/>
    <w:rsid w:val="00D226F4"/>
    <w:pPr>
      <w:tabs>
        <w:tab w:val="left" w:pos="567"/>
      </w:tabs>
      <w:ind w:left="1134" w:hanging="1134"/>
    </w:pPr>
  </w:style>
  <w:style w:type="paragraph" w:styleId="PointDoubleManual1" w:customStyle="1">
    <w:name w:val="Point Double Manual (1)"/>
    <w:basedOn w:val="Normal"/>
    <w:rsid w:val="00D226F4"/>
    <w:pPr>
      <w:tabs>
        <w:tab w:val="left" w:pos="1134"/>
      </w:tabs>
      <w:ind w:left="1701" w:hanging="1134"/>
    </w:pPr>
  </w:style>
  <w:style w:type="paragraph" w:styleId="PointDoubleManual2" w:customStyle="1">
    <w:name w:val="Point Double Manual (2)"/>
    <w:basedOn w:val="Normal"/>
    <w:rsid w:val="00D226F4"/>
    <w:pPr>
      <w:tabs>
        <w:tab w:val="left" w:pos="1701"/>
      </w:tabs>
      <w:ind w:left="2268" w:hanging="1134"/>
    </w:pPr>
  </w:style>
  <w:style w:type="paragraph" w:styleId="PointDoubleManual3" w:customStyle="1">
    <w:name w:val="Point Double Manual (3)"/>
    <w:basedOn w:val="Normal"/>
    <w:rsid w:val="00D226F4"/>
    <w:pPr>
      <w:tabs>
        <w:tab w:val="left" w:pos="2268"/>
      </w:tabs>
      <w:ind w:left="2835" w:hanging="1134"/>
    </w:pPr>
  </w:style>
  <w:style w:type="paragraph" w:styleId="PointDoubleManual4" w:customStyle="1">
    <w:name w:val="Point Double Manual (4)"/>
    <w:basedOn w:val="Normal"/>
    <w:rsid w:val="00D226F4"/>
    <w:pPr>
      <w:tabs>
        <w:tab w:val="left" w:pos="2835"/>
      </w:tabs>
      <w:ind w:left="3402" w:hanging="1134"/>
    </w:pPr>
  </w:style>
  <w:style w:type="paragraph" w:styleId="Pointabc" w:customStyle="1">
    <w:name w:val="Point abc"/>
    <w:basedOn w:val="Normal"/>
    <w:rsid w:val="00D226F4"/>
    <w:pPr>
      <w:numPr>
        <w:ilvl w:val="1"/>
        <w:numId w:val="1"/>
      </w:numPr>
    </w:pPr>
  </w:style>
  <w:style w:type="paragraph" w:styleId="Pointabc1" w:customStyle="1">
    <w:name w:val="Point abc (1)"/>
    <w:basedOn w:val="Normal"/>
    <w:rsid w:val="00D226F4"/>
    <w:pPr>
      <w:numPr>
        <w:ilvl w:val="3"/>
        <w:numId w:val="1"/>
      </w:numPr>
    </w:pPr>
  </w:style>
  <w:style w:type="paragraph" w:styleId="Pointabc2" w:customStyle="1">
    <w:name w:val="Point abc (2)"/>
    <w:basedOn w:val="Normal"/>
    <w:rsid w:val="00D226F4"/>
    <w:pPr>
      <w:numPr>
        <w:ilvl w:val="5"/>
        <w:numId w:val="1"/>
      </w:numPr>
    </w:pPr>
  </w:style>
  <w:style w:type="paragraph" w:styleId="Pointabc3" w:customStyle="1">
    <w:name w:val="Point abc (3)"/>
    <w:basedOn w:val="Normal"/>
    <w:rsid w:val="00D226F4"/>
    <w:pPr>
      <w:numPr>
        <w:ilvl w:val="7"/>
        <w:numId w:val="1"/>
      </w:numPr>
    </w:pPr>
  </w:style>
  <w:style w:type="paragraph" w:styleId="Pointabc4" w:customStyle="1">
    <w:name w:val="Point abc (4)"/>
    <w:basedOn w:val="Normal"/>
    <w:rsid w:val="00D226F4"/>
    <w:pPr>
      <w:numPr>
        <w:ilvl w:val="8"/>
        <w:numId w:val="1"/>
      </w:numPr>
    </w:pPr>
  </w:style>
  <w:style w:type="paragraph" w:styleId="Point123" w:customStyle="1">
    <w:name w:val="Point 123"/>
    <w:basedOn w:val="Normal"/>
    <w:rsid w:val="00D226F4"/>
    <w:pPr>
      <w:numPr>
        <w:numId w:val="1"/>
      </w:numPr>
    </w:pPr>
  </w:style>
  <w:style w:type="paragraph" w:styleId="Point1231" w:customStyle="1">
    <w:name w:val="Point 123 (1)"/>
    <w:basedOn w:val="Normal"/>
    <w:rsid w:val="00D226F4"/>
    <w:pPr>
      <w:numPr>
        <w:ilvl w:val="2"/>
        <w:numId w:val="1"/>
      </w:numPr>
    </w:pPr>
  </w:style>
  <w:style w:type="paragraph" w:styleId="Point1232" w:customStyle="1">
    <w:name w:val="Point 123 (2)"/>
    <w:basedOn w:val="Normal"/>
    <w:rsid w:val="00D226F4"/>
    <w:pPr>
      <w:numPr>
        <w:ilvl w:val="4"/>
        <w:numId w:val="1"/>
      </w:numPr>
    </w:pPr>
  </w:style>
  <w:style w:type="paragraph" w:styleId="Point1233" w:customStyle="1">
    <w:name w:val="Point 123 (3)"/>
    <w:basedOn w:val="Normal"/>
    <w:rsid w:val="00D226F4"/>
    <w:pPr>
      <w:numPr>
        <w:ilvl w:val="6"/>
        <w:numId w:val="1"/>
      </w:numPr>
    </w:pPr>
  </w:style>
  <w:style w:type="paragraph" w:styleId="Pointivx" w:customStyle="1">
    <w:name w:val="Point ivx"/>
    <w:basedOn w:val="Normal"/>
    <w:rsid w:val="00D226F4"/>
    <w:pPr>
      <w:numPr>
        <w:numId w:val="2"/>
      </w:numPr>
    </w:pPr>
  </w:style>
  <w:style w:type="paragraph" w:styleId="Pointivx1" w:customStyle="1">
    <w:name w:val="Point ivx (1)"/>
    <w:basedOn w:val="Normal"/>
    <w:rsid w:val="00D226F4"/>
    <w:pPr>
      <w:numPr>
        <w:ilvl w:val="1"/>
        <w:numId w:val="2"/>
      </w:numPr>
    </w:pPr>
  </w:style>
  <w:style w:type="paragraph" w:styleId="Pointivx2" w:customStyle="1">
    <w:name w:val="Point ivx (2)"/>
    <w:basedOn w:val="Normal"/>
    <w:rsid w:val="00D226F4"/>
    <w:pPr>
      <w:numPr>
        <w:ilvl w:val="2"/>
        <w:numId w:val="2"/>
      </w:numPr>
    </w:pPr>
  </w:style>
  <w:style w:type="paragraph" w:styleId="Pointivx3" w:customStyle="1">
    <w:name w:val="Point ivx (3)"/>
    <w:basedOn w:val="Normal"/>
    <w:rsid w:val="00D226F4"/>
    <w:pPr>
      <w:numPr>
        <w:ilvl w:val="3"/>
        <w:numId w:val="2"/>
      </w:numPr>
    </w:pPr>
  </w:style>
  <w:style w:type="paragraph" w:styleId="Pointivx4" w:customStyle="1">
    <w:name w:val="Point ivx (4)"/>
    <w:basedOn w:val="Normal"/>
    <w:rsid w:val="00D226F4"/>
    <w:pPr>
      <w:numPr>
        <w:ilvl w:val="4"/>
        <w:numId w:val="2"/>
      </w:numPr>
    </w:pPr>
  </w:style>
  <w:style w:type="paragraph" w:styleId="Bullet" w:customStyle="1">
    <w:name w:val="Bullet"/>
    <w:basedOn w:val="Normal"/>
    <w:rsid w:val="00D226F4"/>
    <w:pPr>
      <w:numPr>
        <w:numId w:val="3"/>
      </w:numPr>
    </w:pPr>
  </w:style>
  <w:style w:type="paragraph" w:styleId="Bullet1" w:customStyle="1">
    <w:name w:val="Bullet 1"/>
    <w:basedOn w:val="Normal"/>
    <w:rsid w:val="00D226F4"/>
    <w:pPr>
      <w:numPr>
        <w:numId w:val="4"/>
      </w:numPr>
    </w:pPr>
  </w:style>
  <w:style w:type="paragraph" w:styleId="Bullet2" w:customStyle="1">
    <w:name w:val="Bullet 2"/>
    <w:basedOn w:val="Normal"/>
    <w:rsid w:val="00D226F4"/>
    <w:pPr>
      <w:numPr>
        <w:numId w:val="5"/>
      </w:numPr>
    </w:pPr>
  </w:style>
  <w:style w:type="paragraph" w:styleId="Bullet3" w:customStyle="1">
    <w:name w:val="Bullet 3"/>
    <w:basedOn w:val="Normal"/>
    <w:rsid w:val="00D226F4"/>
    <w:pPr>
      <w:numPr>
        <w:numId w:val="6"/>
      </w:numPr>
    </w:pPr>
  </w:style>
  <w:style w:type="paragraph" w:styleId="Bullet4" w:customStyle="1">
    <w:name w:val="Bullet 4"/>
    <w:basedOn w:val="Normal"/>
    <w:rsid w:val="00D226F4"/>
    <w:pPr>
      <w:numPr>
        <w:numId w:val="7"/>
      </w:numPr>
    </w:pPr>
  </w:style>
  <w:style w:type="paragraph" w:styleId="Dash" w:customStyle="1">
    <w:name w:val="Dash"/>
    <w:basedOn w:val="Normal"/>
    <w:rsid w:val="00D226F4"/>
    <w:pPr>
      <w:numPr>
        <w:numId w:val="8"/>
      </w:numPr>
    </w:pPr>
  </w:style>
  <w:style w:type="paragraph" w:styleId="Dash1" w:customStyle="1">
    <w:name w:val="Dash 1"/>
    <w:basedOn w:val="Normal"/>
    <w:rsid w:val="00D226F4"/>
    <w:pPr>
      <w:numPr>
        <w:numId w:val="9"/>
      </w:numPr>
    </w:pPr>
  </w:style>
  <w:style w:type="paragraph" w:styleId="Dash2" w:customStyle="1">
    <w:name w:val="Dash 2"/>
    <w:basedOn w:val="Normal"/>
    <w:rsid w:val="00D226F4"/>
    <w:pPr>
      <w:numPr>
        <w:numId w:val="10"/>
      </w:numPr>
    </w:pPr>
  </w:style>
  <w:style w:type="paragraph" w:styleId="Dash3" w:customStyle="1">
    <w:name w:val="Dash 3"/>
    <w:basedOn w:val="Normal"/>
    <w:rsid w:val="00D226F4"/>
    <w:pPr>
      <w:numPr>
        <w:numId w:val="11"/>
      </w:numPr>
    </w:pPr>
  </w:style>
  <w:style w:type="paragraph" w:styleId="Dash4" w:customStyle="1">
    <w:name w:val="Dash 4"/>
    <w:basedOn w:val="Normal"/>
    <w:rsid w:val="00D226F4"/>
    <w:pPr>
      <w:numPr>
        <w:numId w:val="12"/>
      </w:numPr>
    </w:pPr>
  </w:style>
  <w:style w:type="paragraph" w:styleId="DashEqual" w:customStyle="1">
    <w:name w:val="Dash Equal"/>
    <w:basedOn w:val="Dash"/>
    <w:rsid w:val="00D226F4"/>
    <w:pPr>
      <w:numPr>
        <w:numId w:val="13"/>
      </w:numPr>
    </w:pPr>
  </w:style>
  <w:style w:type="paragraph" w:styleId="DashEqual1" w:customStyle="1">
    <w:name w:val="Dash Equal 1"/>
    <w:basedOn w:val="Dash1"/>
    <w:rsid w:val="00D226F4"/>
    <w:pPr>
      <w:numPr>
        <w:numId w:val="14"/>
      </w:numPr>
    </w:pPr>
  </w:style>
  <w:style w:type="paragraph" w:styleId="DashEqual2" w:customStyle="1">
    <w:name w:val="Dash Equal 2"/>
    <w:basedOn w:val="Dash2"/>
    <w:rsid w:val="00D226F4"/>
    <w:pPr>
      <w:numPr>
        <w:numId w:val="15"/>
      </w:numPr>
    </w:pPr>
  </w:style>
  <w:style w:type="paragraph" w:styleId="DashEqual3" w:customStyle="1">
    <w:name w:val="Dash Equal 3"/>
    <w:basedOn w:val="Dash3"/>
    <w:rsid w:val="00D226F4"/>
    <w:pPr>
      <w:numPr>
        <w:numId w:val="16"/>
      </w:numPr>
    </w:pPr>
  </w:style>
  <w:style w:type="paragraph" w:styleId="DashEqual4" w:customStyle="1">
    <w:name w:val="Dash Equal 4"/>
    <w:basedOn w:val="Dash4"/>
    <w:rsid w:val="00D226F4"/>
    <w:pPr>
      <w:numPr>
        <w:numId w:val="17"/>
      </w:numPr>
    </w:pPr>
  </w:style>
  <w:style w:type="character" w:styleId="Marker" w:customStyle="1">
    <w:name w:val="Marker"/>
    <w:basedOn w:val="DefaultParagraphFont"/>
    <w:rsid w:val="00D226F4"/>
    <w:rPr>
      <w:color w:val="0000FF"/>
      <w:shd w:val="clear" w:color="auto" w:fill="auto"/>
    </w:rPr>
  </w:style>
  <w:style w:type="character" w:styleId="Marker1" w:customStyle="1">
    <w:name w:val="Marker1"/>
    <w:basedOn w:val="DefaultParagraphFont"/>
    <w:rsid w:val="00D226F4"/>
    <w:rPr>
      <w:color w:val="008000"/>
      <w:shd w:val="clear" w:color="auto" w:fill="auto"/>
    </w:rPr>
  </w:style>
  <w:style w:type="paragraph" w:styleId="HeadingLeft" w:customStyle="1">
    <w:name w:val="Heading Left"/>
    <w:basedOn w:val="Normal"/>
    <w:next w:val="Normal"/>
    <w:rsid w:val="00D226F4"/>
    <w:pPr>
      <w:spacing w:before="360"/>
      <w:outlineLvl w:val="0"/>
    </w:pPr>
    <w:rPr>
      <w:b/>
      <w:caps/>
      <w:u w:val="single"/>
    </w:rPr>
  </w:style>
  <w:style w:type="paragraph" w:styleId="HeadingIVX" w:customStyle="1">
    <w:name w:val="Heading IVX"/>
    <w:basedOn w:val="HeadingLeft"/>
    <w:next w:val="Normal"/>
    <w:rsid w:val="00D226F4"/>
    <w:pPr>
      <w:numPr>
        <w:numId w:val="18"/>
      </w:numPr>
    </w:pPr>
  </w:style>
  <w:style w:type="paragraph" w:styleId="Heading123" w:customStyle="1">
    <w:name w:val="Heading 123"/>
    <w:basedOn w:val="HeadingLeft"/>
    <w:next w:val="Normal"/>
    <w:rsid w:val="00D226F4"/>
    <w:pPr>
      <w:numPr>
        <w:numId w:val="19"/>
      </w:numPr>
    </w:pPr>
  </w:style>
  <w:style w:type="paragraph" w:styleId="HeadingABC" w:customStyle="1">
    <w:name w:val="Heading ABC"/>
    <w:basedOn w:val="HeadingLeft"/>
    <w:next w:val="Normal"/>
    <w:rsid w:val="00D226F4"/>
    <w:pPr>
      <w:numPr>
        <w:numId w:val="20"/>
      </w:numPr>
    </w:pPr>
  </w:style>
  <w:style w:type="paragraph" w:styleId="HeadingCentered" w:customStyle="1">
    <w:name w:val="Heading Centered"/>
    <w:basedOn w:val="HeadingLeft"/>
    <w:next w:val="Normal"/>
    <w:rsid w:val="00D226F4"/>
    <w:pPr>
      <w:jc w:val="center"/>
    </w:pPr>
  </w:style>
  <w:style w:type="paragraph" w:styleId="Jardin" w:customStyle="1">
    <w:name w:val="Jardin"/>
    <w:basedOn w:val="Normal"/>
    <w:rsid w:val="00D226F4"/>
    <w:pPr>
      <w:spacing w:before="200" w:after="0" w:line="240" w:lineRule="auto"/>
      <w:jc w:val="center"/>
    </w:pPr>
  </w:style>
  <w:style w:type="paragraph" w:styleId="Amendment" w:customStyle="1">
    <w:name w:val="Amendment"/>
    <w:basedOn w:val="Normal"/>
    <w:next w:val="Normal"/>
    <w:rsid w:val="00D226F4"/>
    <w:rPr>
      <w:i/>
      <w:u w:val="single"/>
    </w:rPr>
  </w:style>
  <w:style w:type="paragraph" w:styleId="AmendmentList" w:customStyle="1">
    <w:name w:val="Amendment List"/>
    <w:basedOn w:val="Normal"/>
    <w:rsid w:val="00D226F4"/>
    <w:pPr>
      <w:ind w:left="2268" w:hanging="2268"/>
    </w:pPr>
  </w:style>
  <w:style w:type="paragraph" w:styleId="ReplyRE" w:customStyle="1">
    <w:name w:val="Reply RE"/>
    <w:basedOn w:val="Normal"/>
    <w:next w:val="Normal"/>
    <w:rsid w:val="00D226F4"/>
    <w:pPr>
      <w:spacing w:after="480" w:line="240" w:lineRule="auto"/>
      <w:contextualSpacing/>
    </w:pPr>
  </w:style>
  <w:style w:type="paragraph" w:styleId="ReplyBold" w:customStyle="1">
    <w:name w:val="Reply Bold"/>
    <w:basedOn w:val="ReplyRE"/>
    <w:next w:val="Normal"/>
    <w:rsid w:val="00D226F4"/>
    <w:rPr>
      <w:b/>
    </w:rPr>
  </w:style>
  <w:style w:type="paragraph" w:styleId="Annex" w:customStyle="1">
    <w:name w:val="Annex"/>
    <w:basedOn w:val="Normal"/>
    <w:next w:val="Normal"/>
    <w:rsid w:val="00D226F4"/>
    <w:pPr>
      <w:jc w:val="right"/>
    </w:pPr>
    <w:rPr>
      <w:b/>
      <w:u w:val="single"/>
    </w:rPr>
  </w:style>
  <w:style w:type="paragraph" w:styleId="Sign" w:customStyle="1">
    <w:name w:val="Sign"/>
    <w:basedOn w:val="Normal"/>
    <w:rsid w:val="00D226F4"/>
    <w:pPr>
      <w:tabs>
        <w:tab w:val="center" w:pos="7087"/>
      </w:tabs>
      <w:contextualSpacing/>
    </w:pPr>
  </w:style>
  <w:style w:type="paragraph" w:styleId="NotDeclassified" w:customStyle="1">
    <w:name w:val="Not Declassified"/>
    <w:basedOn w:val="Normal"/>
    <w:next w:val="Normal"/>
    <w:rsid w:val="00D226F4"/>
    <w:rPr>
      <w:b/>
      <w:shd w:val="clear" w:color="auto" w:fill="CCCCCC"/>
    </w:rPr>
  </w:style>
  <w:style w:type="character" w:styleId="NotDeclassifiedCharacter" w:customStyle="1">
    <w:name w:val="Not Declassified Character"/>
    <w:basedOn w:val="DefaultParagraphFont"/>
    <w:rsid w:val="00D226F4"/>
    <w:rPr>
      <w:rFonts w:ascii="Times New Roman" w:hAnsi="Times New Roman" w:cs="Times New Roman"/>
      <w:b/>
      <w:sz w:val="24"/>
      <w:shd w:val="clear" w:color="auto" w:fill="CCCCCC"/>
    </w:rPr>
  </w:style>
  <w:style w:type="paragraph" w:styleId="NormalCompact" w:customStyle="1">
    <w:name w:val="Normal Compact"/>
    <w:basedOn w:val="Normal"/>
    <w:next w:val="Normal"/>
    <w:rsid w:val="00D226F4"/>
    <w:pPr>
      <w:spacing w:line="240" w:lineRule="auto"/>
    </w:pPr>
  </w:style>
  <w:style w:type="paragraph" w:styleId="EndnoteText">
    <w:name w:val="endnote text"/>
    <w:basedOn w:val="Normal"/>
    <w:link w:val="EndnoteTextChar"/>
    <w:uiPriority w:val="99"/>
    <w:semiHidden/>
    <w:unhideWhenUsed/>
    <w:rsid w:val="00D226F4"/>
    <w:pPr>
      <w:spacing w:before="0" w:after="0" w:line="240" w:lineRule="auto"/>
    </w:pPr>
    <w:rPr>
      <w:sz w:val="20"/>
      <w:szCs w:val="20"/>
    </w:rPr>
  </w:style>
  <w:style w:type="character" w:styleId="EndnoteTextChar" w:customStyle="1">
    <w:name w:val="Endnote Text Char"/>
    <w:basedOn w:val="DefaultParagraphFont"/>
    <w:link w:val="EndnoteText"/>
    <w:uiPriority w:val="99"/>
    <w:semiHidden/>
    <w:rsid w:val="00D226F4"/>
    <w:rPr>
      <w:rFonts w:ascii="Times New Roman" w:hAnsi="Times New Roman" w:cs="Times New Roman"/>
      <w:kern w:val="0"/>
      <w:sz w:val="20"/>
      <w:szCs w:val="20"/>
      <w:lang w:val="en-GB"/>
    </w:rPr>
  </w:style>
  <w:style w:type="character" w:styleId="EndnoteReference">
    <w:name w:val="endnote reference"/>
    <w:basedOn w:val="DefaultParagraphFont"/>
    <w:uiPriority w:val="99"/>
    <w:semiHidden/>
    <w:unhideWhenUsed/>
    <w:rsid w:val="00D226F4"/>
    <w:rPr>
      <w:vertAlign w:val="superscript"/>
    </w:rPr>
  </w:style>
  <w:style w:type="paragraph" w:styleId="pj" w:customStyle="1">
    <w:name w:val="p.j."/>
    <w:basedOn w:val="Normal"/>
    <w:link w:val="pjChar"/>
    <w:unhideWhenUsed/>
    <w:rsid w:val="00D226F4"/>
    <w:pPr>
      <w:spacing w:before="1200"/>
      <w:ind w:left="1440" w:hanging="1440"/>
    </w:pPr>
    <w:rPr>
      <w:rFonts w:eastAsia="Calibri"/>
    </w:rPr>
  </w:style>
  <w:style w:type="paragraph" w:styleId="EntLogo" w:customStyle="1">
    <w:name w:val="EntLogo"/>
    <w:basedOn w:val="Normal"/>
    <w:rsid w:val="00D226F4"/>
    <w:pPr>
      <w:tabs>
        <w:tab w:val="right" w:pos="9639"/>
      </w:tabs>
      <w:spacing w:before="0" w:after="0"/>
    </w:pPr>
    <w:rPr>
      <w:rFonts w:eastAsia="Calibri"/>
      <w:b/>
    </w:rPr>
  </w:style>
  <w:style w:type="paragraph" w:styleId="EntEmet" w:customStyle="1">
    <w:name w:val="EntEmet"/>
    <w:basedOn w:val="Normal"/>
    <w:rsid w:val="00D226F4"/>
    <w:pPr>
      <w:spacing w:before="40" w:after="0" w:line="240" w:lineRule="auto"/>
    </w:pPr>
    <w:rPr>
      <w:rFonts w:eastAsia="Calibri"/>
    </w:rPr>
  </w:style>
  <w:style w:type="paragraph" w:styleId="EntInstit" w:customStyle="1">
    <w:name w:val="EntInstit"/>
    <w:basedOn w:val="Normal"/>
    <w:rsid w:val="00D226F4"/>
    <w:pPr>
      <w:spacing w:before="0" w:after="0" w:line="240" w:lineRule="auto"/>
      <w:jc w:val="right"/>
    </w:pPr>
    <w:rPr>
      <w:rFonts w:eastAsia="Calibri"/>
      <w:b/>
    </w:rPr>
  </w:style>
  <w:style w:type="paragraph" w:styleId="EntRefer" w:customStyle="1">
    <w:name w:val="EntRefer"/>
    <w:basedOn w:val="Normal"/>
    <w:rsid w:val="00D226F4"/>
    <w:pPr>
      <w:spacing w:before="0" w:after="0" w:line="240" w:lineRule="auto"/>
    </w:pPr>
    <w:rPr>
      <w:rFonts w:eastAsia="Calibri"/>
      <w:b/>
    </w:rPr>
  </w:style>
  <w:style w:type="paragraph" w:styleId="Genredudocument" w:customStyle="1">
    <w:name w:val="Genre du document"/>
    <w:basedOn w:val="EntRefer"/>
    <w:next w:val="EntRefer"/>
    <w:rsid w:val="00D226F4"/>
    <w:pPr>
      <w:spacing w:before="240"/>
    </w:pPr>
  </w:style>
  <w:style w:type="paragraph" w:styleId="Languagesconcerned" w:customStyle="1">
    <w:name w:val="Languages concerned"/>
    <w:basedOn w:val="Normal"/>
    <w:next w:val="Procedureapplicable"/>
    <w:rsid w:val="00D226F4"/>
    <w:pPr>
      <w:spacing w:before="240"/>
    </w:pPr>
    <w:rPr>
      <w:rFonts w:eastAsia="Calibri"/>
    </w:rPr>
  </w:style>
  <w:style w:type="paragraph" w:styleId="Procedureapplicable" w:customStyle="1">
    <w:name w:val="Procedure applicable"/>
    <w:basedOn w:val="Normal"/>
    <w:next w:val="Proceduretype"/>
    <w:rsid w:val="00D226F4"/>
    <w:pPr>
      <w:spacing w:before="240"/>
    </w:pPr>
    <w:rPr>
      <w:rFonts w:eastAsia="Calibri"/>
    </w:rPr>
  </w:style>
  <w:style w:type="paragraph" w:styleId="Proceduretype" w:customStyle="1">
    <w:name w:val="Procedure type"/>
    <w:basedOn w:val="Normal"/>
    <w:next w:val="Normal"/>
    <w:rsid w:val="00D226F4"/>
    <w:pPr>
      <w:spacing w:before="240" w:after="0"/>
    </w:pPr>
    <w:rPr>
      <w:rFonts w:eastAsia="Calibri"/>
    </w:rPr>
  </w:style>
  <w:style w:type="paragraph" w:styleId="Agreement" w:customStyle="1">
    <w:name w:val="Agreement"/>
    <w:basedOn w:val="Normal"/>
    <w:next w:val="Normal"/>
    <w:rsid w:val="00D226F4"/>
    <w:pPr>
      <w:spacing w:before="0"/>
    </w:pPr>
    <w:rPr>
      <w:rFonts w:eastAsia="Calibri"/>
    </w:rPr>
  </w:style>
  <w:style w:type="paragraph" w:styleId="Timelimit" w:customStyle="1">
    <w:name w:val="Time limit"/>
    <w:basedOn w:val="Normal"/>
    <w:next w:val="Normal"/>
    <w:rsid w:val="00D226F4"/>
    <w:pPr>
      <w:spacing w:before="240"/>
    </w:pPr>
    <w:rPr>
      <w:rFonts w:eastAsia="Calibri"/>
    </w:rPr>
  </w:style>
  <w:style w:type="paragraph" w:styleId="Remarks" w:customStyle="1">
    <w:name w:val="Remarks"/>
    <w:basedOn w:val="Normal"/>
    <w:rsid w:val="00D226F4"/>
    <w:pPr>
      <w:spacing w:before="240"/>
    </w:pPr>
    <w:rPr>
      <w:rFonts w:eastAsia="Calibri"/>
    </w:rPr>
  </w:style>
  <w:style w:type="paragraph" w:styleId="Correctionnewlanguages" w:customStyle="1">
    <w:name w:val="Correction new languages"/>
    <w:basedOn w:val="Normal"/>
    <w:next w:val="Normal"/>
    <w:rsid w:val="00D226F4"/>
    <w:pPr>
      <w:spacing w:before="240"/>
    </w:pPr>
    <w:rPr>
      <w:rFonts w:eastAsia="Calibri"/>
    </w:rPr>
  </w:style>
  <w:style w:type="paragraph" w:styleId="Anyobservations" w:customStyle="1">
    <w:name w:val="Any observations"/>
    <w:basedOn w:val="Normal"/>
    <w:next w:val="Normal"/>
    <w:rsid w:val="00D226F4"/>
    <w:pPr>
      <w:spacing w:before="240"/>
    </w:pPr>
    <w:rPr>
      <w:rFonts w:eastAsia="Calibri"/>
      <w:b/>
    </w:rPr>
  </w:style>
  <w:style w:type="paragraph" w:styleId="Annextitle" w:customStyle="1">
    <w:name w:val="Annex title"/>
    <w:basedOn w:val="Normal"/>
    <w:next w:val="Corrigendumtitle"/>
    <w:rsid w:val="00D226F4"/>
    <w:pPr>
      <w:spacing w:before="0" w:after="0"/>
      <w:jc w:val="right"/>
    </w:pPr>
    <w:rPr>
      <w:rFonts w:eastAsia="Calibri"/>
      <w:b/>
      <w:u w:val="single"/>
    </w:rPr>
  </w:style>
  <w:style w:type="paragraph" w:styleId="Corrigendumtitle" w:customStyle="1">
    <w:name w:val="Corrigendum title"/>
    <w:basedOn w:val="Normal"/>
    <w:next w:val="Corrigendumto"/>
    <w:rsid w:val="00D226F4"/>
    <w:pPr>
      <w:spacing w:before="240"/>
      <w:jc w:val="center"/>
    </w:pPr>
    <w:rPr>
      <w:rFonts w:eastAsia="Calibri"/>
      <w:b/>
    </w:rPr>
  </w:style>
  <w:style w:type="paragraph" w:styleId="Corrigendumto" w:customStyle="1">
    <w:name w:val="Corrigendum to"/>
    <w:basedOn w:val="Normal"/>
    <w:next w:val="Referencedocument"/>
    <w:rsid w:val="00D226F4"/>
    <w:pPr>
      <w:spacing w:after="240"/>
      <w:jc w:val="center"/>
    </w:pPr>
    <w:rPr>
      <w:rFonts w:eastAsia="Calibri"/>
      <w:b/>
    </w:rPr>
  </w:style>
  <w:style w:type="paragraph" w:styleId="Referencedocument" w:customStyle="1">
    <w:name w:val="Reference document"/>
    <w:basedOn w:val="Normal"/>
    <w:rsid w:val="00D226F4"/>
    <w:pPr>
      <w:spacing w:before="0" w:after="0"/>
      <w:jc w:val="center"/>
    </w:pPr>
    <w:rPr>
      <w:rFonts w:eastAsia="Calibri"/>
    </w:rPr>
  </w:style>
  <w:style w:type="paragraph" w:styleId="Correctionpage" w:customStyle="1">
    <w:name w:val="Correction page"/>
    <w:basedOn w:val="Normal"/>
    <w:next w:val="Correctionfortitle"/>
    <w:rsid w:val="00D226F4"/>
    <w:pPr>
      <w:keepNext/>
      <w:spacing w:before="240"/>
    </w:pPr>
    <w:rPr>
      <w:rFonts w:eastAsia="Calibri"/>
    </w:rPr>
  </w:style>
  <w:style w:type="paragraph" w:styleId="Correctionfortitle" w:customStyle="1">
    <w:name w:val="Correction for title"/>
    <w:basedOn w:val="Normal"/>
    <w:next w:val="Correctionfortext"/>
    <w:rsid w:val="00D226F4"/>
    <w:pPr>
      <w:keepNext/>
      <w:spacing w:after="240"/>
    </w:pPr>
    <w:rPr>
      <w:rFonts w:eastAsia="Calibri"/>
      <w:i/>
    </w:rPr>
  </w:style>
  <w:style w:type="paragraph" w:styleId="Correctionfortext" w:customStyle="1">
    <w:name w:val="Correction for text"/>
    <w:basedOn w:val="Normal"/>
    <w:rsid w:val="00D226F4"/>
    <w:pPr>
      <w:spacing w:before="0" w:after="0"/>
    </w:pPr>
    <w:rPr>
      <w:rFonts w:eastAsia="Calibri"/>
    </w:rPr>
  </w:style>
  <w:style w:type="paragraph" w:styleId="Correctionreadtitle" w:customStyle="1">
    <w:name w:val="Correction read title"/>
    <w:basedOn w:val="Normal"/>
    <w:next w:val="Correctionreadtext"/>
    <w:rsid w:val="00D226F4"/>
    <w:pPr>
      <w:keepNext/>
      <w:spacing w:after="240"/>
    </w:pPr>
    <w:rPr>
      <w:rFonts w:eastAsia="Calibri"/>
      <w:i/>
    </w:rPr>
  </w:style>
  <w:style w:type="paragraph" w:styleId="Correctionreadtext" w:customStyle="1">
    <w:name w:val="Correction read text"/>
    <w:basedOn w:val="Normal"/>
    <w:rsid w:val="00D226F4"/>
    <w:pPr>
      <w:spacing w:before="0" w:after="0"/>
    </w:pPr>
    <w:rPr>
      <w:rFonts w:eastAsia="Calibri"/>
    </w:rPr>
  </w:style>
  <w:style w:type="paragraph" w:styleId="Phraseofsignature" w:customStyle="1">
    <w:name w:val="Phrase of signature"/>
    <w:basedOn w:val="Normal"/>
    <w:next w:val="Correctionpage"/>
    <w:rsid w:val="00D226F4"/>
    <w:pPr>
      <w:spacing w:before="240"/>
    </w:pPr>
    <w:rPr>
      <w:rFonts w:eastAsia="Calibri"/>
    </w:rPr>
  </w:style>
  <w:style w:type="character" w:styleId="HeaderCouncilLargeChar" w:customStyle="1">
    <w:name w:val="Header Council Large Char"/>
    <w:basedOn w:val="DefaultParagraphFont"/>
    <w:link w:val="HeaderCouncilLarge"/>
    <w:rsid w:val="00D226F4"/>
    <w:rPr>
      <w:rFonts w:ascii="Times New Roman" w:hAnsi="Times New Roman" w:cs="Times New Roman"/>
      <w:kern w:val="0"/>
      <w:sz w:val="2"/>
      <w:lang w:val="en-GB"/>
    </w:rPr>
  </w:style>
  <w:style w:type="character" w:styleId="PlaceholderText">
    <w:name w:val="Placeholder Text"/>
    <w:basedOn w:val="DefaultParagraphFont"/>
    <w:uiPriority w:val="99"/>
    <w:semiHidden/>
    <w:rsid w:val="00D226F4"/>
    <w:rPr>
      <w:color w:val="808080"/>
    </w:rPr>
  </w:style>
  <w:style w:type="character" w:styleId="CommentReference">
    <w:name w:val="annotation reference"/>
    <w:uiPriority w:val="99"/>
    <w:unhideWhenUsed/>
    <w:rsid w:val="00D226F4"/>
    <w:rPr>
      <w:sz w:val="16"/>
      <w:szCs w:val="16"/>
    </w:rPr>
  </w:style>
  <w:style w:type="paragraph" w:styleId="CommentText">
    <w:name w:val="annotation text"/>
    <w:basedOn w:val="Normal"/>
    <w:link w:val="CommentTextChar"/>
    <w:uiPriority w:val="99"/>
    <w:unhideWhenUsed/>
    <w:rsid w:val="00D226F4"/>
    <w:pPr>
      <w:spacing w:line="240" w:lineRule="auto"/>
      <w:jc w:val="both"/>
    </w:pPr>
    <w:rPr>
      <w:rFonts w:eastAsia="Calibri"/>
      <w:sz w:val="20"/>
      <w:szCs w:val="20"/>
    </w:rPr>
  </w:style>
  <w:style w:type="character" w:styleId="CommentTextChar" w:customStyle="1">
    <w:name w:val="Comment Text Char"/>
    <w:basedOn w:val="DefaultParagraphFont"/>
    <w:link w:val="CommentText"/>
    <w:uiPriority w:val="99"/>
    <w:rsid w:val="00D226F4"/>
    <w:rPr>
      <w:rFonts w:ascii="Times New Roman" w:hAnsi="Times New Roman" w:eastAsia="Calibri" w:cs="Times New Roman"/>
      <w:kern w:val="0"/>
      <w:sz w:val="20"/>
      <w:szCs w:val="20"/>
      <w:lang w:val="en-GB"/>
    </w:rPr>
  </w:style>
  <w:style w:type="character" w:styleId="ListParagraphChar" w:customStyle="1">
    <w:name w:val="List Paragraph Char"/>
    <w:aliases w:val="numbered list Char,2 Char,OBC Bullet Char,Normal 1 Char,Task Body Char,Viñetas (Inicio Parrafo) Char,Paragrafo elenco Char,3 Txt tabla Char,Zerrenda-paragrafoa Char,Fiche List Paragraph Char,Dot pt Char,F5 List Paragraph Char"/>
    <w:link w:val="ListParagraph"/>
    <w:uiPriority w:val="34"/>
    <w:qFormat/>
    <w:locked/>
    <w:rsid w:val="00D226F4"/>
    <w:rPr>
      <w:rFonts w:ascii="Times New Roman" w:hAnsi="Times New Roman" w:cs="Times New Roman"/>
      <w:kern w:val="0"/>
      <w:sz w:val="24"/>
      <w:lang w:val="en-GB"/>
    </w:rPr>
  </w:style>
  <w:style w:type="paragraph" w:styleId="BalloonText">
    <w:name w:val="Balloon Text"/>
    <w:basedOn w:val="Normal"/>
    <w:link w:val="BalloonTextChar"/>
    <w:uiPriority w:val="99"/>
    <w:semiHidden/>
    <w:unhideWhenUsed/>
    <w:rsid w:val="00D226F4"/>
    <w:pPr>
      <w:spacing w:after="0" w:line="240" w:lineRule="auto"/>
      <w:jc w:val="both"/>
    </w:pPr>
    <w:rPr>
      <w:rFonts w:ascii="Segoe UI" w:hAnsi="Segoe UI" w:eastAsia="Calibri" w:cs="Segoe UI"/>
      <w:sz w:val="18"/>
      <w:szCs w:val="18"/>
    </w:rPr>
  </w:style>
  <w:style w:type="character" w:styleId="BalloonTextChar" w:customStyle="1">
    <w:name w:val="Balloon Text Char"/>
    <w:basedOn w:val="DefaultParagraphFont"/>
    <w:link w:val="BalloonText"/>
    <w:uiPriority w:val="99"/>
    <w:semiHidden/>
    <w:rsid w:val="00D226F4"/>
    <w:rPr>
      <w:rFonts w:ascii="Segoe UI" w:hAnsi="Segoe UI" w:eastAsia="Calibri" w:cs="Segoe UI"/>
      <w:kern w:val="0"/>
      <w:sz w:val="18"/>
      <w:szCs w:val="18"/>
      <w:lang w:val="en-GB"/>
    </w:rPr>
  </w:style>
  <w:style w:type="paragraph" w:styleId="ListBullet">
    <w:name w:val="List Bullet"/>
    <w:basedOn w:val="Normal"/>
    <w:uiPriority w:val="99"/>
    <w:semiHidden/>
    <w:unhideWhenUsed/>
    <w:rsid w:val="00D226F4"/>
    <w:pPr>
      <w:numPr>
        <w:numId w:val="21"/>
      </w:numPr>
      <w:spacing w:line="240" w:lineRule="auto"/>
      <w:contextualSpacing/>
      <w:jc w:val="both"/>
    </w:pPr>
    <w:rPr>
      <w:rFonts w:eastAsia="Calibri"/>
    </w:rPr>
  </w:style>
  <w:style w:type="paragraph" w:styleId="ListBullet2">
    <w:name w:val="List Bullet 2"/>
    <w:basedOn w:val="Normal"/>
    <w:uiPriority w:val="99"/>
    <w:semiHidden/>
    <w:unhideWhenUsed/>
    <w:rsid w:val="00D226F4"/>
    <w:pPr>
      <w:numPr>
        <w:numId w:val="22"/>
      </w:numPr>
      <w:spacing w:line="240" w:lineRule="auto"/>
      <w:contextualSpacing/>
      <w:jc w:val="both"/>
    </w:pPr>
    <w:rPr>
      <w:rFonts w:eastAsia="Calibri"/>
    </w:rPr>
  </w:style>
  <w:style w:type="paragraph" w:styleId="ListBullet3">
    <w:name w:val="List Bullet 3"/>
    <w:basedOn w:val="Normal"/>
    <w:uiPriority w:val="99"/>
    <w:semiHidden/>
    <w:unhideWhenUsed/>
    <w:rsid w:val="00D226F4"/>
    <w:pPr>
      <w:numPr>
        <w:numId w:val="23"/>
      </w:numPr>
      <w:spacing w:line="240" w:lineRule="auto"/>
      <w:contextualSpacing/>
      <w:jc w:val="both"/>
    </w:pPr>
    <w:rPr>
      <w:rFonts w:eastAsia="Calibri"/>
    </w:rPr>
  </w:style>
  <w:style w:type="paragraph" w:styleId="ListBullet4">
    <w:name w:val="List Bullet 4"/>
    <w:basedOn w:val="Normal"/>
    <w:uiPriority w:val="99"/>
    <w:semiHidden/>
    <w:unhideWhenUsed/>
    <w:rsid w:val="00D226F4"/>
    <w:pPr>
      <w:numPr>
        <w:numId w:val="24"/>
      </w:numPr>
      <w:spacing w:line="240" w:lineRule="auto"/>
      <w:contextualSpacing/>
      <w:jc w:val="both"/>
    </w:pPr>
    <w:rPr>
      <w:rFonts w:eastAsia="Calibri"/>
    </w:rPr>
  </w:style>
  <w:style w:type="paragraph" w:styleId="CommentSubject">
    <w:name w:val="annotation subject"/>
    <w:basedOn w:val="CommentText"/>
    <w:next w:val="CommentText"/>
    <w:link w:val="CommentSubjectChar"/>
    <w:uiPriority w:val="99"/>
    <w:semiHidden/>
    <w:unhideWhenUsed/>
    <w:rsid w:val="00D226F4"/>
    <w:rPr>
      <w:b/>
      <w:bCs/>
    </w:rPr>
  </w:style>
  <w:style w:type="character" w:styleId="CommentSubjectChar" w:customStyle="1">
    <w:name w:val="Comment Subject Char"/>
    <w:basedOn w:val="CommentTextChar"/>
    <w:link w:val="CommentSubject"/>
    <w:uiPriority w:val="99"/>
    <w:semiHidden/>
    <w:rsid w:val="00D226F4"/>
    <w:rPr>
      <w:rFonts w:ascii="Times New Roman" w:hAnsi="Times New Roman" w:eastAsia="Calibri" w:cs="Times New Roman"/>
      <w:b/>
      <w:bCs/>
      <w:kern w:val="0"/>
      <w:sz w:val="20"/>
      <w:szCs w:val="20"/>
      <w:lang w:val="en-GB"/>
    </w:rPr>
  </w:style>
  <w:style w:type="paragraph" w:styleId="Revision">
    <w:name w:val="Revision"/>
    <w:hidden/>
    <w:uiPriority w:val="99"/>
    <w:semiHidden/>
    <w:rsid w:val="00E3458A"/>
    <w:pPr>
      <w:spacing w:after="0" w:line="240" w:lineRule="auto"/>
    </w:pPr>
    <w:rPr>
      <w:rFonts w:ascii="Times New Roman" w:hAnsi="Times New Roman" w:eastAsia="Calibri" w:cs="Times New Roman"/>
      <w:kern w:val="0"/>
      <w:sz w:val="24"/>
      <w:lang w:val="en-GB"/>
    </w:rPr>
  </w:style>
  <w:style w:type="paragraph" w:styleId="Caption">
    <w:name w:val="caption"/>
    <w:basedOn w:val="Normal"/>
    <w:next w:val="Normal"/>
    <w:uiPriority w:val="35"/>
    <w:semiHidden/>
    <w:unhideWhenUsed/>
    <w:qFormat/>
    <w:rsid w:val="00D226F4"/>
    <w:pPr>
      <w:spacing w:line="240" w:lineRule="auto"/>
      <w:jc w:val="both"/>
    </w:pPr>
    <w:rPr>
      <w:rFonts w:eastAsia="Calibri"/>
      <w:i/>
      <w:iCs/>
      <w:color w:val="1F497D"/>
      <w:sz w:val="18"/>
      <w:szCs w:val="18"/>
    </w:rPr>
  </w:style>
  <w:style w:type="paragraph" w:styleId="TableofFigures">
    <w:name w:val="table of figures"/>
    <w:basedOn w:val="Normal"/>
    <w:next w:val="Normal"/>
    <w:uiPriority w:val="99"/>
    <w:semiHidden/>
    <w:unhideWhenUsed/>
    <w:rsid w:val="00D226F4"/>
    <w:pPr>
      <w:spacing w:after="0" w:line="240" w:lineRule="auto"/>
      <w:jc w:val="both"/>
    </w:pPr>
    <w:rPr>
      <w:rFonts w:eastAsia="Calibri"/>
    </w:rPr>
  </w:style>
  <w:style w:type="paragraph" w:styleId="ListNumber">
    <w:name w:val="List Number"/>
    <w:basedOn w:val="Normal"/>
    <w:uiPriority w:val="99"/>
    <w:semiHidden/>
    <w:unhideWhenUsed/>
    <w:rsid w:val="00D226F4"/>
    <w:pPr>
      <w:numPr>
        <w:numId w:val="25"/>
      </w:numPr>
      <w:spacing w:line="240" w:lineRule="auto"/>
      <w:contextualSpacing/>
      <w:jc w:val="both"/>
    </w:pPr>
    <w:rPr>
      <w:rFonts w:eastAsia="Calibri"/>
    </w:rPr>
  </w:style>
  <w:style w:type="paragraph" w:styleId="ListNumber2">
    <w:name w:val="List Number 2"/>
    <w:basedOn w:val="Normal"/>
    <w:uiPriority w:val="99"/>
    <w:semiHidden/>
    <w:unhideWhenUsed/>
    <w:rsid w:val="00D226F4"/>
    <w:pPr>
      <w:numPr>
        <w:numId w:val="26"/>
      </w:numPr>
      <w:spacing w:line="240" w:lineRule="auto"/>
      <w:contextualSpacing/>
      <w:jc w:val="both"/>
    </w:pPr>
    <w:rPr>
      <w:rFonts w:eastAsia="Calibri"/>
    </w:rPr>
  </w:style>
  <w:style w:type="paragraph" w:styleId="ListNumber3">
    <w:name w:val="List Number 3"/>
    <w:basedOn w:val="Normal"/>
    <w:uiPriority w:val="99"/>
    <w:semiHidden/>
    <w:unhideWhenUsed/>
    <w:rsid w:val="00D226F4"/>
    <w:pPr>
      <w:numPr>
        <w:numId w:val="27"/>
      </w:numPr>
      <w:spacing w:line="240" w:lineRule="auto"/>
      <w:contextualSpacing/>
      <w:jc w:val="both"/>
    </w:pPr>
    <w:rPr>
      <w:rFonts w:eastAsia="Calibri"/>
    </w:rPr>
  </w:style>
  <w:style w:type="paragraph" w:styleId="ListNumber4">
    <w:name w:val="List Number 4"/>
    <w:basedOn w:val="Normal"/>
    <w:uiPriority w:val="99"/>
    <w:semiHidden/>
    <w:unhideWhenUsed/>
    <w:rsid w:val="00E3458A"/>
    <w:pPr>
      <w:numPr>
        <w:numId w:val="28"/>
      </w:numPr>
      <w:tabs>
        <w:tab w:val="clear" w:pos="1274"/>
        <w:tab w:val="num" w:pos="1209"/>
      </w:tabs>
      <w:spacing w:line="240" w:lineRule="auto"/>
      <w:ind w:left="1209"/>
      <w:contextualSpacing/>
      <w:jc w:val="both"/>
    </w:pPr>
    <w:rPr>
      <w:rFonts w:eastAsia="Calibri"/>
    </w:rPr>
  </w:style>
  <w:style w:type="character" w:styleId="Hyperlink">
    <w:name w:val="Hyperlink"/>
    <w:uiPriority w:val="99"/>
    <w:unhideWhenUsed/>
    <w:rsid w:val="00D226F4"/>
    <w:rPr>
      <w:color w:val="0000FF"/>
      <w:u w:val="single"/>
    </w:rPr>
  </w:style>
  <w:style w:type="paragraph" w:styleId="TOCHeading">
    <w:name w:val="TOC Heading"/>
    <w:basedOn w:val="Normal"/>
    <w:next w:val="Normal"/>
    <w:uiPriority w:val="39"/>
    <w:semiHidden/>
    <w:unhideWhenUsed/>
    <w:qFormat/>
    <w:rsid w:val="00D226F4"/>
    <w:pPr>
      <w:spacing w:after="240" w:line="240" w:lineRule="auto"/>
      <w:jc w:val="center"/>
    </w:pPr>
    <w:rPr>
      <w:rFonts w:eastAsia="Calibri"/>
      <w:b/>
      <w:sz w:val="28"/>
    </w:rPr>
  </w:style>
  <w:style w:type="paragraph" w:styleId="TOC1">
    <w:name w:val="toc 1"/>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2">
    <w:name w:val="toc 2"/>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3">
    <w:name w:val="toc 3"/>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4">
    <w:name w:val="toc 4"/>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5">
    <w:name w:val="toc 5"/>
    <w:basedOn w:val="Normal"/>
    <w:next w:val="Normal"/>
    <w:uiPriority w:val="39"/>
    <w:semiHidden/>
    <w:unhideWhenUsed/>
    <w:rsid w:val="00D226F4"/>
    <w:pPr>
      <w:tabs>
        <w:tab w:val="right" w:leader="dot" w:pos="9071"/>
      </w:tabs>
      <w:spacing w:before="300" w:line="240" w:lineRule="auto"/>
    </w:pPr>
    <w:rPr>
      <w:rFonts w:eastAsia="Calibri"/>
    </w:rPr>
  </w:style>
  <w:style w:type="paragraph" w:styleId="TOC6">
    <w:name w:val="toc 6"/>
    <w:basedOn w:val="Normal"/>
    <w:next w:val="Normal"/>
    <w:uiPriority w:val="39"/>
    <w:semiHidden/>
    <w:unhideWhenUsed/>
    <w:rsid w:val="00D226F4"/>
    <w:pPr>
      <w:tabs>
        <w:tab w:val="right" w:leader="dot" w:pos="9071"/>
      </w:tabs>
      <w:spacing w:before="240" w:line="240" w:lineRule="auto"/>
    </w:pPr>
    <w:rPr>
      <w:rFonts w:eastAsia="Calibri"/>
    </w:rPr>
  </w:style>
  <w:style w:type="paragraph" w:styleId="TOC7">
    <w:name w:val="toc 7"/>
    <w:basedOn w:val="Normal"/>
    <w:next w:val="Normal"/>
    <w:uiPriority w:val="39"/>
    <w:semiHidden/>
    <w:unhideWhenUsed/>
    <w:rsid w:val="00D226F4"/>
    <w:pPr>
      <w:tabs>
        <w:tab w:val="right" w:leader="dot" w:pos="9071"/>
      </w:tabs>
      <w:spacing w:before="180" w:line="240" w:lineRule="auto"/>
    </w:pPr>
    <w:rPr>
      <w:rFonts w:eastAsia="Calibri"/>
    </w:rPr>
  </w:style>
  <w:style w:type="paragraph" w:styleId="TOC8">
    <w:name w:val="toc 8"/>
    <w:basedOn w:val="Normal"/>
    <w:next w:val="Normal"/>
    <w:uiPriority w:val="39"/>
    <w:semiHidden/>
    <w:unhideWhenUsed/>
    <w:rsid w:val="00D226F4"/>
    <w:pPr>
      <w:tabs>
        <w:tab w:val="right" w:leader="dot" w:pos="9071"/>
      </w:tabs>
      <w:spacing w:line="240" w:lineRule="auto"/>
    </w:pPr>
    <w:rPr>
      <w:rFonts w:eastAsia="Calibri"/>
    </w:rPr>
  </w:style>
  <w:style w:type="paragraph" w:styleId="TOC9">
    <w:name w:val="toc 9"/>
    <w:basedOn w:val="Normal"/>
    <w:next w:val="Normal"/>
    <w:uiPriority w:val="39"/>
    <w:semiHidden/>
    <w:unhideWhenUsed/>
    <w:rsid w:val="00D226F4"/>
    <w:pPr>
      <w:tabs>
        <w:tab w:val="right" w:leader="dot" w:pos="9071"/>
      </w:tabs>
      <w:spacing w:line="240" w:lineRule="auto"/>
      <w:jc w:val="both"/>
    </w:pPr>
    <w:rPr>
      <w:rFonts w:eastAsia="Calibri"/>
    </w:rPr>
  </w:style>
  <w:style w:type="paragraph" w:styleId="HeaderSensitivity" w:customStyle="1">
    <w:name w:val="Header Sensitivity"/>
    <w:basedOn w:val="Normal"/>
    <w:rsid w:val="00E3458A"/>
    <w:pPr>
      <w:pBdr>
        <w:top w:val="single" w:color="auto" w:sz="4" w:space="1"/>
        <w:left w:val="single" w:color="auto" w:sz="4" w:space="4"/>
        <w:bottom w:val="single" w:color="auto" w:sz="4" w:space="1"/>
        <w:right w:val="single" w:color="auto" w:sz="4" w:space="4"/>
      </w:pBdr>
      <w:spacing w:before="0" w:line="240" w:lineRule="auto"/>
      <w:ind w:left="113" w:right="113"/>
      <w:jc w:val="center"/>
    </w:pPr>
    <w:rPr>
      <w:b/>
      <w:sz w:val="32"/>
    </w:rPr>
  </w:style>
  <w:style w:type="paragraph" w:styleId="HeaderSensitivityRight" w:customStyle="1">
    <w:name w:val="Header Sensitivity Right"/>
    <w:basedOn w:val="Normal"/>
    <w:rsid w:val="00E3458A"/>
    <w:pPr>
      <w:spacing w:before="0" w:line="240" w:lineRule="auto"/>
      <w:jc w:val="right"/>
    </w:pPr>
    <w:rPr>
      <w:sz w:val="28"/>
    </w:rPr>
  </w:style>
  <w:style w:type="paragraph" w:styleId="FooterSensitivity" w:customStyle="1">
    <w:name w:val="Footer Sensitivity"/>
    <w:basedOn w:val="Normal"/>
    <w:rsid w:val="00E3458A"/>
    <w:pPr>
      <w:pBdr>
        <w:top w:val="single" w:color="auto" w:sz="4" w:space="1"/>
        <w:left w:val="single" w:color="auto" w:sz="4" w:space="4"/>
        <w:bottom w:val="single" w:color="auto" w:sz="4" w:space="1"/>
        <w:right w:val="single" w:color="auto" w:sz="4" w:space="4"/>
      </w:pBdr>
      <w:spacing w:before="360" w:after="0" w:line="240" w:lineRule="auto"/>
      <w:ind w:left="113" w:right="113"/>
      <w:jc w:val="center"/>
    </w:pPr>
    <w:rPr>
      <w:b/>
      <w:sz w:val="32"/>
    </w:rPr>
  </w:style>
  <w:style w:type="paragraph" w:styleId="NormalLeft" w:customStyle="1">
    <w:name w:val="Normal Left"/>
    <w:basedOn w:val="Normal"/>
    <w:rsid w:val="00D226F4"/>
    <w:pPr>
      <w:spacing w:line="240" w:lineRule="auto"/>
    </w:pPr>
    <w:rPr>
      <w:rFonts w:eastAsia="Calibri"/>
    </w:rPr>
  </w:style>
  <w:style w:type="paragraph" w:styleId="QuotedText" w:customStyle="1">
    <w:name w:val="Quoted Text"/>
    <w:basedOn w:val="Normal"/>
    <w:rsid w:val="00D226F4"/>
    <w:pPr>
      <w:spacing w:line="240" w:lineRule="auto"/>
      <w:ind w:left="1417"/>
      <w:jc w:val="both"/>
    </w:pPr>
    <w:rPr>
      <w:rFonts w:eastAsia="Calibri"/>
    </w:rPr>
  </w:style>
  <w:style w:type="paragraph" w:styleId="Point0" w:customStyle="1">
    <w:name w:val="Point 0"/>
    <w:basedOn w:val="Normal"/>
    <w:rsid w:val="00D226F4"/>
    <w:pPr>
      <w:spacing w:line="240" w:lineRule="auto"/>
      <w:ind w:left="850" w:hanging="850"/>
      <w:jc w:val="both"/>
    </w:pPr>
    <w:rPr>
      <w:rFonts w:eastAsia="Calibri"/>
    </w:rPr>
  </w:style>
  <w:style w:type="paragraph" w:styleId="Point1" w:customStyle="1">
    <w:name w:val="Point 1"/>
    <w:basedOn w:val="Normal"/>
    <w:rsid w:val="00D226F4"/>
    <w:pPr>
      <w:spacing w:line="240" w:lineRule="auto"/>
      <w:ind w:left="1417" w:hanging="567"/>
      <w:jc w:val="both"/>
    </w:pPr>
    <w:rPr>
      <w:rFonts w:eastAsia="Calibri"/>
    </w:rPr>
  </w:style>
  <w:style w:type="paragraph" w:styleId="Point2" w:customStyle="1">
    <w:name w:val="Point 2"/>
    <w:basedOn w:val="Normal"/>
    <w:rsid w:val="00D226F4"/>
    <w:pPr>
      <w:spacing w:line="240" w:lineRule="auto"/>
      <w:ind w:left="1984" w:hanging="567"/>
      <w:jc w:val="both"/>
    </w:pPr>
    <w:rPr>
      <w:rFonts w:eastAsia="Calibri"/>
    </w:rPr>
  </w:style>
  <w:style w:type="paragraph" w:styleId="Point3" w:customStyle="1">
    <w:name w:val="Point 3"/>
    <w:basedOn w:val="Normal"/>
    <w:rsid w:val="00D226F4"/>
    <w:pPr>
      <w:spacing w:line="240" w:lineRule="auto"/>
      <w:ind w:left="2551" w:hanging="567"/>
      <w:jc w:val="both"/>
    </w:pPr>
    <w:rPr>
      <w:rFonts w:eastAsia="Calibri"/>
    </w:rPr>
  </w:style>
  <w:style w:type="paragraph" w:styleId="Point4" w:customStyle="1">
    <w:name w:val="Point 4"/>
    <w:basedOn w:val="Normal"/>
    <w:rsid w:val="00D226F4"/>
    <w:pPr>
      <w:spacing w:line="240" w:lineRule="auto"/>
      <w:ind w:left="3118" w:hanging="567"/>
      <w:jc w:val="both"/>
    </w:pPr>
    <w:rPr>
      <w:rFonts w:eastAsia="Calibri"/>
    </w:rPr>
  </w:style>
  <w:style w:type="paragraph" w:styleId="Tiret0" w:customStyle="1">
    <w:name w:val="Tiret 0"/>
    <w:basedOn w:val="Point0"/>
    <w:rsid w:val="00D226F4"/>
    <w:pPr>
      <w:numPr>
        <w:numId w:val="29"/>
      </w:numPr>
    </w:pPr>
  </w:style>
  <w:style w:type="paragraph" w:styleId="Tiret1" w:customStyle="1">
    <w:name w:val="Tiret 1"/>
    <w:basedOn w:val="Point1"/>
    <w:rsid w:val="00D226F4"/>
    <w:pPr>
      <w:numPr>
        <w:numId w:val="30"/>
      </w:numPr>
      <w:tabs>
        <w:tab w:val="clear" w:pos="1417"/>
      </w:tabs>
    </w:pPr>
  </w:style>
  <w:style w:type="paragraph" w:styleId="Tiret2" w:customStyle="1">
    <w:name w:val="Tiret 2"/>
    <w:basedOn w:val="Point2"/>
    <w:rsid w:val="00D226F4"/>
    <w:pPr>
      <w:numPr>
        <w:numId w:val="31"/>
      </w:numPr>
      <w:tabs>
        <w:tab w:val="clear" w:pos="1984"/>
      </w:tabs>
    </w:pPr>
  </w:style>
  <w:style w:type="paragraph" w:styleId="Tiret3" w:customStyle="1">
    <w:name w:val="Tiret 3"/>
    <w:basedOn w:val="Point3"/>
    <w:rsid w:val="00D226F4"/>
    <w:pPr>
      <w:numPr>
        <w:numId w:val="32"/>
      </w:numPr>
      <w:tabs>
        <w:tab w:val="clear" w:pos="2551"/>
      </w:tabs>
    </w:pPr>
  </w:style>
  <w:style w:type="paragraph" w:styleId="Tiret4" w:customStyle="1">
    <w:name w:val="Tiret 4"/>
    <w:basedOn w:val="Point4"/>
    <w:rsid w:val="00D226F4"/>
    <w:pPr>
      <w:numPr>
        <w:numId w:val="33"/>
      </w:numPr>
    </w:pPr>
  </w:style>
  <w:style w:type="paragraph" w:styleId="PointDouble0" w:customStyle="1">
    <w:name w:val="PointDouble 0"/>
    <w:basedOn w:val="Normal"/>
    <w:rsid w:val="00D226F4"/>
    <w:pPr>
      <w:tabs>
        <w:tab w:val="left" w:pos="850"/>
      </w:tabs>
      <w:spacing w:line="240" w:lineRule="auto"/>
      <w:ind w:left="1417" w:hanging="1417"/>
      <w:jc w:val="both"/>
    </w:pPr>
    <w:rPr>
      <w:rFonts w:eastAsia="Calibri"/>
    </w:rPr>
  </w:style>
  <w:style w:type="paragraph" w:styleId="PointDouble1" w:customStyle="1">
    <w:name w:val="PointDouble 1"/>
    <w:basedOn w:val="Normal"/>
    <w:rsid w:val="00D226F4"/>
    <w:pPr>
      <w:tabs>
        <w:tab w:val="left" w:pos="1417"/>
      </w:tabs>
      <w:spacing w:line="240" w:lineRule="auto"/>
      <w:ind w:left="1984" w:hanging="1134"/>
      <w:jc w:val="both"/>
    </w:pPr>
    <w:rPr>
      <w:rFonts w:eastAsia="Calibri"/>
    </w:rPr>
  </w:style>
  <w:style w:type="paragraph" w:styleId="PointDouble2" w:customStyle="1">
    <w:name w:val="PointDouble 2"/>
    <w:basedOn w:val="Normal"/>
    <w:rsid w:val="00D226F4"/>
    <w:pPr>
      <w:tabs>
        <w:tab w:val="left" w:pos="1984"/>
      </w:tabs>
      <w:spacing w:line="240" w:lineRule="auto"/>
      <w:ind w:left="2551" w:hanging="1134"/>
      <w:jc w:val="both"/>
    </w:pPr>
    <w:rPr>
      <w:rFonts w:eastAsia="Calibri"/>
    </w:rPr>
  </w:style>
  <w:style w:type="paragraph" w:styleId="PointDouble3" w:customStyle="1">
    <w:name w:val="PointDouble 3"/>
    <w:basedOn w:val="Normal"/>
    <w:rsid w:val="00D226F4"/>
    <w:pPr>
      <w:tabs>
        <w:tab w:val="left" w:pos="2551"/>
      </w:tabs>
      <w:spacing w:line="240" w:lineRule="auto"/>
      <w:ind w:left="3118" w:hanging="1134"/>
      <w:jc w:val="both"/>
    </w:pPr>
    <w:rPr>
      <w:rFonts w:eastAsia="Calibri"/>
    </w:rPr>
  </w:style>
  <w:style w:type="paragraph" w:styleId="PointDouble4" w:customStyle="1">
    <w:name w:val="PointDouble 4"/>
    <w:basedOn w:val="Normal"/>
    <w:rsid w:val="00D226F4"/>
    <w:pPr>
      <w:tabs>
        <w:tab w:val="left" w:pos="3118"/>
      </w:tabs>
      <w:spacing w:line="240" w:lineRule="auto"/>
      <w:ind w:left="3685" w:hanging="1134"/>
      <w:jc w:val="both"/>
    </w:pPr>
    <w:rPr>
      <w:rFonts w:eastAsia="Calibri"/>
    </w:rPr>
  </w:style>
  <w:style w:type="paragraph" w:styleId="PointTriple0" w:customStyle="1">
    <w:name w:val="PointTriple 0"/>
    <w:basedOn w:val="Normal"/>
    <w:rsid w:val="00D226F4"/>
    <w:pPr>
      <w:tabs>
        <w:tab w:val="left" w:pos="850"/>
        <w:tab w:val="left" w:pos="1417"/>
      </w:tabs>
      <w:spacing w:line="240" w:lineRule="auto"/>
      <w:ind w:left="1984" w:hanging="1984"/>
      <w:jc w:val="both"/>
    </w:pPr>
    <w:rPr>
      <w:rFonts w:eastAsia="Calibri"/>
    </w:rPr>
  </w:style>
  <w:style w:type="paragraph" w:styleId="PointTriple1" w:customStyle="1">
    <w:name w:val="PointTriple 1"/>
    <w:basedOn w:val="Normal"/>
    <w:rsid w:val="00D226F4"/>
    <w:pPr>
      <w:tabs>
        <w:tab w:val="left" w:pos="1417"/>
        <w:tab w:val="left" w:pos="1984"/>
      </w:tabs>
      <w:spacing w:line="240" w:lineRule="auto"/>
      <w:ind w:left="2551" w:hanging="1701"/>
      <w:jc w:val="both"/>
    </w:pPr>
    <w:rPr>
      <w:rFonts w:eastAsia="Calibri"/>
    </w:rPr>
  </w:style>
  <w:style w:type="paragraph" w:styleId="PointTriple2" w:customStyle="1">
    <w:name w:val="PointTriple 2"/>
    <w:basedOn w:val="Normal"/>
    <w:rsid w:val="00D226F4"/>
    <w:pPr>
      <w:tabs>
        <w:tab w:val="left" w:pos="1984"/>
        <w:tab w:val="left" w:pos="2551"/>
      </w:tabs>
      <w:spacing w:line="240" w:lineRule="auto"/>
      <w:ind w:left="3118" w:hanging="1701"/>
      <w:jc w:val="both"/>
    </w:pPr>
    <w:rPr>
      <w:rFonts w:eastAsia="Calibri"/>
    </w:rPr>
  </w:style>
  <w:style w:type="paragraph" w:styleId="PointTriple3" w:customStyle="1">
    <w:name w:val="PointTriple 3"/>
    <w:basedOn w:val="Normal"/>
    <w:rsid w:val="00D226F4"/>
    <w:pPr>
      <w:tabs>
        <w:tab w:val="left" w:pos="2551"/>
        <w:tab w:val="left" w:pos="3118"/>
      </w:tabs>
      <w:spacing w:line="240" w:lineRule="auto"/>
      <w:ind w:left="3685" w:hanging="1701"/>
      <w:jc w:val="both"/>
    </w:pPr>
    <w:rPr>
      <w:rFonts w:eastAsia="Calibri"/>
    </w:rPr>
  </w:style>
  <w:style w:type="paragraph" w:styleId="PointTriple4" w:customStyle="1">
    <w:name w:val="PointTriple 4"/>
    <w:basedOn w:val="Normal"/>
    <w:rsid w:val="00D226F4"/>
    <w:pPr>
      <w:tabs>
        <w:tab w:val="left" w:pos="3118"/>
        <w:tab w:val="left" w:pos="3685"/>
      </w:tabs>
      <w:spacing w:line="240" w:lineRule="auto"/>
      <w:ind w:left="4252" w:hanging="1701"/>
      <w:jc w:val="both"/>
    </w:pPr>
    <w:rPr>
      <w:rFonts w:eastAsia="Calibri"/>
    </w:rPr>
  </w:style>
  <w:style w:type="paragraph" w:styleId="NumPar1" w:customStyle="1">
    <w:name w:val="NumPar 1"/>
    <w:basedOn w:val="Normal"/>
    <w:next w:val="Text1"/>
    <w:rsid w:val="00D226F4"/>
    <w:pPr>
      <w:numPr>
        <w:numId w:val="34"/>
      </w:numPr>
      <w:spacing w:line="240" w:lineRule="auto"/>
      <w:jc w:val="both"/>
    </w:pPr>
    <w:rPr>
      <w:rFonts w:eastAsia="Calibri"/>
    </w:rPr>
  </w:style>
  <w:style w:type="paragraph" w:styleId="NumPar2" w:customStyle="1">
    <w:name w:val="NumPar 2"/>
    <w:basedOn w:val="Normal"/>
    <w:next w:val="Text1"/>
    <w:rsid w:val="00E3458A"/>
    <w:pPr>
      <w:numPr>
        <w:ilvl w:val="1"/>
        <w:numId w:val="35"/>
      </w:numPr>
      <w:tabs>
        <w:tab w:val="clear" w:pos="850"/>
        <w:tab w:val="num" w:pos="360"/>
      </w:tabs>
      <w:spacing w:line="240" w:lineRule="auto"/>
      <w:ind w:left="0" w:firstLine="0"/>
      <w:jc w:val="both"/>
    </w:pPr>
    <w:rPr>
      <w:rFonts w:eastAsia="Calibri"/>
    </w:rPr>
  </w:style>
  <w:style w:type="paragraph" w:styleId="NumPar3" w:customStyle="1">
    <w:name w:val="NumPar 3"/>
    <w:basedOn w:val="Normal"/>
    <w:next w:val="Text1"/>
    <w:rsid w:val="00E3458A"/>
    <w:pPr>
      <w:numPr>
        <w:ilvl w:val="2"/>
        <w:numId w:val="36"/>
      </w:numPr>
      <w:tabs>
        <w:tab w:val="clear" w:pos="850"/>
        <w:tab w:val="num" w:pos="360"/>
      </w:tabs>
      <w:spacing w:line="240" w:lineRule="auto"/>
      <w:ind w:left="0" w:firstLine="0"/>
      <w:jc w:val="both"/>
    </w:pPr>
    <w:rPr>
      <w:rFonts w:eastAsia="Calibri"/>
    </w:rPr>
  </w:style>
  <w:style w:type="paragraph" w:styleId="NumPar4" w:customStyle="1">
    <w:name w:val="NumPar 4"/>
    <w:basedOn w:val="Normal"/>
    <w:next w:val="Text1"/>
    <w:rsid w:val="00E3458A"/>
    <w:pPr>
      <w:numPr>
        <w:ilvl w:val="3"/>
        <w:numId w:val="37"/>
      </w:numPr>
      <w:tabs>
        <w:tab w:val="clear" w:pos="850"/>
        <w:tab w:val="num" w:pos="360"/>
      </w:tabs>
      <w:spacing w:line="240" w:lineRule="auto"/>
      <w:ind w:left="0" w:firstLine="0"/>
      <w:jc w:val="both"/>
    </w:pPr>
    <w:rPr>
      <w:rFonts w:eastAsia="Calibri"/>
    </w:rPr>
  </w:style>
  <w:style w:type="paragraph" w:styleId="ManualNumPar1" w:customStyle="1">
    <w:name w:val="Manual NumPar 1"/>
    <w:basedOn w:val="Normal"/>
    <w:next w:val="Text1"/>
    <w:rsid w:val="00D226F4"/>
    <w:pPr>
      <w:spacing w:line="240" w:lineRule="auto"/>
      <w:ind w:left="850" w:hanging="850"/>
      <w:jc w:val="both"/>
    </w:pPr>
    <w:rPr>
      <w:rFonts w:eastAsia="Calibri"/>
    </w:rPr>
  </w:style>
  <w:style w:type="paragraph" w:styleId="ManualNumPar2" w:customStyle="1">
    <w:name w:val="Manual NumPar 2"/>
    <w:basedOn w:val="Normal"/>
    <w:next w:val="Text1"/>
    <w:rsid w:val="00D226F4"/>
    <w:pPr>
      <w:spacing w:line="240" w:lineRule="auto"/>
      <w:ind w:left="850" w:hanging="850"/>
      <w:jc w:val="both"/>
    </w:pPr>
    <w:rPr>
      <w:rFonts w:eastAsia="Calibri"/>
    </w:rPr>
  </w:style>
  <w:style w:type="paragraph" w:styleId="ManualNumPar3" w:customStyle="1">
    <w:name w:val="Manual NumPar 3"/>
    <w:basedOn w:val="Normal"/>
    <w:next w:val="Text1"/>
    <w:rsid w:val="00D226F4"/>
    <w:pPr>
      <w:spacing w:line="240" w:lineRule="auto"/>
      <w:ind w:left="850" w:hanging="850"/>
      <w:jc w:val="both"/>
    </w:pPr>
    <w:rPr>
      <w:rFonts w:eastAsia="Calibri"/>
    </w:rPr>
  </w:style>
  <w:style w:type="paragraph" w:styleId="ManualNumPar4" w:customStyle="1">
    <w:name w:val="Manual NumPar 4"/>
    <w:basedOn w:val="Normal"/>
    <w:next w:val="Text1"/>
    <w:rsid w:val="00D226F4"/>
    <w:pPr>
      <w:spacing w:line="240" w:lineRule="auto"/>
      <w:ind w:left="850" w:hanging="850"/>
      <w:jc w:val="both"/>
    </w:pPr>
    <w:rPr>
      <w:rFonts w:eastAsia="Calibri"/>
    </w:rPr>
  </w:style>
  <w:style w:type="paragraph" w:styleId="QuotedNumPar" w:customStyle="1">
    <w:name w:val="Quoted NumPar"/>
    <w:basedOn w:val="Normal"/>
    <w:rsid w:val="00D226F4"/>
    <w:pPr>
      <w:spacing w:line="240" w:lineRule="auto"/>
      <w:ind w:left="1417" w:hanging="567"/>
      <w:jc w:val="both"/>
    </w:pPr>
    <w:rPr>
      <w:rFonts w:eastAsia="Calibri"/>
    </w:rPr>
  </w:style>
  <w:style w:type="paragraph" w:styleId="ManualHeading1" w:customStyle="1">
    <w:name w:val="Manual Heading 1"/>
    <w:basedOn w:val="Normal"/>
    <w:next w:val="Text1"/>
    <w:rsid w:val="00D226F4"/>
    <w:pPr>
      <w:keepNext/>
      <w:tabs>
        <w:tab w:val="left" w:pos="850"/>
      </w:tabs>
      <w:spacing w:before="360" w:line="240" w:lineRule="auto"/>
      <w:ind w:left="850" w:hanging="850"/>
      <w:jc w:val="both"/>
      <w:outlineLvl w:val="0"/>
    </w:pPr>
    <w:rPr>
      <w:rFonts w:eastAsia="Calibri"/>
      <w:b/>
      <w:smallCaps/>
    </w:rPr>
  </w:style>
  <w:style w:type="paragraph" w:styleId="ManualHeading2" w:customStyle="1">
    <w:name w:val="Manual Heading 2"/>
    <w:basedOn w:val="Normal"/>
    <w:next w:val="Text1"/>
    <w:rsid w:val="00D226F4"/>
    <w:pPr>
      <w:keepNext/>
      <w:tabs>
        <w:tab w:val="left" w:pos="850"/>
      </w:tabs>
      <w:spacing w:line="240" w:lineRule="auto"/>
      <w:ind w:left="850" w:hanging="850"/>
      <w:jc w:val="both"/>
      <w:outlineLvl w:val="1"/>
    </w:pPr>
    <w:rPr>
      <w:rFonts w:eastAsia="Calibri"/>
      <w:b/>
    </w:rPr>
  </w:style>
  <w:style w:type="paragraph" w:styleId="ManualHeading3" w:customStyle="1">
    <w:name w:val="Manual Heading 3"/>
    <w:basedOn w:val="Normal"/>
    <w:next w:val="Text1"/>
    <w:rsid w:val="00D226F4"/>
    <w:pPr>
      <w:keepNext/>
      <w:tabs>
        <w:tab w:val="left" w:pos="850"/>
      </w:tabs>
      <w:spacing w:line="240" w:lineRule="auto"/>
      <w:ind w:left="850" w:hanging="850"/>
      <w:jc w:val="both"/>
      <w:outlineLvl w:val="2"/>
    </w:pPr>
    <w:rPr>
      <w:rFonts w:eastAsia="Calibri"/>
      <w:i/>
    </w:rPr>
  </w:style>
  <w:style w:type="paragraph" w:styleId="ManualHeading4" w:customStyle="1">
    <w:name w:val="Manual Heading 4"/>
    <w:basedOn w:val="Normal"/>
    <w:next w:val="Text1"/>
    <w:rsid w:val="00D226F4"/>
    <w:pPr>
      <w:keepNext/>
      <w:tabs>
        <w:tab w:val="left" w:pos="850"/>
      </w:tabs>
      <w:spacing w:line="240" w:lineRule="auto"/>
      <w:ind w:left="850" w:hanging="850"/>
      <w:jc w:val="both"/>
      <w:outlineLvl w:val="3"/>
    </w:pPr>
    <w:rPr>
      <w:rFonts w:eastAsia="Calibri"/>
    </w:rPr>
  </w:style>
  <w:style w:type="paragraph" w:styleId="ChapterTitle" w:customStyle="1">
    <w:name w:val="ChapterTitle"/>
    <w:basedOn w:val="Normal"/>
    <w:next w:val="Normal"/>
    <w:rsid w:val="00D226F4"/>
    <w:pPr>
      <w:keepNext/>
      <w:spacing w:after="360" w:line="240" w:lineRule="auto"/>
      <w:jc w:val="center"/>
    </w:pPr>
    <w:rPr>
      <w:rFonts w:eastAsia="Calibri"/>
      <w:b/>
      <w:sz w:val="32"/>
    </w:rPr>
  </w:style>
  <w:style w:type="paragraph" w:styleId="PartTitle" w:customStyle="1">
    <w:name w:val="PartTitle"/>
    <w:basedOn w:val="Normal"/>
    <w:next w:val="ChapterTitle"/>
    <w:rsid w:val="00D226F4"/>
    <w:pPr>
      <w:keepNext/>
      <w:pageBreakBefore/>
      <w:spacing w:after="360" w:line="240" w:lineRule="auto"/>
      <w:jc w:val="center"/>
    </w:pPr>
    <w:rPr>
      <w:rFonts w:eastAsia="Calibri"/>
      <w:b/>
      <w:sz w:val="36"/>
    </w:rPr>
  </w:style>
  <w:style w:type="paragraph" w:styleId="SectionTitle" w:customStyle="1">
    <w:name w:val="SectionTitle"/>
    <w:basedOn w:val="Normal"/>
    <w:next w:val="Heading1"/>
    <w:rsid w:val="00D226F4"/>
    <w:pPr>
      <w:keepNext/>
      <w:spacing w:after="360" w:line="240" w:lineRule="auto"/>
      <w:jc w:val="center"/>
    </w:pPr>
    <w:rPr>
      <w:rFonts w:eastAsia="Calibri"/>
      <w:b/>
      <w:smallCaps/>
      <w:sz w:val="28"/>
    </w:rPr>
  </w:style>
  <w:style w:type="paragraph" w:styleId="TableTitle" w:customStyle="1">
    <w:name w:val="Table Title"/>
    <w:basedOn w:val="Normal"/>
    <w:next w:val="Normal"/>
    <w:rsid w:val="00D226F4"/>
    <w:pPr>
      <w:spacing w:line="240" w:lineRule="auto"/>
      <w:jc w:val="center"/>
    </w:pPr>
    <w:rPr>
      <w:rFonts w:eastAsia="Calibri"/>
      <w:b/>
    </w:rPr>
  </w:style>
  <w:style w:type="character" w:styleId="Marker2" w:customStyle="1">
    <w:name w:val="Marker2"/>
    <w:rsid w:val="00D226F4"/>
    <w:rPr>
      <w:color w:val="FF0000"/>
      <w:shd w:val="clear" w:color="auto" w:fill="auto"/>
    </w:rPr>
  </w:style>
  <w:style w:type="paragraph" w:styleId="Point0number" w:customStyle="1">
    <w:name w:val="Point 0 (number)"/>
    <w:basedOn w:val="Normal"/>
    <w:rsid w:val="00D226F4"/>
    <w:pPr>
      <w:tabs>
        <w:tab w:val="num" w:pos="850"/>
      </w:tabs>
      <w:spacing w:line="240" w:lineRule="auto"/>
      <w:ind w:left="850" w:hanging="850"/>
      <w:jc w:val="both"/>
    </w:pPr>
    <w:rPr>
      <w:rFonts w:eastAsia="Calibri"/>
    </w:rPr>
  </w:style>
  <w:style w:type="paragraph" w:styleId="Point1number" w:customStyle="1">
    <w:name w:val="Point 1 (number)"/>
    <w:basedOn w:val="Normal"/>
    <w:rsid w:val="00D226F4"/>
    <w:pPr>
      <w:numPr>
        <w:ilvl w:val="2"/>
        <w:numId w:val="38"/>
      </w:numPr>
      <w:spacing w:line="240" w:lineRule="auto"/>
      <w:jc w:val="both"/>
    </w:pPr>
    <w:rPr>
      <w:rFonts w:eastAsia="Calibri"/>
    </w:rPr>
  </w:style>
  <w:style w:type="paragraph" w:styleId="Point2number" w:customStyle="1">
    <w:name w:val="Point 2 (number)"/>
    <w:basedOn w:val="Normal"/>
    <w:rsid w:val="00D226F4"/>
    <w:pPr>
      <w:numPr>
        <w:ilvl w:val="4"/>
        <w:numId w:val="38"/>
      </w:numPr>
      <w:spacing w:line="240" w:lineRule="auto"/>
      <w:jc w:val="both"/>
    </w:pPr>
    <w:rPr>
      <w:rFonts w:eastAsia="Calibri"/>
    </w:rPr>
  </w:style>
  <w:style w:type="paragraph" w:styleId="Point3number" w:customStyle="1">
    <w:name w:val="Point 3 (number)"/>
    <w:basedOn w:val="Normal"/>
    <w:rsid w:val="00D226F4"/>
    <w:pPr>
      <w:numPr>
        <w:ilvl w:val="6"/>
        <w:numId w:val="38"/>
      </w:numPr>
      <w:spacing w:line="240" w:lineRule="auto"/>
      <w:jc w:val="both"/>
    </w:pPr>
    <w:rPr>
      <w:rFonts w:eastAsia="Calibri"/>
    </w:rPr>
  </w:style>
  <w:style w:type="paragraph" w:styleId="Point0letter" w:customStyle="1">
    <w:name w:val="Point 0 (letter)"/>
    <w:basedOn w:val="Normal"/>
    <w:rsid w:val="00D226F4"/>
    <w:pPr>
      <w:numPr>
        <w:ilvl w:val="1"/>
        <w:numId w:val="38"/>
      </w:numPr>
      <w:spacing w:line="240" w:lineRule="auto"/>
      <w:jc w:val="both"/>
    </w:pPr>
    <w:rPr>
      <w:rFonts w:eastAsia="Calibri"/>
    </w:rPr>
  </w:style>
  <w:style w:type="paragraph" w:styleId="Point1letter" w:customStyle="1">
    <w:name w:val="Point 1 (letter)"/>
    <w:basedOn w:val="Normal"/>
    <w:rsid w:val="00D226F4"/>
    <w:pPr>
      <w:numPr>
        <w:ilvl w:val="3"/>
        <w:numId w:val="38"/>
      </w:numPr>
      <w:spacing w:line="240" w:lineRule="auto"/>
      <w:jc w:val="both"/>
    </w:pPr>
    <w:rPr>
      <w:rFonts w:eastAsia="Calibri"/>
    </w:rPr>
  </w:style>
  <w:style w:type="paragraph" w:styleId="Point2letter" w:customStyle="1">
    <w:name w:val="Point 2 (letter)"/>
    <w:basedOn w:val="Normal"/>
    <w:rsid w:val="00D226F4"/>
    <w:pPr>
      <w:numPr>
        <w:ilvl w:val="5"/>
        <w:numId w:val="38"/>
      </w:numPr>
      <w:spacing w:line="240" w:lineRule="auto"/>
      <w:jc w:val="both"/>
    </w:pPr>
    <w:rPr>
      <w:rFonts w:eastAsia="Calibri"/>
    </w:rPr>
  </w:style>
  <w:style w:type="paragraph" w:styleId="Point3letter" w:customStyle="1">
    <w:name w:val="Point 3 (letter)"/>
    <w:basedOn w:val="Normal"/>
    <w:rsid w:val="00D226F4"/>
    <w:pPr>
      <w:numPr>
        <w:ilvl w:val="7"/>
        <w:numId w:val="38"/>
      </w:numPr>
      <w:spacing w:line="240" w:lineRule="auto"/>
      <w:jc w:val="both"/>
    </w:pPr>
    <w:rPr>
      <w:rFonts w:eastAsia="Calibri"/>
    </w:rPr>
  </w:style>
  <w:style w:type="paragraph" w:styleId="Point4letter" w:customStyle="1">
    <w:name w:val="Point 4 (letter)"/>
    <w:basedOn w:val="Normal"/>
    <w:rsid w:val="00D226F4"/>
    <w:pPr>
      <w:numPr>
        <w:ilvl w:val="8"/>
        <w:numId w:val="38"/>
      </w:numPr>
      <w:spacing w:line="240" w:lineRule="auto"/>
      <w:jc w:val="both"/>
    </w:pPr>
    <w:rPr>
      <w:rFonts w:eastAsia="Calibri"/>
    </w:rPr>
  </w:style>
  <w:style w:type="paragraph" w:styleId="Bullet0" w:customStyle="1">
    <w:name w:val="Bullet 0"/>
    <w:basedOn w:val="Normal"/>
    <w:rsid w:val="00D226F4"/>
    <w:pPr>
      <w:numPr>
        <w:numId w:val="39"/>
      </w:numPr>
      <w:spacing w:line="240" w:lineRule="auto"/>
      <w:jc w:val="both"/>
    </w:pPr>
    <w:rPr>
      <w:rFonts w:eastAsia="Calibri"/>
    </w:rPr>
  </w:style>
  <w:style w:type="paragraph" w:styleId="Langue" w:customStyle="1">
    <w:name w:val="Langue"/>
    <w:basedOn w:val="Normal"/>
    <w:next w:val="Rfrenceinterne"/>
    <w:rsid w:val="00D226F4"/>
    <w:pPr>
      <w:framePr w:wrap="around" w:hAnchor="text" w:vAnchor="page" w:xAlign="center" w:y="14741"/>
      <w:spacing w:after="600" w:line="240" w:lineRule="auto"/>
      <w:jc w:val="center"/>
    </w:pPr>
    <w:rPr>
      <w:rFonts w:eastAsia="Calibri"/>
      <w:b/>
      <w:caps/>
    </w:rPr>
  </w:style>
  <w:style w:type="paragraph" w:styleId="Nomdelinstitution" w:customStyle="1">
    <w:name w:val="Nom de l'institution"/>
    <w:basedOn w:val="Normal"/>
    <w:next w:val="Emission"/>
    <w:rsid w:val="00D226F4"/>
    <w:pPr>
      <w:spacing w:after="0" w:line="240" w:lineRule="auto"/>
    </w:pPr>
    <w:rPr>
      <w:rFonts w:ascii="Arial" w:hAnsi="Arial" w:eastAsia="Calibri" w:cs="Arial"/>
    </w:rPr>
  </w:style>
  <w:style w:type="paragraph" w:styleId="Emission" w:customStyle="1">
    <w:name w:val="Emission"/>
    <w:basedOn w:val="Normal"/>
    <w:next w:val="Rfrenceinstitutionnelle"/>
    <w:rsid w:val="00D226F4"/>
    <w:pPr>
      <w:spacing w:after="0" w:line="240" w:lineRule="auto"/>
      <w:ind w:left="5103"/>
    </w:pPr>
    <w:rPr>
      <w:rFonts w:eastAsia="Calibri"/>
    </w:rPr>
  </w:style>
  <w:style w:type="paragraph" w:styleId="Rfrenceinstitutionnelle" w:customStyle="1">
    <w:name w:val="Référence institutionnelle"/>
    <w:basedOn w:val="Normal"/>
    <w:next w:val="Confidentialit"/>
    <w:rsid w:val="00D226F4"/>
    <w:pPr>
      <w:spacing w:after="240" w:line="240" w:lineRule="auto"/>
      <w:ind w:left="5103"/>
    </w:pPr>
    <w:rPr>
      <w:rFonts w:eastAsia="Calibri"/>
    </w:rPr>
  </w:style>
  <w:style w:type="paragraph" w:styleId="Pagedecouverture" w:customStyle="1">
    <w:name w:val="Page de couverture"/>
    <w:basedOn w:val="Normal"/>
    <w:next w:val="Normal"/>
    <w:rsid w:val="00D226F4"/>
    <w:pPr>
      <w:spacing w:after="0" w:line="240" w:lineRule="auto"/>
      <w:jc w:val="both"/>
    </w:pPr>
    <w:rPr>
      <w:rFonts w:eastAsia="Calibri"/>
    </w:rPr>
  </w:style>
  <w:style w:type="paragraph" w:styleId="Declassification" w:customStyle="1">
    <w:name w:val="Declassification"/>
    <w:basedOn w:val="Normal"/>
    <w:next w:val="Normal"/>
    <w:rsid w:val="00D226F4"/>
    <w:pPr>
      <w:spacing w:after="0" w:line="240" w:lineRule="auto"/>
      <w:jc w:val="both"/>
    </w:pPr>
    <w:rPr>
      <w:rFonts w:eastAsia="Calibri"/>
    </w:rPr>
  </w:style>
  <w:style w:type="paragraph" w:styleId="Disclaimer" w:customStyle="1">
    <w:name w:val="Disclaimer"/>
    <w:basedOn w:val="Normal"/>
    <w:rsid w:val="00D226F4"/>
    <w:pPr>
      <w:framePr w:w="8220" w:wrap="notBeside" w:hAnchor="margin" w:xAlign="center" w:y="10401"/>
      <w:pBdr>
        <w:top w:val="single" w:color="auto" w:sz="6" w:space="4"/>
        <w:left w:val="single" w:color="auto" w:sz="6" w:space="7"/>
        <w:bottom w:val="single" w:color="auto" w:sz="6" w:space="4"/>
        <w:right w:val="single" w:color="auto" w:sz="6" w:space="7"/>
      </w:pBdr>
      <w:shd w:val="clear" w:color="FFFFFF" w:fill="auto"/>
      <w:spacing w:line="240" w:lineRule="auto"/>
      <w:jc w:val="both"/>
    </w:pPr>
    <w:rPr>
      <w:rFonts w:eastAsia="Calibri"/>
    </w:rPr>
  </w:style>
  <w:style w:type="paragraph" w:styleId="SecurityMarking" w:customStyle="1">
    <w:name w:val="SecurityMarking"/>
    <w:basedOn w:val="Normal"/>
    <w:rsid w:val="00D226F4"/>
    <w:pPr>
      <w:spacing w:before="0" w:after="0" w:line="276" w:lineRule="auto"/>
      <w:ind w:left="5103"/>
    </w:pPr>
    <w:rPr>
      <w:sz w:val="28"/>
    </w:rPr>
  </w:style>
  <w:style w:type="paragraph" w:styleId="DateMarking" w:customStyle="1">
    <w:name w:val="DateMarking"/>
    <w:basedOn w:val="Normal"/>
    <w:rsid w:val="00D226F4"/>
    <w:pPr>
      <w:spacing w:before="0" w:after="0" w:line="276" w:lineRule="auto"/>
      <w:ind w:left="5103"/>
    </w:pPr>
    <w:rPr>
      <w:i/>
      <w:sz w:val="28"/>
    </w:rPr>
  </w:style>
  <w:style w:type="paragraph" w:styleId="ReleasableTo" w:customStyle="1">
    <w:name w:val="ReleasableTo"/>
    <w:basedOn w:val="Normal"/>
    <w:rsid w:val="00D226F4"/>
    <w:pPr>
      <w:spacing w:before="0" w:after="0" w:line="276" w:lineRule="auto"/>
      <w:ind w:left="5103"/>
    </w:pPr>
    <w:rPr>
      <w:i/>
      <w:sz w:val="28"/>
    </w:rPr>
  </w:style>
  <w:style w:type="paragraph" w:styleId="Annexetitreexpos" w:customStyle="1">
    <w:name w:val="Annexe titre (exposé)"/>
    <w:basedOn w:val="Normal"/>
    <w:next w:val="Normal"/>
    <w:rsid w:val="00D226F4"/>
    <w:pPr>
      <w:spacing w:line="240" w:lineRule="auto"/>
      <w:jc w:val="center"/>
    </w:pPr>
    <w:rPr>
      <w:rFonts w:eastAsia="Calibri"/>
      <w:b/>
      <w:u w:val="single"/>
    </w:rPr>
  </w:style>
  <w:style w:type="paragraph" w:styleId="Annexetitre" w:customStyle="1">
    <w:name w:val="Annexe titre"/>
    <w:basedOn w:val="Normal"/>
    <w:next w:val="Normal"/>
    <w:rsid w:val="00D226F4"/>
    <w:pPr>
      <w:spacing w:line="240" w:lineRule="auto"/>
      <w:jc w:val="center"/>
    </w:pPr>
    <w:rPr>
      <w:rFonts w:eastAsia="Calibri"/>
      <w:b/>
      <w:u w:val="single"/>
    </w:rPr>
  </w:style>
  <w:style w:type="paragraph" w:styleId="Annexetitrefichefinancire" w:customStyle="1">
    <w:name w:val="Annexe titre (fiche financière)"/>
    <w:basedOn w:val="Normal"/>
    <w:next w:val="Normal"/>
    <w:rsid w:val="00D226F4"/>
    <w:pPr>
      <w:spacing w:line="240" w:lineRule="auto"/>
      <w:jc w:val="center"/>
    </w:pPr>
    <w:rPr>
      <w:rFonts w:eastAsia="Calibri"/>
      <w:b/>
      <w:u w:val="single"/>
    </w:rPr>
  </w:style>
  <w:style w:type="paragraph" w:styleId="Applicationdirecte" w:customStyle="1">
    <w:name w:val="Application directe"/>
    <w:basedOn w:val="Normal"/>
    <w:next w:val="Fait"/>
    <w:rsid w:val="00D226F4"/>
    <w:pPr>
      <w:spacing w:before="480" w:line="240" w:lineRule="auto"/>
      <w:jc w:val="both"/>
    </w:pPr>
    <w:rPr>
      <w:rFonts w:eastAsia="Calibri"/>
    </w:rPr>
  </w:style>
  <w:style w:type="paragraph" w:styleId="Avertissementtitre" w:customStyle="1">
    <w:name w:val="Avertissement titre"/>
    <w:basedOn w:val="Normal"/>
    <w:next w:val="Normal"/>
    <w:rsid w:val="00D226F4"/>
    <w:pPr>
      <w:keepNext/>
      <w:spacing w:before="480" w:line="240" w:lineRule="auto"/>
      <w:jc w:val="both"/>
    </w:pPr>
    <w:rPr>
      <w:rFonts w:eastAsia="Calibri"/>
      <w:u w:val="single"/>
    </w:rPr>
  </w:style>
  <w:style w:type="paragraph" w:styleId="Confidence" w:customStyle="1">
    <w:name w:val="Confidence"/>
    <w:basedOn w:val="Normal"/>
    <w:next w:val="Normal"/>
    <w:rsid w:val="00D226F4"/>
    <w:pPr>
      <w:spacing w:before="360" w:line="240" w:lineRule="auto"/>
      <w:jc w:val="center"/>
    </w:pPr>
    <w:rPr>
      <w:rFonts w:eastAsia="Calibri"/>
    </w:rPr>
  </w:style>
  <w:style w:type="paragraph" w:styleId="Confidentialit" w:customStyle="1">
    <w:name w:val="Confidentialité"/>
    <w:basedOn w:val="Normal"/>
    <w:next w:val="TypedudocumentPagedecouverture"/>
    <w:rsid w:val="00D226F4"/>
    <w:pPr>
      <w:spacing w:before="240" w:after="240" w:line="240" w:lineRule="auto"/>
      <w:ind w:left="5103"/>
    </w:pPr>
    <w:rPr>
      <w:rFonts w:eastAsia="Calibri"/>
      <w:i/>
      <w:sz w:val="32"/>
    </w:rPr>
  </w:style>
  <w:style w:type="paragraph" w:styleId="Considrant" w:customStyle="1">
    <w:name w:val="Considérant"/>
    <w:basedOn w:val="Normal"/>
    <w:rsid w:val="00D226F4"/>
    <w:pPr>
      <w:tabs>
        <w:tab w:val="num" w:pos="709"/>
      </w:tabs>
      <w:spacing w:line="240" w:lineRule="auto"/>
      <w:ind w:left="709" w:hanging="709"/>
      <w:jc w:val="both"/>
    </w:pPr>
    <w:rPr>
      <w:rFonts w:eastAsia="Calibri"/>
    </w:rPr>
  </w:style>
  <w:style w:type="paragraph" w:styleId="Corrigendum" w:customStyle="1">
    <w:name w:val="Corrigendum"/>
    <w:basedOn w:val="Normal"/>
    <w:next w:val="Normal"/>
    <w:rsid w:val="00D226F4"/>
    <w:pPr>
      <w:spacing w:after="240" w:line="240" w:lineRule="auto"/>
    </w:pPr>
    <w:rPr>
      <w:rFonts w:eastAsia="Calibri"/>
    </w:rPr>
  </w:style>
  <w:style w:type="paragraph" w:styleId="Datedadoption" w:customStyle="1">
    <w:name w:val="Date d'adoption"/>
    <w:basedOn w:val="Normal"/>
    <w:next w:val="IntrtEEE"/>
    <w:rsid w:val="00D226F4"/>
    <w:pPr>
      <w:spacing w:before="360" w:after="0" w:line="240" w:lineRule="auto"/>
      <w:jc w:val="center"/>
    </w:pPr>
    <w:rPr>
      <w:rFonts w:eastAsia="Calibri"/>
      <w:b/>
    </w:rPr>
  </w:style>
  <w:style w:type="paragraph" w:styleId="Exposdesmotifstitre" w:customStyle="1">
    <w:name w:val="Exposé des motifs titre"/>
    <w:basedOn w:val="Normal"/>
    <w:next w:val="Normal"/>
    <w:rsid w:val="00D226F4"/>
    <w:pPr>
      <w:spacing w:line="240" w:lineRule="auto"/>
      <w:jc w:val="center"/>
    </w:pPr>
    <w:rPr>
      <w:rFonts w:eastAsia="Calibri"/>
      <w:b/>
      <w:u w:val="single"/>
    </w:rPr>
  </w:style>
  <w:style w:type="paragraph" w:styleId="Fait" w:customStyle="1">
    <w:name w:val="Fait à"/>
    <w:basedOn w:val="Normal"/>
    <w:next w:val="Institutionquisigne"/>
    <w:rsid w:val="00D226F4"/>
    <w:pPr>
      <w:keepNext/>
      <w:spacing w:after="0" w:line="240" w:lineRule="auto"/>
      <w:jc w:val="both"/>
    </w:pPr>
    <w:rPr>
      <w:rFonts w:eastAsia="Calibri"/>
    </w:rPr>
  </w:style>
  <w:style w:type="paragraph" w:styleId="Formuledadoption" w:customStyle="1">
    <w:name w:val="Formule d'adoption"/>
    <w:basedOn w:val="Normal"/>
    <w:next w:val="Titrearticle"/>
    <w:rsid w:val="00D226F4"/>
    <w:pPr>
      <w:keepNext/>
      <w:spacing w:line="240" w:lineRule="auto"/>
      <w:jc w:val="both"/>
    </w:pPr>
    <w:rPr>
      <w:rFonts w:eastAsia="Calibri"/>
    </w:rPr>
  </w:style>
  <w:style w:type="paragraph" w:styleId="Institutionquiagit" w:customStyle="1">
    <w:name w:val="Institution qui agit"/>
    <w:basedOn w:val="Normal"/>
    <w:next w:val="Normal"/>
    <w:rsid w:val="00D226F4"/>
    <w:pPr>
      <w:keepNext/>
      <w:spacing w:before="600" w:line="240" w:lineRule="auto"/>
      <w:jc w:val="both"/>
    </w:pPr>
    <w:rPr>
      <w:rFonts w:eastAsia="Calibri"/>
    </w:rPr>
  </w:style>
  <w:style w:type="paragraph" w:styleId="Institutionquisigne" w:customStyle="1">
    <w:name w:val="Institution qui signe"/>
    <w:basedOn w:val="Normal"/>
    <w:next w:val="Personnequisigne"/>
    <w:rsid w:val="00D226F4"/>
    <w:pPr>
      <w:keepNext/>
      <w:tabs>
        <w:tab w:val="left" w:pos="4252"/>
      </w:tabs>
      <w:spacing w:before="720" w:after="0" w:line="240" w:lineRule="auto"/>
      <w:jc w:val="both"/>
    </w:pPr>
    <w:rPr>
      <w:rFonts w:eastAsia="Calibri"/>
      <w:i/>
    </w:rPr>
  </w:style>
  <w:style w:type="paragraph" w:styleId="ManualConsidrant" w:customStyle="1">
    <w:name w:val="Manual Considérant"/>
    <w:basedOn w:val="Normal"/>
    <w:rsid w:val="00D226F4"/>
    <w:pPr>
      <w:spacing w:line="240" w:lineRule="auto"/>
      <w:ind w:left="709" w:hanging="709"/>
      <w:jc w:val="both"/>
    </w:pPr>
    <w:rPr>
      <w:rFonts w:eastAsia="Calibri"/>
    </w:rPr>
  </w:style>
  <w:style w:type="paragraph" w:styleId="Personnequisigne" w:customStyle="1">
    <w:name w:val="Personne qui signe"/>
    <w:basedOn w:val="Normal"/>
    <w:next w:val="Institutionquisigne"/>
    <w:rsid w:val="00D226F4"/>
    <w:pPr>
      <w:tabs>
        <w:tab w:val="left" w:pos="4252"/>
      </w:tabs>
      <w:spacing w:after="0" w:line="240" w:lineRule="auto"/>
    </w:pPr>
    <w:rPr>
      <w:rFonts w:eastAsia="Calibri"/>
      <w:i/>
    </w:rPr>
  </w:style>
  <w:style w:type="paragraph" w:styleId="Rfrenceinterinstitutionnelle" w:customStyle="1">
    <w:name w:val="Référence interinstitutionnelle"/>
    <w:basedOn w:val="Normal"/>
    <w:next w:val="Statut"/>
    <w:rsid w:val="00D226F4"/>
    <w:pPr>
      <w:spacing w:after="0" w:line="240" w:lineRule="auto"/>
      <w:ind w:left="5103"/>
    </w:pPr>
    <w:rPr>
      <w:rFonts w:eastAsia="Calibri"/>
    </w:rPr>
  </w:style>
  <w:style w:type="paragraph" w:styleId="Rfrenceinterne" w:customStyle="1">
    <w:name w:val="Référence interne"/>
    <w:basedOn w:val="Normal"/>
    <w:next w:val="Rfrenceinterinstitutionnelle"/>
    <w:rsid w:val="00D226F4"/>
    <w:pPr>
      <w:spacing w:after="0" w:line="240" w:lineRule="auto"/>
      <w:ind w:left="5103"/>
    </w:pPr>
    <w:rPr>
      <w:rFonts w:eastAsia="Calibri"/>
    </w:rPr>
  </w:style>
  <w:style w:type="paragraph" w:styleId="Statut" w:customStyle="1">
    <w:name w:val="Statut"/>
    <w:basedOn w:val="Normal"/>
    <w:next w:val="Typedudocument"/>
    <w:rsid w:val="00D226F4"/>
    <w:pPr>
      <w:spacing w:after="240" w:line="240" w:lineRule="auto"/>
      <w:jc w:val="center"/>
    </w:pPr>
    <w:rPr>
      <w:rFonts w:eastAsia="Calibri"/>
    </w:rPr>
  </w:style>
  <w:style w:type="paragraph" w:styleId="Titrearticle" w:customStyle="1">
    <w:name w:val="Titre article"/>
    <w:basedOn w:val="Normal"/>
    <w:next w:val="Normal"/>
    <w:rsid w:val="00D226F4"/>
    <w:pPr>
      <w:keepNext/>
      <w:spacing w:before="360" w:line="240" w:lineRule="auto"/>
      <w:jc w:val="center"/>
    </w:pPr>
    <w:rPr>
      <w:rFonts w:eastAsia="Calibri"/>
      <w:i/>
    </w:rPr>
  </w:style>
  <w:style w:type="paragraph" w:styleId="Typedudocument" w:customStyle="1">
    <w:name w:val="Type du document"/>
    <w:basedOn w:val="Normal"/>
    <w:next w:val="Accompagnant"/>
    <w:rsid w:val="00D226F4"/>
    <w:pPr>
      <w:spacing w:before="360" w:after="180" w:line="240" w:lineRule="auto"/>
      <w:jc w:val="center"/>
    </w:pPr>
    <w:rPr>
      <w:rFonts w:eastAsia="Calibri"/>
      <w:b/>
    </w:rPr>
  </w:style>
  <w:style w:type="character" w:styleId="Added" w:customStyle="1">
    <w:name w:val="Added"/>
    <w:rsid w:val="00D226F4"/>
    <w:rPr>
      <w:b/>
      <w:u w:val="single"/>
      <w:shd w:val="clear" w:color="auto" w:fill="auto"/>
    </w:rPr>
  </w:style>
  <w:style w:type="character" w:styleId="Deleted" w:customStyle="1">
    <w:name w:val="Deleted"/>
    <w:rsid w:val="00D226F4"/>
    <w:rPr>
      <w:strike/>
      <w:dstrike w:val="0"/>
      <w:shd w:val="clear" w:color="auto" w:fill="auto"/>
    </w:rPr>
  </w:style>
  <w:style w:type="paragraph" w:styleId="Address" w:customStyle="1">
    <w:name w:val="Address"/>
    <w:basedOn w:val="Normal"/>
    <w:next w:val="Normal"/>
    <w:rsid w:val="00D226F4"/>
    <w:pPr>
      <w:keepLines/>
      <w:ind w:left="3402"/>
    </w:pPr>
    <w:rPr>
      <w:rFonts w:eastAsia="Calibri"/>
    </w:rPr>
  </w:style>
  <w:style w:type="paragraph" w:styleId="Objetexterne" w:customStyle="1">
    <w:name w:val="Objet externe"/>
    <w:basedOn w:val="Normal"/>
    <w:next w:val="Normal"/>
    <w:rsid w:val="00D226F4"/>
    <w:pPr>
      <w:spacing w:line="240" w:lineRule="auto"/>
      <w:jc w:val="both"/>
    </w:pPr>
    <w:rPr>
      <w:rFonts w:eastAsia="Calibri"/>
      <w:i/>
      <w:caps/>
    </w:rPr>
  </w:style>
  <w:style w:type="paragraph" w:styleId="Supertitre" w:customStyle="1">
    <w:name w:val="Supertitre"/>
    <w:basedOn w:val="Normal"/>
    <w:next w:val="Normal"/>
    <w:rsid w:val="00D226F4"/>
    <w:pPr>
      <w:spacing w:after="600" w:line="240" w:lineRule="auto"/>
      <w:jc w:val="center"/>
    </w:pPr>
    <w:rPr>
      <w:rFonts w:eastAsia="Calibri"/>
      <w:b/>
    </w:rPr>
  </w:style>
  <w:style w:type="paragraph" w:styleId="Languesfaisantfoi" w:customStyle="1">
    <w:name w:val="Langues faisant foi"/>
    <w:basedOn w:val="Normal"/>
    <w:next w:val="Normal"/>
    <w:rsid w:val="00D226F4"/>
    <w:pPr>
      <w:spacing w:before="360" w:after="0" w:line="240" w:lineRule="auto"/>
      <w:jc w:val="center"/>
    </w:pPr>
    <w:rPr>
      <w:rFonts w:eastAsia="Calibri"/>
    </w:rPr>
  </w:style>
  <w:style w:type="paragraph" w:styleId="Rfrencecroise" w:customStyle="1">
    <w:name w:val="Référence croisée"/>
    <w:basedOn w:val="Normal"/>
    <w:rsid w:val="00D226F4"/>
    <w:pPr>
      <w:spacing w:after="0" w:line="240" w:lineRule="auto"/>
      <w:jc w:val="center"/>
    </w:pPr>
    <w:rPr>
      <w:rFonts w:eastAsia="Calibri"/>
    </w:rPr>
  </w:style>
  <w:style w:type="paragraph" w:styleId="Fichefinanciretitre" w:customStyle="1">
    <w:name w:val="Fiche financière titre"/>
    <w:basedOn w:val="Normal"/>
    <w:next w:val="Normal"/>
    <w:rsid w:val="00D226F4"/>
    <w:pPr>
      <w:spacing w:line="240" w:lineRule="auto"/>
      <w:jc w:val="center"/>
    </w:pPr>
    <w:rPr>
      <w:rFonts w:eastAsia="Calibri"/>
      <w:b/>
      <w:u w:val="single"/>
    </w:rPr>
  </w:style>
  <w:style w:type="paragraph" w:styleId="DatedadoptionPagedecouverture" w:customStyle="1">
    <w:name w:val="Date d'adoption (Page de couverture)"/>
    <w:basedOn w:val="Datedadoption"/>
    <w:next w:val="IntrtEEEPagedecouverture"/>
    <w:rsid w:val="00D226F4"/>
  </w:style>
  <w:style w:type="paragraph" w:styleId="RfrenceinterinstitutionnellePagedecouverture" w:customStyle="1">
    <w:name w:val="Référence interinstitutionnelle (Page de couverture)"/>
    <w:basedOn w:val="Rfrenceinterinstitutionnelle"/>
    <w:next w:val="Confidentialit"/>
    <w:rsid w:val="00D226F4"/>
  </w:style>
  <w:style w:type="paragraph" w:styleId="StatutPagedecouverture" w:customStyle="1">
    <w:name w:val="Statut (Page de couverture)"/>
    <w:basedOn w:val="Statut"/>
    <w:next w:val="TypedudocumentPagedecouverture"/>
    <w:rsid w:val="00D226F4"/>
  </w:style>
  <w:style w:type="paragraph" w:styleId="TypedudocumentPagedecouverture" w:customStyle="1">
    <w:name w:val="Type du document (Page de couverture)"/>
    <w:basedOn w:val="Typedudocument"/>
    <w:next w:val="AccompagnantPagedecouverture"/>
    <w:rsid w:val="00D226F4"/>
  </w:style>
  <w:style w:type="paragraph" w:styleId="Volume" w:customStyle="1">
    <w:name w:val="Volume"/>
    <w:basedOn w:val="Normal"/>
    <w:next w:val="Confidentialit"/>
    <w:rsid w:val="00D226F4"/>
    <w:pPr>
      <w:spacing w:after="240" w:line="240" w:lineRule="auto"/>
      <w:ind w:left="5103"/>
    </w:pPr>
    <w:rPr>
      <w:rFonts w:eastAsia="Calibri"/>
    </w:rPr>
  </w:style>
  <w:style w:type="paragraph" w:styleId="IntrtEEE" w:customStyle="1">
    <w:name w:val="Intérêt EEE"/>
    <w:basedOn w:val="Languesfaisantfoi"/>
    <w:next w:val="Normal"/>
    <w:rsid w:val="00D226F4"/>
    <w:pPr>
      <w:spacing w:after="240"/>
    </w:pPr>
  </w:style>
  <w:style w:type="paragraph" w:styleId="Accompagnant" w:customStyle="1">
    <w:name w:val="Accompagnant"/>
    <w:basedOn w:val="Normal"/>
    <w:next w:val="Typeacteprincipal"/>
    <w:rsid w:val="00D226F4"/>
    <w:pPr>
      <w:spacing w:before="180" w:after="240" w:line="240" w:lineRule="auto"/>
      <w:jc w:val="center"/>
    </w:pPr>
    <w:rPr>
      <w:rFonts w:eastAsia="Calibri"/>
      <w:b/>
    </w:rPr>
  </w:style>
  <w:style w:type="paragraph" w:styleId="Typeacteprincipal" w:customStyle="1">
    <w:name w:val="Type acte principal"/>
    <w:basedOn w:val="Normal"/>
    <w:next w:val="Objetacteprincipal"/>
    <w:rsid w:val="00D226F4"/>
    <w:pPr>
      <w:spacing w:after="240" w:line="240" w:lineRule="auto"/>
      <w:jc w:val="center"/>
    </w:pPr>
    <w:rPr>
      <w:rFonts w:eastAsia="Calibri"/>
      <w:b/>
    </w:rPr>
  </w:style>
  <w:style w:type="paragraph" w:styleId="Objetacteprincipal" w:customStyle="1">
    <w:name w:val="Objet acte principal"/>
    <w:basedOn w:val="Normal"/>
    <w:next w:val="Titrearticle"/>
    <w:rsid w:val="00D226F4"/>
    <w:pPr>
      <w:spacing w:after="360" w:line="240" w:lineRule="auto"/>
      <w:jc w:val="center"/>
    </w:pPr>
    <w:rPr>
      <w:rFonts w:eastAsia="Calibri"/>
      <w:b/>
    </w:rPr>
  </w:style>
  <w:style w:type="paragraph" w:styleId="IntrtEEEPagedecouverture" w:customStyle="1">
    <w:name w:val="Intérêt EEE (Page de couverture)"/>
    <w:basedOn w:val="IntrtEEE"/>
    <w:next w:val="Rfrencecroise"/>
    <w:rsid w:val="00D226F4"/>
  </w:style>
  <w:style w:type="paragraph" w:styleId="AccompagnantPagedecouverture" w:customStyle="1">
    <w:name w:val="Accompagnant (Page de couverture)"/>
    <w:basedOn w:val="Accompagnant"/>
    <w:next w:val="TypeacteprincipalPagedecouverture"/>
    <w:rsid w:val="00D226F4"/>
  </w:style>
  <w:style w:type="paragraph" w:styleId="TypeacteprincipalPagedecouverture" w:customStyle="1">
    <w:name w:val="Type acte principal (Page de couverture)"/>
    <w:basedOn w:val="Typeacteprincipal"/>
    <w:next w:val="ObjetacteprincipalPagedecouverture"/>
    <w:rsid w:val="00D226F4"/>
  </w:style>
  <w:style w:type="paragraph" w:styleId="ObjetacteprincipalPagedecouverture" w:customStyle="1">
    <w:name w:val="Objet acte principal (Page de couverture)"/>
    <w:basedOn w:val="Objetacteprincipal"/>
    <w:next w:val="Rfrencecroise"/>
    <w:rsid w:val="00D226F4"/>
  </w:style>
  <w:style w:type="paragraph" w:styleId="LanguesfaisantfoiPagedecouverture" w:customStyle="1">
    <w:name w:val="Langues faisant foi (Page de couverture)"/>
    <w:basedOn w:val="Normal"/>
    <w:next w:val="Normal"/>
    <w:rsid w:val="00D226F4"/>
    <w:pPr>
      <w:spacing w:before="360" w:after="0" w:line="240" w:lineRule="auto"/>
      <w:jc w:val="center"/>
    </w:pPr>
    <w:rPr>
      <w:rFonts w:eastAsia="Calibri"/>
    </w:rPr>
  </w:style>
  <w:style w:type="character" w:styleId="FollowedHyperlink">
    <w:name w:val="FollowedHyperlink"/>
    <w:uiPriority w:val="99"/>
    <w:semiHidden/>
    <w:unhideWhenUsed/>
    <w:rsid w:val="00D226F4"/>
    <w:rPr>
      <w:color w:val="954F72"/>
      <w:u w:val="single"/>
    </w:rPr>
  </w:style>
  <w:style w:type="paragraph" w:styleId="msonormal0" w:customStyle="1">
    <w:name w:val="msonormal"/>
    <w:basedOn w:val="Normal"/>
    <w:rsid w:val="00D226F4"/>
    <w:pPr>
      <w:spacing w:before="100" w:beforeAutospacing="1" w:after="100" w:afterAutospacing="1" w:line="240" w:lineRule="auto"/>
    </w:pPr>
    <w:rPr>
      <w:rFonts w:eastAsia="Times New Roman"/>
      <w:szCs w:val="24"/>
      <w:lang w:val="en-US"/>
    </w:rPr>
  </w:style>
  <w:style w:type="paragraph" w:styleId="xl68" w:customStyle="1">
    <w:name w:val="xl68"/>
    <w:basedOn w:val="Normal"/>
    <w:rsid w:val="00D226F4"/>
    <w:pPr>
      <w:pBdr>
        <w:top w:val="single" w:color="auto" w:sz="4" w:space="0"/>
        <w:left w:val="single" w:color="auto" w:sz="4" w:space="0"/>
        <w:bottom w:val="single" w:color="auto" w:sz="4" w:space="0"/>
        <w:right w:val="single" w:color="auto" w:sz="4" w:space="0"/>
      </w:pBdr>
      <w:shd w:val="clear" w:color="B4C7E7" w:fill="BDD7EE"/>
      <w:spacing w:before="100" w:beforeAutospacing="1" w:after="100" w:afterAutospacing="1" w:line="240" w:lineRule="auto"/>
      <w:textAlignment w:val="center"/>
    </w:pPr>
    <w:rPr>
      <w:rFonts w:eastAsia="Times New Roman"/>
      <w:b/>
      <w:bCs/>
      <w:szCs w:val="24"/>
      <w:lang w:val="en-US"/>
    </w:rPr>
  </w:style>
  <w:style w:type="paragraph" w:styleId="xl69" w:customStyle="1">
    <w:name w:val="xl69"/>
    <w:basedOn w:val="Normal"/>
    <w:rsid w:val="00D226F4"/>
    <w:pPr>
      <w:spacing w:before="100" w:beforeAutospacing="1" w:after="100" w:afterAutospacing="1" w:line="240" w:lineRule="auto"/>
    </w:pPr>
    <w:rPr>
      <w:rFonts w:eastAsia="Times New Roman"/>
      <w:color w:val="000000"/>
      <w:szCs w:val="24"/>
      <w:lang w:val="en-US"/>
    </w:rPr>
  </w:style>
  <w:style w:type="paragraph" w:styleId="xl70" w:customStyle="1">
    <w:name w:val="xl70"/>
    <w:basedOn w:val="Normal"/>
    <w:rsid w:val="00D226F4"/>
    <w:pPr>
      <w:pBdr>
        <w:top w:val="single" w:color="auto" w:sz="4" w:space="0"/>
        <w:left w:val="single" w:color="auto" w:sz="4" w:space="0"/>
        <w:bottom w:val="single" w:color="auto" w:sz="4" w:space="0"/>
        <w:right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1" w:customStyle="1">
    <w:name w:val="xl71"/>
    <w:basedOn w:val="Normal"/>
    <w:rsid w:val="00D226F4"/>
    <w:pPr>
      <w:pBdr>
        <w:top w:val="single" w:color="auto" w:sz="4" w:space="0"/>
        <w:left w:val="single" w:color="auto" w:sz="4" w:space="0"/>
        <w:bottom w:val="single" w:color="auto" w:sz="4" w:space="0"/>
        <w:right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2" w:customStyle="1">
    <w:name w:val="xl72"/>
    <w:basedOn w:val="Normal"/>
    <w:rsid w:val="00D226F4"/>
    <w:pPr>
      <w:pBdr>
        <w:top w:val="single" w:color="auto" w:sz="4" w:space="0"/>
        <w:left w:val="single" w:color="auto" w:sz="4" w:space="0"/>
        <w:right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3" w:customStyle="1">
    <w:name w:val="xl73"/>
    <w:basedOn w:val="Normal"/>
    <w:rsid w:val="00D226F4"/>
    <w:pPr>
      <w:pBdr>
        <w:top w:val="single" w:color="auto" w:sz="4" w:space="0"/>
        <w:right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4" w:customStyle="1">
    <w:name w:val="xl74"/>
    <w:basedOn w:val="Normal"/>
    <w:rsid w:val="00D226F4"/>
    <w:pPr>
      <w:pBdr>
        <w:top w:val="single" w:color="auto" w:sz="4" w:space="0"/>
        <w:left w:val="single" w:color="auto" w:sz="4" w:space="0"/>
        <w:bottom w:val="single" w:color="auto" w:sz="4" w:space="0"/>
        <w:right w:val="single" w:color="auto" w:sz="4" w:space="0"/>
      </w:pBdr>
      <w:shd w:val="clear" w:color="CCFFCC" w:fill="C6EFCE"/>
      <w:spacing w:before="100" w:beforeAutospacing="1" w:after="100" w:afterAutospacing="1" w:line="240" w:lineRule="auto"/>
    </w:pPr>
    <w:rPr>
      <w:rFonts w:eastAsia="Times New Roman"/>
      <w:color w:val="006100"/>
      <w:szCs w:val="24"/>
      <w:lang w:val="en-US"/>
    </w:rPr>
  </w:style>
  <w:style w:type="paragraph" w:styleId="xl75" w:customStyle="1">
    <w:name w:val="xl75"/>
    <w:basedOn w:val="Normal"/>
    <w:rsid w:val="00D226F4"/>
    <w:pPr>
      <w:pBdr>
        <w:top w:val="single" w:color="auto" w:sz="4" w:space="0"/>
        <w:left w:val="single" w:color="auto" w:sz="4" w:space="0"/>
        <w:bottom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6" w:customStyle="1">
    <w:name w:val="xl76"/>
    <w:basedOn w:val="Normal"/>
    <w:rsid w:val="00D226F4"/>
    <w:pPr>
      <w:pBdr>
        <w:top w:val="single" w:color="auto" w:sz="4" w:space="0"/>
        <w:bottom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7" w:customStyle="1">
    <w:name w:val="xl77"/>
    <w:basedOn w:val="Normal"/>
    <w:rsid w:val="00D226F4"/>
    <w:pPr>
      <w:pBdr>
        <w:top w:val="single" w:color="auto" w:sz="4" w:space="0"/>
        <w:bottom w:val="single" w:color="auto" w:sz="4" w:space="0"/>
        <w:right w:val="single" w:color="auto" w:sz="4" w:space="0"/>
      </w:pBdr>
      <w:shd w:val="clear" w:color="B4C7E7" w:fill="BDD7EE"/>
      <w:spacing w:before="100" w:beforeAutospacing="1" w:after="100" w:afterAutospacing="1" w:line="240" w:lineRule="auto"/>
      <w:jc w:val="center"/>
      <w:textAlignment w:val="center"/>
    </w:pPr>
    <w:rPr>
      <w:rFonts w:eastAsia="Times New Roman"/>
      <w:b/>
      <w:bCs/>
      <w:szCs w:val="24"/>
      <w:lang w:val="en-US"/>
    </w:rPr>
  </w:style>
  <w:style w:type="paragraph" w:styleId="xl78" w:customStyle="1">
    <w:name w:val="xl78"/>
    <w:basedOn w:val="Normal"/>
    <w:rsid w:val="00D226F4"/>
    <w:pPr>
      <w:spacing w:before="100" w:beforeAutospacing="1" w:after="100" w:afterAutospacing="1" w:line="240" w:lineRule="auto"/>
    </w:pPr>
    <w:rPr>
      <w:rFonts w:eastAsia="Times New Roman"/>
      <w:color w:val="000000"/>
      <w:szCs w:val="24"/>
      <w:lang w:val="en-US"/>
    </w:rPr>
  </w:style>
  <w:style w:type="paragraph" w:styleId="xl79" w:customStyle="1">
    <w:name w:val="xl79"/>
    <w:basedOn w:val="Normal"/>
    <w:rsid w:val="00D226F4"/>
    <w:pPr>
      <w:pBdr>
        <w:left w:val="single" w:color="auto" w:sz="4" w:space="0"/>
        <w:bottom w:val="single" w:color="auto" w:sz="4" w:space="0"/>
        <w:right w:val="single" w:color="auto" w:sz="4" w:space="0"/>
      </w:pBdr>
      <w:shd w:val="clear" w:color="CCFFCC" w:fill="C6EFCE"/>
      <w:spacing w:before="100" w:beforeAutospacing="1" w:after="100" w:afterAutospacing="1" w:line="240" w:lineRule="auto"/>
      <w:jc w:val="center"/>
    </w:pPr>
    <w:rPr>
      <w:rFonts w:eastAsia="Times New Roman"/>
      <w:color w:val="006100"/>
      <w:szCs w:val="24"/>
      <w:lang w:val="en-US"/>
    </w:rPr>
  </w:style>
  <w:style w:type="paragraph" w:styleId="xl80" w:customStyle="1">
    <w:name w:val="xl80"/>
    <w:basedOn w:val="Normal"/>
    <w:rsid w:val="00D226F4"/>
    <w:pPr>
      <w:pBdr>
        <w:left w:val="single" w:color="auto" w:sz="4" w:space="0"/>
        <w:bottom w:val="single" w:color="auto" w:sz="4" w:space="0"/>
        <w:right w:val="single" w:color="auto" w:sz="4" w:space="0"/>
      </w:pBdr>
      <w:shd w:val="clear" w:color="CCFFCC" w:fill="C6EFCE"/>
      <w:spacing w:before="100" w:beforeAutospacing="1" w:after="100" w:afterAutospacing="1" w:line="240" w:lineRule="auto"/>
    </w:pPr>
    <w:rPr>
      <w:rFonts w:eastAsia="Times New Roman"/>
      <w:color w:val="006100"/>
      <w:szCs w:val="24"/>
      <w:lang w:val="en-US"/>
    </w:rPr>
  </w:style>
  <w:style w:type="paragraph" w:styleId="xl81" w:customStyle="1">
    <w:name w:val="xl81"/>
    <w:basedOn w:val="Normal"/>
    <w:rsid w:val="00D226F4"/>
    <w:pPr>
      <w:pBdr>
        <w:top w:val="single" w:color="auto" w:sz="4" w:space="0"/>
        <w:left w:val="single" w:color="auto" w:sz="4" w:space="0"/>
        <w:bottom w:val="single" w:color="auto" w:sz="4" w:space="0"/>
        <w:right w:val="single" w:color="auto" w:sz="4" w:space="0"/>
      </w:pBdr>
      <w:shd w:val="clear" w:color="CCFFCC" w:fill="C6EFCE"/>
      <w:spacing w:before="100" w:beforeAutospacing="1" w:after="100" w:afterAutospacing="1" w:line="240" w:lineRule="auto"/>
    </w:pPr>
    <w:rPr>
      <w:rFonts w:eastAsia="Times New Roman"/>
      <w:color w:val="006100"/>
      <w:szCs w:val="24"/>
      <w:lang w:val="en-US"/>
    </w:rPr>
  </w:style>
  <w:style w:type="paragraph" w:styleId="xl82" w:customStyle="1">
    <w:name w:val="xl82"/>
    <w:basedOn w:val="Normal"/>
    <w:rsid w:val="00D226F4"/>
    <w:pPr>
      <w:pBdr>
        <w:left w:val="single" w:color="auto" w:sz="4" w:space="0"/>
        <w:bottom w:val="single" w:color="auto" w:sz="4" w:space="0"/>
        <w:right w:val="single" w:color="auto" w:sz="4" w:space="0"/>
      </w:pBdr>
      <w:shd w:val="clear" w:color="CCFFCC" w:fill="C6EFCE"/>
      <w:spacing w:before="100" w:beforeAutospacing="1" w:after="100" w:afterAutospacing="1" w:line="240" w:lineRule="auto"/>
      <w:textAlignment w:val="top"/>
    </w:pPr>
    <w:rPr>
      <w:rFonts w:eastAsia="Times New Roman"/>
      <w:color w:val="006100"/>
      <w:szCs w:val="24"/>
      <w:lang w:val="en-US"/>
    </w:rPr>
  </w:style>
  <w:style w:type="paragraph" w:styleId="xl83" w:customStyle="1">
    <w:name w:val="xl83"/>
    <w:basedOn w:val="Normal"/>
    <w:rsid w:val="00D226F4"/>
    <w:pPr>
      <w:pBdr>
        <w:top w:val="single" w:color="auto" w:sz="4" w:space="0"/>
        <w:left w:val="single" w:color="auto" w:sz="4" w:space="0"/>
        <w:bottom w:val="single" w:color="auto" w:sz="4" w:space="0"/>
        <w:right w:val="single" w:color="auto" w:sz="4" w:space="0"/>
      </w:pBdr>
      <w:shd w:val="clear" w:color="CCFFCC" w:fill="C6EFCE"/>
      <w:spacing w:before="100" w:beforeAutospacing="1" w:after="100" w:afterAutospacing="1" w:line="240" w:lineRule="auto"/>
      <w:jc w:val="center"/>
    </w:pPr>
    <w:rPr>
      <w:rFonts w:eastAsia="Times New Roman"/>
      <w:color w:val="006100"/>
      <w:szCs w:val="24"/>
      <w:lang w:val="en-US"/>
    </w:rPr>
  </w:style>
  <w:style w:type="paragraph" w:styleId="xl84" w:customStyle="1">
    <w:name w:val="xl84"/>
    <w:basedOn w:val="Normal"/>
    <w:rsid w:val="00D226F4"/>
    <w:pPr>
      <w:pBdr>
        <w:top w:val="single" w:color="auto" w:sz="4" w:space="0"/>
        <w:left w:val="single" w:color="auto" w:sz="4" w:space="0"/>
        <w:right w:val="single" w:color="auto" w:sz="4" w:space="0"/>
      </w:pBdr>
      <w:shd w:val="clear" w:color="CCFFCC" w:fill="C6EFCE"/>
      <w:spacing w:before="100" w:beforeAutospacing="1" w:after="100" w:afterAutospacing="1" w:line="240" w:lineRule="auto"/>
      <w:textAlignment w:val="top"/>
    </w:pPr>
    <w:rPr>
      <w:rFonts w:eastAsia="Times New Roman"/>
      <w:color w:val="006100"/>
      <w:szCs w:val="24"/>
      <w:lang w:val="en-US"/>
    </w:rPr>
  </w:style>
  <w:style w:type="paragraph" w:styleId="xl85" w:customStyle="1">
    <w:name w:val="xl85"/>
    <w:basedOn w:val="Normal"/>
    <w:rsid w:val="00D226F4"/>
    <w:pPr>
      <w:pBdr>
        <w:top w:val="single" w:color="auto" w:sz="4" w:space="0"/>
        <w:left w:val="single" w:color="auto" w:sz="4" w:space="0"/>
        <w:bottom w:val="single" w:color="auto" w:sz="4" w:space="0"/>
        <w:right w:val="single" w:color="auto" w:sz="4" w:space="0"/>
      </w:pBdr>
      <w:shd w:val="clear" w:color="CCFFCC" w:fill="C6EFCE"/>
      <w:spacing w:before="100" w:beforeAutospacing="1" w:after="100" w:afterAutospacing="1" w:line="240" w:lineRule="auto"/>
      <w:textAlignment w:val="top"/>
    </w:pPr>
    <w:rPr>
      <w:rFonts w:eastAsia="Times New Roman"/>
      <w:color w:val="006100"/>
      <w:szCs w:val="24"/>
      <w:lang w:val="en-US"/>
    </w:rPr>
  </w:style>
  <w:style w:type="paragraph" w:styleId="xl86" w:customStyle="1">
    <w:name w:val="xl86"/>
    <w:basedOn w:val="Normal"/>
    <w:rsid w:val="00D226F4"/>
    <w:pPr>
      <w:spacing w:before="100" w:beforeAutospacing="1" w:after="100" w:afterAutospacing="1" w:line="240" w:lineRule="auto"/>
      <w:jc w:val="center"/>
    </w:pPr>
    <w:rPr>
      <w:rFonts w:eastAsia="Times New Roman"/>
      <w:color w:val="000000"/>
      <w:szCs w:val="24"/>
      <w:lang w:val="en-US"/>
    </w:rPr>
  </w:style>
  <w:style w:type="paragraph" w:styleId="xl87" w:customStyle="1">
    <w:name w:val="xl87"/>
    <w:basedOn w:val="Normal"/>
    <w:rsid w:val="00D226F4"/>
    <w:pPr>
      <w:pBdr>
        <w:top w:val="single" w:color="auto" w:sz="4" w:space="0"/>
        <w:bottom w:val="single" w:color="auto" w:sz="4" w:space="0"/>
        <w:right w:val="single" w:color="auto" w:sz="4" w:space="0"/>
      </w:pBdr>
      <w:shd w:val="clear" w:color="B4C7E7" w:fill="BDD7EE"/>
      <w:spacing w:before="100" w:beforeAutospacing="1" w:after="100" w:afterAutospacing="1" w:line="240" w:lineRule="auto"/>
      <w:textAlignment w:val="center"/>
    </w:pPr>
    <w:rPr>
      <w:rFonts w:eastAsia="Times New Roman"/>
      <w:b/>
      <w:bCs/>
      <w:szCs w:val="24"/>
      <w:lang w:val="en-US"/>
    </w:rPr>
  </w:style>
  <w:style w:type="paragraph" w:styleId="xl88" w:customStyle="1">
    <w:name w:val="xl88"/>
    <w:basedOn w:val="Normal"/>
    <w:rsid w:val="00D226F4"/>
    <w:pPr>
      <w:spacing w:before="100" w:beforeAutospacing="1" w:after="100" w:afterAutospacing="1" w:line="240" w:lineRule="auto"/>
      <w:jc w:val="center"/>
    </w:pPr>
    <w:rPr>
      <w:rFonts w:eastAsia="Times New Roman"/>
      <w:color w:val="000000"/>
      <w:szCs w:val="24"/>
      <w:lang w:val="en-US"/>
    </w:rPr>
  </w:style>
  <w:style w:type="character" w:styleId="normaltextrun" w:customStyle="1">
    <w:name w:val="normaltextrun"/>
    <w:basedOn w:val="DefaultParagraphFont"/>
    <w:rsid w:val="00D226F4"/>
  </w:style>
  <w:style w:type="paragraph" w:styleId="paragraph" w:customStyle="1">
    <w:name w:val="paragraph"/>
    <w:basedOn w:val="Normal"/>
    <w:rsid w:val="00D226F4"/>
    <w:pPr>
      <w:spacing w:before="100" w:beforeAutospacing="1" w:after="100" w:afterAutospacing="1" w:line="240" w:lineRule="auto"/>
    </w:pPr>
    <w:rPr>
      <w:rFonts w:eastAsia="Times New Roman"/>
      <w:szCs w:val="24"/>
      <w:lang w:eastAsia="en-GB"/>
    </w:rPr>
  </w:style>
  <w:style w:type="character" w:styleId="eop" w:customStyle="1">
    <w:name w:val="eop"/>
    <w:basedOn w:val="DefaultParagraphFont"/>
    <w:rsid w:val="00D226F4"/>
  </w:style>
  <w:style w:type="character" w:styleId="tabchar" w:customStyle="1">
    <w:name w:val="tabchar"/>
    <w:basedOn w:val="DefaultParagraphFont"/>
    <w:rsid w:val="00D226F4"/>
  </w:style>
  <w:style w:type="paragraph" w:styleId="NormalWeb">
    <w:name w:val="Normal (Web)"/>
    <w:basedOn w:val="Normal"/>
    <w:uiPriority w:val="99"/>
    <w:unhideWhenUsed/>
    <w:rsid w:val="00D226F4"/>
    <w:pPr>
      <w:spacing w:line="240" w:lineRule="auto"/>
      <w:jc w:val="both"/>
    </w:pPr>
    <w:rPr>
      <w:rFonts w:eastAsia="Calibri"/>
      <w:szCs w:val="24"/>
    </w:rPr>
  </w:style>
  <w:style w:type="paragraph" w:styleId="HTMLPreformatted">
    <w:name w:val="HTML Preformatted"/>
    <w:basedOn w:val="Normal"/>
    <w:link w:val="HTMLPreformattedChar"/>
    <w:uiPriority w:val="99"/>
    <w:semiHidden/>
    <w:unhideWhenUsed/>
    <w:rsid w:val="00D22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sk-SK" w:eastAsia="sk-SK"/>
    </w:rPr>
  </w:style>
  <w:style w:type="character" w:styleId="HTMLPreformattedChar" w:customStyle="1">
    <w:name w:val="HTML Preformatted Char"/>
    <w:basedOn w:val="DefaultParagraphFont"/>
    <w:link w:val="HTMLPreformatted"/>
    <w:uiPriority w:val="99"/>
    <w:semiHidden/>
    <w:rsid w:val="00D226F4"/>
    <w:rPr>
      <w:rFonts w:ascii="Courier New" w:hAnsi="Courier New" w:eastAsia="Times New Roman" w:cs="Courier New"/>
      <w:kern w:val="0"/>
      <w:sz w:val="20"/>
      <w:szCs w:val="20"/>
      <w:lang w:val="sk-SK" w:eastAsia="sk-SK"/>
    </w:rPr>
  </w:style>
  <w:style w:type="table" w:styleId="TableGrid">
    <w:name w:val="Table Grid"/>
    <w:aliases w:val="SGS Table Basic 1,CV table"/>
    <w:basedOn w:val="TableNormal"/>
    <w:uiPriority w:val="39"/>
    <w:rsid w:val="00D226F4"/>
    <w:pPr>
      <w:spacing w:after="0" w:line="240" w:lineRule="auto"/>
    </w:pPr>
    <w:rPr>
      <w:rFonts w:ascii="Calibri" w:hAnsi="Calibri" w:eastAsia="Calibri" w:cs="Times New Roman"/>
      <w:kern w:val="0"/>
      <w:sz w:val="20"/>
      <w:szCs w:val="20"/>
      <w:lang w:val="cs-CZ" w:eastAsia="cs-CZ"/>
    </w:rPr>
    <w:tblPr/>
  </w:style>
  <w:style w:type="paragraph" w:styleId="FooterCoverPage" w:customStyle="1">
    <w:name w:val="Footer Cover Page"/>
    <w:basedOn w:val="Normal"/>
    <w:link w:val="FooterCoverPageChar"/>
    <w:rsid w:val="00E3458A"/>
    <w:pPr>
      <w:keepNext/>
      <w:tabs>
        <w:tab w:val="center" w:pos="4535"/>
        <w:tab w:val="right" w:pos="9071"/>
        <w:tab w:val="right" w:pos="9921"/>
      </w:tabs>
      <w:spacing w:before="360" w:after="0" w:line="240" w:lineRule="auto"/>
      <w:ind w:left="-850" w:right="-850"/>
      <w:outlineLvl w:val="0"/>
    </w:pPr>
  </w:style>
  <w:style w:type="character" w:styleId="FooterCoverPageChar" w:customStyle="1">
    <w:name w:val="Footer Cover Page Char"/>
    <w:link w:val="FooterCoverPage"/>
    <w:rsid w:val="00D226F4"/>
    <w:rPr>
      <w:rFonts w:ascii="Times New Roman" w:hAnsi="Times New Roman" w:cs="Times New Roman"/>
      <w:kern w:val="0"/>
      <w:sz w:val="24"/>
      <w:lang w:val="en-GB"/>
    </w:rPr>
  </w:style>
  <w:style w:type="paragraph" w:styleId="HeaderCoverPage" w:customStyle="1">
    <w:name w:val="Header Cover Page"/>
    <w:basedOn w:val="Normal"/>
    <w:link w:val="HeaderCoverPageChar"/>
    <w:rsid w:val="00E3458A"/>
    <w:pPr>
      <w:keepNext/>
      <w:tabs>
        <w:tab w:val="center" w:pos="4535"/>
        <w:tab w:val="right" w:pos="9071"/>
      </w:tabs>
      <w:spacing w:before="0" w:line="240" w:lineRule="auto"/>
      <w:jc w:val="both"/>
      <w:outlineLvl w:val="0"/>
    </w:pPr>
  </w:style>
  <w:style w:type="character" w:styleId="HeaderCoverPageChar" w:customStyle="1">
    <w:name w:val="Header Cover Page Char"/>
    <w:link w:val="HeaderCoverPage"/>
    <w:rsid w:val="00D226F4"/>
    <w:rPr>
      <w:rFonts w:ascii="Times New Roman" w:hAnsi="Times New Roman" w:cs="Times New Roman"/>
      <w:kern w:val="0"/>
      <w:sz w:val="24"/>
      <w:lang w:val="en-GB"/>
    </w:rPr>
  </w:style>
  <w:style w:type="paragraph" w:styleId="K-TextInfo" w:customStyle="1">
    <w:name w:val="K-Text_Info"/>
    <w:basedOn w:val="Normal"/>
    <w:link w:val="K-TextInfoChar"/>
    <w:qFormat/>
    <w:rsid w:val="00D226F4"/>
    <w:pPr>
      <w:autoSpaceDE w:val="0"/>
      <w:autoSpaceDN w:val="0"/>
      <w:adjustRightInd w:val="0"/>
      <w:spacing w:line="240" w:lineRule="auto"/>
      <w:jc w:val="both"/>
    </w:pPr>
    <w:rPr>
      <w:rFonts w:eastAsia="Calibri"/>
      <w:i/>
      <w:iCs/>
      <w:color w:val="548DD4"/>
      <w:sz w:val="23"/>
      <w:szCs w:val="23"/>
      <w:lang w:val="en"/>
    </w:rPr>
  </w:style>
  <w:style w:type="character" w:styleId="K-TextInfoChar" w:customStyle="1">
    <w:name w:val="K-Text_Info Char"/>
    <w:link w:val="K-TextInfo"/>
    <w:rsid w:val="00D226F4"/>
    <w:rPr>
      <w:rFonts w:ascii="Times New Roman" w:hAnsi="Times New Roman" w:eastAsia="Calibri" w:cs="Times New Roman"/>
      <w:i/>
      <w:iCs/>
      <w:color w:val="548DD4"/>
      <w:kern w:val="0"/>
      <w:sz w:val="23"/>
      <w:szCs w:val="23"/>
      <w:lang w:val="en"/>
    </w:rPr>
  </w:style>
  <w:style w:type="table" w:styleId="1" w:customStyle="1">
    <w:name w:val="1"/>
    <w:basedOn w:val="TableNormal"/>
    <w:rsid w:val="00D226F4"/>
    <w:pPr>
      <w:spacing w:before="120" w:after="0" w:line="240" w:lineRule="auto"/>
      <w:jc w:val="both"/>
    </w:pPr>
    <w:rPr>
      <w:rFonts w:ascii="Times New Roman" w:hAnsi="Times New Roman" w:eastAsia="Times New Roman" w:cs="Times New Roman"/>
      <w:kern w:val="0"/>
      <w:sz w:val="24"/>
      <w:szCs w:val="24"/>
      <w:lang w:val="cs-CZ" w:eastAsia="cs-CZ"/>
    </w:rPr>
    <w:tblPr/>
  </w:style>
  <w:style w:type="character" w:styleId="Emphasis">
    <w:name w:val="Emphasis"/>
    <w:uiPriority w:val="20"/>
    <w:qFormat/>
    <w:rsid w:val="00D226F4"/>
    <w:rPr>
      <w:i/>
      <w:iCs/>
    </w:rPr>
  </w:style>
  <w:style w:type="character" w:styleId="scxw43392095" w:customStyle="1">
    <w:name w:val="scxw43392095"/>
    <w:rsid w:val="00D226F4"/>
  </w:style>
  <w:style w:type="paragraph" w:styleId="EntText" w:customStyle="1">
    <w:name w:val="EntText"/>
    <w:basedOn w:val="Normal"/>
    <w:rsid w:val="00D226F4"/>
  </w:style>
  <w:style w:type="paragraph" w:styleId="Lignefinal" w:customStyle="1">
    <w:name w:val="Ligne final"/>
    <w:basedOn w:val="Normal"/>
    <w:next w:val="Normal"/>
    <w:rsid w:val="00D226F4"/>
    <w:pPr>
      <w:pBdr>
        <w:bottom w:val="single" w:color="000000" w:sz="4" w:space="0"/>
      </w:pBdr>
      <w:spacing w:before="360"/>
      <w:ind w:left="3400" w:right="3400"/>
      <w:jc w:val="center"/>
    </w:pPr>
    <w:rPr>
      <w:b/>
    </w:rPr>
  </w:style>
  <w:style w:type="paragraph" w:styleId="nbbordered" w:customStyle="1">
    <w:name w:val="nb bordered"/>
    <w:basedOn w:val="Normal"/>
    <w:link w:val="nbborderedChar"/>
    <w:rsid w:val="00D226F4"/>
    <w:pPr>
      <w:pBdr>
        <w:top w:val="single" w:color="auto" w:sz="4" w:space="1"/>
        <w:left w:val="single" w:color="auto" w:sz="4" w:space="4"/>
        <w:bottom w:val="single" w:color="auto" w:sz="4" w:space="1"/>
        <w:right w:val="single" w:color="auto" w:sz="4" w:space="4"/>
        <w:between w:val="single" w:color="auto" w:sz="4" w:space="0"/>
      </w:pBdr>
      <w:spacing w:after="160" w:line="240" w:lineRule="auto"/>
      <w:ind w:left="480" w:hanging="480"/>
    </w:pPr>
    <w:rPr>
      <w:rFonts w:eastAsia="Calibri"/>
      <w:b/>
    </w:rPr>
  </w:style>
  <w:style w:type="character" w:styleId="nbborderedChar" w:customStyle="1">
    <w:name w:val="nb bordered Char"/>
    <w:basedOn w:val="DefaultParagraphFont"/>
    <w:link w:val="nbbordered"/>
    <w:rsid w:val="00D226F4"/>
    <w:rPr>
      <w:rFonts w:ascii="Times New Roman" w:hAnsi="Times New Roman" w:eastAsia="Calibri" w:cs="Times New Roman"/>
      <w:b/>
      <w:kern w:val="0"/>
      <w:sz w:val="24"/>
      <w:lang w:val="en-GB"/>
    </w:rPr>
  </w:style>
  <w:style w:type="character" w:styleId="HeaderCouncilChar" w:customStyle="1">
    <w:name w:val="Header Council Char"/>
    <w:basedOn w:val="DefaultParagraphFont"/>
    <w:link w:val="HeaderCouncil"/>
    <w:rsid w:val="00D226F4"/>
    <w:rPr>
      <w:rFonts w:ascii="Times New Roman" w:hAnsi="Times New Roman" w:cs="Times New Roman"/>
      <w:kern w:val="0"/>
      <w:sz w:val="2"/>
      <w:lang w:val="en-GB"/>
    </w:rPr>
  </w:style>
  <w:style w:type="character" w:styleId="FooterCouncilChar" w:customStyle="1">
    <w:name w:val="Footer Council Char"/>
    <w:basedOn w:val="DefaultParagraphFont"/>
    <w:link w:val="FooterCouncil"/>
    <w:rsid w:val="00D226F4"/>
    <w:rPr>
      <w:rFonts w:ascii="Times New Roman" w:hAnsi="Times New Roman" w:cs="Times New Roman"/>
      <w:kern w:val="0"/>
      <w:sz w:val="2"/>
      <w:lang w:val="en-GB"/>
    </w:rPr>
  </w:style>
  <w:style w:type="character" w:styleId="Mention1" w:customStyle="1">
    <w:name w:val="Mention1"/>
    <w:basedOn w:val="DefaultParagraphFont"/>
    <w:uiPriority w:val="99"/>
    <w:unhideWhenUsed/>
    <w:rsid w:val="00D226F4"/>
    <w:rPr>
      <w:color w:val="2B579A"/>
      <w:shd w:val="clear" w:color="auto" w:fill="E6E6E6"/>
    </w:rPr>
  </w:style>
  <w:style w:type="paragraph" w:styleId="K-Text" w:customStyle="1">
    <w:name w:val="K-Text"/>
    <w:basedOn w:val="Normal"/>
    <w:link w:val="K-TextChar"/>
    <w:uiPriority w:val="1"/>
    <w:qFormat/>
    <w:rsid w:val="00D226F4"/>
    <w:pPr>
      <w:jc w:val="both"/>
    </w:pPr>
    <w:rPr>
      <w:rFonts w:eastAsiaTheme="minorEastAsia"/>
      <w:sz w:val="23"/>
      <w:szCs w:val="23"/>
    </w:rPr>
  </w:style>
  <w:style w:type="character" w:styleId="K-TextChar" w:customStyle="1">
    <w:name w:val="K-Text Char"/>
    <w:basedOn w:val="DefaultParagraphFont"/>
    <w:link w:val="K-Text"/>
    <w:uiPriority w:val="1"/>
    <w:rsid w:val="00D226F4"/>
    <w:rPr>
      <w:rFonts w:ascii="Times New Roman" w:hAnsi="Times New Roman" w:cs="Times New Roman" w:eastAsiaTheme="minorEastAsia"/>
      <w:kern w:val="0"/>
      <w:sz w:val="23"/>
      <w:szCs w:val="23"/>
      <w:lang w:val="en-GB"/>
    </w:rPr>
  </w:style>
  <w:style w:type="paragraph" w:styleId="TableParagraph" w:customStyle="1">
    <w:name w:val="Table Paragraph"/>
    <w:basedOn w:val="Normal"/>
    <w:uiPriority w:val="1"/>
    <w:qFormat/>
    <w:rsid w:val="00D226F4"/>
    <w:pPr>
      <w:widowControl w:val="0"/>
      <w:spacing w:after="0"/>
    </w:pPr>
    <w:rPr>
      <w:rFonts w:eastAsia="Times New Roman"/>
      <w:lang w:eastAsia="en-GB" w:bidi="en-GB"/>
    </w:rPr>
  </w:style>
  <w:style w:type="paragraph" w:styleId="P68B1DB1-K-TextInfo20" w:customStyle="1">
    <w:name w:val="P68B1DB1-K-TextInfo20"/>
    <w:basedOn w:val="Normal"/>
    <w:uiPriority w:val="1"/>
    <w:rsid w:val="00D226F4"/>
    <w:pPr>
      <w:jc w:val="both"/>
    </w:pPr>
    <w:rPr>
      <w:rFonts w:asciiTheme="minorHAnsi" w:hAnsiTheme="minorHAnsi" w:eastAsiaTheme="minorEastAsia" w:cstheme="minorBidi"/>
      <w:color w:val="000000" w:themeColor="text1"/>
      <w:sz w:val="22"/>
    </w:rPr>
  </w:style>
  <w:style w:type="paragraph" w:styleId="P68B1DB1-Normln5" w:customStyle="1">
    <w:name w:val="P68B1DB1-Normln5"/>
    <w:basedOn w:val="Normal"/>
    <w:uiPriority w:val="1"/>
    <w:rsid w:val="00D226F4"/>
    <w:pPr>
      <w:spacing w:after="160"/>
    </w:pPr>
    <w:rPr>
      <w:rFonts w:asciiTheme="minorHAnsi" w:hAnsiTheme="minorHAnsi" w:eastAsiaTheme="minorEastAsia" w:cstheme="minorBidi"/>
    </w:rPr>
  </w:style>
  <w:style w:type="paragraph" w:styleId="P68B1DB1-Normln35" w:customStyle="1">
    <w:name w:val="P68B1DB1-Normln35"/>
    <w:basedOn w:val="Normal"/>
    <w:uiPriority w:val="1"/>
    <w:rsid w:val="00D226F4"/>
    <w:pPr>
      <w:spacing w:after="160"/>
    </w:pPr>
    <w:rPr>
      <w:rFonts w:eastAsia="Calibri" w:asciiTheme="minorHAnsi" w:hAnsiTheme="minorHAnsi" w:cstheme="minorBidi"/>
    </w:rPr>
  </w:style>
  <w:style w:type="character" w:styleId="Mention20" w:customStyle="1">
    <w:name w:val="Mention20"/>
    <w:basedOn w:val="DefaultParagraphFont"/>
    <w:uiPriority w:val="99"/>
    <w:unhideWhenUsed/>
    <w:rsid w:val="00D226F4"/>
    <w:rPr>
      <w:color w:val="2B579A"/>
      <w:shd w:val="clear" w:color="auto" w:fill="E1DFDD"/>
    </w:rPr>
  </w:style>
  <w:style w:type="character" w:styleId="Mention2" w:customStyle="1">
    <w:name w:val="Mention2"/>
    <w:basedOn w:val="DefaultParagraphFont"/>
    <w:uiPriority w:val="99"/>
    <w:unhideWhenUsed/>
    <w:rsid w:val="00D226F4"/>
    <w:rPr>
      <w:color w:val="2B579A"/>
      <w:shd w:val="clear" w:color="auto" w:fill="E1DFDD"/>
    </w:rPr>
  </w:style>
  <w:style w:type="character" w:styleId="Mention200" w:customStyle="1">
    <w:name w:val="Mention200"/>
    <w:basedOn w:val="DefaultParagraphFont"/>
    <w:uiPriority w:val="99"/>
    <w:unhideWhenUsed/>
    <w:rsid w:val="00D226F4"/>
    <w:rPr>
      <w:color w:val="2B579A"/>
      <w:shd w:val="clear" w:color="auto" w:fill="E1DFDD"/>
    </w:rPr>
  </w:style>
  <w:style w:type="character" w:styleId="Mention3" w:customStyle="1">
    <w:name w:val="Mention3"/>
    <w:basedOn w:val="DefaultParagraphFont"/>
    <w:uiPriority w:val="99"/>
    <w:unhideWhenUsed/>
    <w:rsid w:val="00D226F4"/>
    <w:rPr>
      <w:color w:val="2B579A"/>
      <w:shd w:val="clear" w:color="auto" w:fill="E6E6E6"/>
    </w:rPr>
  </w:style>
  <w:style w:type="paragraph" w:styleId="P68B1DB1-Normal6" w:customStyle="1">
    <w:name w:val="P68B1DB1-Normal6"/>
    <w:basedOn w:val="Normal"/>
    <w:uiPriority w:val="1"/>
    <w:rsid w:val="00D226F4"/>
    <w:rPr>
      <w:rFonts w:ascii="Calibri" w:hAnsi="Calibri" w:eastAsia="Calibri" w:cs="Calibri"/>
      <w:lang w:val="fr-BE"/>
    </w:rPr>
  </w:style>
  <w:style w:type="paragraph" w:styleId="P68B1DB1-Normln3" w:customStyle="1">
    <w:name w:val="P68B1DB1-Normln3"/>
    <w:basedOn w:val="Normal"/>
    <w:uiPriority w:val="1"/>
    <w:rsid w:val="00D226F4"/>
    <w:rPr>
      <w:rFonts w:ascii="Calibri" w:hAnsi="Calibri" w:eastAsia="Roboto Condensed" w:cs="Calibri"/>
      <w:lang w:val="fr-BE"/>
    </w:rPr>
  </w:style>
  <w:style w:type="paragraph" w:styleId="P68B1DB1-Normln32" w:customStyle="1">
    <w:name w:val="P68B1DB1-Normln32"/>
    <w:basedOn w:val="Normal"/>
    <w:uiPriority w:val="1"/>
    <w:rsid w:val="00D226F4"/>
    <w:rPr>
      <w:rFonts w:ascii="Calibri Light" w:hAnsi="Calibri Light" w:eastAsia="Calibri Light" w:cs="Calibri Light"/>
      <w:lang w:val="fr-BE"/>
    </w:rPr>
  </w:style>
  <w:style w:type="character" w:styleId="Mention4" w:customStyle="1">
    <w:name w:val="Mention4"/>
    <w:basedOn w:val="DefaultParagraphFont"/>
    <w:uiPriority w:val="99"/>
    <w:unhideWhenUsed/>
    <w:rsid w:val="00D226F4"/>
    <w:rPr>
      <w:color w:val="2B579A"/>
      <w:shd w:val="clear" w:color="auto" w:fill="E1DFDD"/>
    </w:rPr>
  </w:style>
  <w:style w:type="character" w:styleId="Mention40" w:customStyle="1">
    <w:name w:val="Mention40"/>
    <w:basedOn w:val="DefaultParagraphFont"/>
    <w:uiPriority w:val="99"/>
    <w:unhideWhenUsed/>
    <w:rsid w:val="00D226F4"/>
    <w:rPr>
      <w:color w:val="2B579A"/>
      <w:shd w:val="clear" w:color="auto" w:fill="E1DFDD"/>
    </w:rPr>
  </w:style>
  <w:style w:type="character" w:styleId="UnresolvedMention1" w:customStyle="1">
    <w:name w:val="Unresolved Mention1"/>
    <w:basedOn w:val="DefaultParagraphFont"/>
    <w:uiPriority w:val="99"/>
    <w:unhideWhenUsed/>
    <w:rsid w:val="00D226F4"/>
    <w:rPr>
      <w:color w:val="605E5C"/>
      <w:shd w:val="clear" w:color="auto" w:fill="E1DFDD"/>
    </w:rPr>
  </w:style>
  <w:style w:type="paragraph" w:styleId="NoSpacing">
    <w:name w:val="No Spacing"/>
    <w:uiPriority w:val="1"/>
    <w:qFormat/>
    <w:rsid w:val="00E3458A"/>
    <w:pPr>
      <w:spacing w:after="0" w:line="240" w:lineRule="auto"/>
    </w:pPr>
    <w:rPr>
      <w:rFonts w:ascii="Times New Roman" w:hAnsi="Times New Roman" w:eastAsia="Calibri" w:cs="Times New Roman"/>
      <w:kern w:val="0"/>
      <w:sz w:val="24"/>
      <w:lang w:val="en-GB"/>
    </w:rPr>
  </w:style>
  <w:style w:type="paragraph" w:styleId="pf0" w:customStyle="1">
    <w:name w:val="pf0"/>
    <w:basedOn w:val="Normal"/>
    <w:rsid w:val="00D226F4"/>
    <w:pPr>
      <w:spacing w:before="100" w:beforeAutospacing="1" w:after="100" w:afterAutospacing="1" w:line="240" w:lineRule="auto"/>
    </w:pPr>
    <w:rPr>
      <w:rFonts w:eastAsia="Times New Roman"/>
      <w:szCs w:val="24"/>
      <w:lang w:val="en-IE" w:eastAsia="en-IE"/>
    </w:rPr>
  </w:style>
  <w:style w:type="character" w:styleId="cf01" w:customStyle="1">
    <w:name w:val="cf01"/>
    <w:basedOn w:val="DefaultParagraphFont"/>
    <w:rsid w:val="00D226F4"/>
    <w:rPr>
      <w:rFonts w:hint="default" w:ascii="Segoe UI" w:hAnsi="Segoe UI" w:cs="Segoe UI"/>
      <w:sz w:val="18"/>
      <w:szCs w:val="18"/>
    </w:rPr>
  </w:style>
  <w:style w:type="character" w:styleId="cf21" w:customStyle="1">
    <w:name w:val="cf21"/>
    <w:basedOn w:val="DefaultParagraphFont"/>
    <w:rsid w:val="00D226F4"/>
    <w:rPr>
      <w:rFonts w:hint="default" w:ascii="Segoe UI" w:hAnsi="Segoe UI" w:cs="Segoe UI"/>
      <w:sz w:val="18"/>
      <w:szCs w:val="18"/>
    </w:rPr>
  </w:style>
  <w:style w:type="character" w:styleId="Mention400" w:customStyle="1">
    <w:name w:val="Mention400"/>
    <w:basedOn w:val="DefaultParagraphFont"/>
    <w:uiPriority w:val="99"/>
    <w:unhideWhenUsed/>
    <w:rsid w:val="00D226F4"/>
    <w:rPr>
      <w:color w:val="2B579A"/>
      <w:shd w:val="clear" w:color="auto" w:fill="E1DFDD"/>
    </w:rPr>
  </w:style>
  <w:style w:type="character" w:styleId="Mention4000" w:customStyle="1">
    <w:name w:val="Mention4000"/>
    <w:basedOn w:val="DefaultParagraphFont"/>
    <w:uiPriority w:val="99"/>
    <w:unhideWhenUsed/>
    <w:rsid w:val="00D226F4"/>
    <w:rPr>
      <w:color w:val="2B579A"/>
      <w:shd w:val="clear" w:color="auto" w:fill="E1DFDD"/>
    </w:rPr>
  </w:style>
  <w:style w:type="character" w:styleId="Mention40000" w:customStyle="1">
    <w:name w:val="Mention40000"/>
    <w:basedOn w:val="DefaultParagraphFont"/>
    <w:uiPriority w:val="99"/>
    <w:unhideWhenUsed/>
    <w:rsid w:val="00D226F4"/>
    <w:rPr>
      <w:color w:val="2B579A"/>
      <w:shd w:val="clear" w:color="auto" w:fill="E1DFDD"/>
    </w:rPr>
  </w:style>
  <w:style w:type="paragraph" w:styleId="LegalNumPar" w:customStyle="1">
    <w:name w:val="LegalNumPar"/>
    <w:basedOn w:val="Normal"/>
    <w:rsid w:val="00D226F4"/>
    <w:pPr>
      <w:spacing w:before="0" w:after="160" w:line="259" w:lineRule="auto"/>
      <w:ind w:left="476" w:hanging="476"/>
    </w:pPr>
    <w:rPr>
      <w:rFonts w:asciiTheme="minorHAnsi" w:hAnsiTheme="minorHAnsi" w:cstheme="minorBidi"/>
      <w:sz w:val="22"/>
      <w:lang w:val="en-US"/>
    </w:rPr>
  </w:style>
  <w:style w:type="paragraph" w:styleId="LegalNumPar2" w:customStyle="1">
    <w:name w:val="LegalNumPar2"/>
    <w:basedOn w:val="Normal"/>
    <w:rsid w:val="00D226F4"/>
    <w:pPr>
      <w:spacing w:before="0" w:after="160" w:line="259" w:lineRule="auto"/>
      <w:ind w:left="953" w:hanging="477"/>
    </w:pPr>
    <w:rPr>
      <w:rFonts w:asciiTheme="minorHAnsi" w:hAnsiTheme="minorHAnsi" w:cstheme="minorBidi"/>
      <w:sz w:val="22"/>
      <w:lang w:val="en-US"/>
    </w:rPr>
  </w:style>
  <w:style w:type="paragraph" w:styleId="LegalNumPar3" w:customStyle="1">
    <w:name w:val="LegalNumPar3"/>
    <w:basedOn w:val="Normal"/>
    <w:rsid w:val="00D226F4"/>
    <w:pPr>
      <w:spacing w:before="0" w:after="160" w:line="259" w:lineRule="auto"/>
      <w:ind w:left="1429" w:hanging="476"/>
    </w:pPr>
    <w:rPr>
      <w:rFonts w:asciiTheme="minorHAnsi" w:hAnsiTheme="minorHAnsi" w:cstheme="minorBidi"/>
      <w:sz w:val="22"/>
      <w:lang w:val="en-US"/>
    </w:rPr>
  </w:style>
  <w:style w:type="character" w:styleId="Mention400000" w:customStyle="1">
    <w:name w:val="Mention400000"/>
    <w:basedOn w:val="DefaultParagraphFont"/>
    <w:uiPriority w:val="99"/>
    <w:unhideWhenUsed/>
    <w:rsid w:val="00D226F4"/>
    <w:rPr>
      <w:color w:val="2B579A"/>
      <w:shd w:val="clear" w:color="auto" w:fill="E1DFDD"/>
    </w:rPr>
  </w:style>
  <w:style w:type="character" w:styleId="Mention5" w:customStyle="1">
    <w:name w:val="Mention5"/>
    <w:basedOn w:val="DefaultParagraphFont"/>
    <w:uiPriority w:val="99"/>
    <w:unhideWhenUsed/>
    <w:rsid w:val="00D226F4"/>
    <w:rPr>
      <w:color w:val="2B579A"/>
      <w:shd w:val="clear" w:color="auto" w:fill="E6E6E6"/>
    </w:rPr>
  </w:style>
  <w:style w:type="character" w:styleId="Mention6" w:customStyle="1">
    <w:name w:val="Mention6"/>
    <w:basedOn w:val="DefaultParagraphFont"/>
    <w:uiPriority w:val="99"/>
    <w:unhideWhenUsed/>
    <w:rsid w:val="00D226F4"/>
    <w:rPr>
      <w:color w:val="2B579A"/>
      <w:shd w:val="clear" w:color="auto" w:fill="E1DFDD"/>
    </w:rPr>
  </w:style>
  <w:style w:type="character" w:styleId="Mention7" w:customStyle="1">
    <w:name w:val="Mention7"/>
    <w:basedOn w:val="DefaultParagraphFont"/>
    <w:uiPriority w:val="99"/>
    <w:unhideWhenUsed/>
    <w:rsid w:val="00D226F4"/>
    <w:rPr>
      <w:color w:val="2B579A"/>
      <w:shd w:val="clear" w:color="auto" w:fill="E1DFDD"/>
    </w:rPr>
  </w:style>
  <w:style w:type="character" w:styleId="Mention8" w:customStyle="1">
    <w:name w:val="Mention8"/>
    <w:basedOn w:val="DefaultParagraphFont"/>
    <w:uiPriority w:val="99"/>
    <w:unhideWhenUsed/>
    <w:rsid w:val="00D226F4"/>
    <w:rPr>
      <w:color w:val="2B579A"/>
      <w:shd w:val="clear" w:color="auto" w:fill="E1DFDD"/>
    </w:rPr>
  </w:style>
  <w:style w:type="character" w:styleId="UnresolvedMention2" w:customStyle="1">
    <w:name w:val="Unresolved Mention2"/>
    <w:basedOn w:val="DefaultParagraphFont"/>
    <w:uiPriority w:val="99"/>
    <w:semiHidden/>
    <w:unhideWhenUsed/>
    <w:rsid w:val="00D226F4"/>
    <w:rPr>
      <w:color w:val="605E5C"/>
      <w:shd w:val="clear" w:color="auto" w:fill="E1DFDD"/>
    </w:rPr>
  </w:style>
  <w:style w:type="character" w:styleId="Mention9" w:customStyle="1">
    <w:name w:val="Mention9"/>
    <w:basedOn w:val="DefaultParagraphFont"/>
    <w:uiPriority w:val="99"/>
    <w:unhideWhenUsed/>
    <w:rsid w:val="00D226F4"/>
    <w:rPr>
      <w:color w:val="2B579A"/>
      <w:shd w:val="clear" w:color="auto" w:fill="E1DFDD"/>
    </w:rPr>
  </w:style>
  <w:style w:type="character" w:styleId="Mention10" w:customStyle="1">
    <w:name w:val="Mention10"/>
    <w:basedOn w:val="DefaultParagraphFont"/>
    <w:uiPriority w:val="99"/>
    <w:unhideWhenUsed/>
    <w:rsid w:val="00D226F4"/>
    <w:rPr>
      <w:color w:val="2B579A"/>
      <w:shd w:val="clear" w:color="auto" w:fill="E1DFDD"/>
    </w:rPr>
  </w:style>
  <w:style w:type="character" w:styleId="Mention11" w:customStyle="1">
    <w:name w:val="Mention11"/>
    <w:basedOn w:val="DefaultParagraphFont"/>
    <w:uiPriority w:val="99"/>
    <w:unhideWhenUsed/>
    <w:rsid w:val="00D226F4"/>
    <w:rPr>
      <w:color w:val="2B579A"/>
      <w:shd w:val="clear" w:color="auto" w:fill="E1DFDD"/>
    </w:rPr>
  </w:style>
  <w:style w:type="character" w:styleId="Mention110" w:customStyle="1">
    <w:name w:val="Mention110"/>
    <w:basedOn w:val="DefaultParagraphFont"/>
    <w:uiPriority w:val="99"/>
    <w:unhideWhenUsed/>
    <w:rsid w:val="00D226F4"/>
    <w:rPr>
      <w:color w:val="2B579A"/>
      <w:shd w:val="clear" w:color="auto" w:fill="E1DFDD"/>
    </w:rPr>
  </w:style>
  <w:style w:type="character" w:styleId="Mention12" w:customStyle="1">
    <w:name w:val="Mention12"/>
    <w:basedOn w:val="DefaultParagraphFont"/>
    <w:uiPriority w:val="99"/>
    <w:unhideWhenUsed/>
    <w:rsid w:val="00D226F4"/>
    <w:rPr>
      <w:color w:val="2B579A"/>
      <w:shd w:val="clear" w:color="auto" w:fill="E6E6E6"/>
    </w:rPr>
  </w:style>
  <w:style w:type="paragraph" w:styleId="Default" w:customStyle="1">
    <w:name w:val="Default"/>
    <w:basedOn w:val="Normal"/>
    <w:rsid w:val="00D226F4"/>
    <w:pPr>
      <w:spacing w:after="0"/>
    </w:pPr>
    <w:rPr>
      <w:rFonts w:asciiTheme="minorHAnsi" w:hAnsiTheme="minorHAnsi" w:eastAsiaTheme="minorEastAsia" w:cstheme="minorBidi"/>
      <w:color w:val="000000" w:themeColor="text1"/>
    </w:rPr>
  </w:style>
  <w:style w:type="character" w:styleId="Mention13" w:customStyle="1">
    <w:name w:val="Mention13"/>
    <w:basedOn w:val="DefaultParagraphFont"/>
    <w:uiPriority w:val="99"/>
    <w:unhideWhenUsed/>
    <w:rsid w:val="00D226F4"/>
    <w:rPr>
      <w:color w:val="2B579A"/>
      <w:shd w:val="clear" w:color="auto" w:fill="E1DFDD"/>
    </w:rPr>
  </w:style>
  <w:style w:type="character" w:styleId="Mention14" w:customStyle="1">
    <w:name w:val="Mention14"/>
    <w:basedOn w:val="DefaultParagraphFont"/>
    <w:uiPriority w:val="99"/>
    <w:unhideWhenUsed/>
    <w:rsid w:val="00D226F4"/>
    <w:rPr>
      <w:color w:val="2B579A"/>
      <w:shd w:val="clear" w:color="auto" w:fill="E1DFDD"/>
    </w:rPr>
  </w:style>
  <w:style w:type="character" w:styleId="fui-text" w:customStyle="1">
    <w:name w:val="fui-text"/>
    <w:basedOn w:val="DefaultParagraphFont"/>
    <w:rsid w:val="00D226F4"/>
  </w:style>
  <w:style w:type="character" w:styleId="Mention15" w:customStyle="1">
    <w:name w:val="Mention15"/>
    <w:basedOn w:val="DefaultParagraphFont"/>
    <w:uiPriority w:val="99"/>
    <w:unhideWhenUsed/>
    <w:rsid w:val="00D226F4"/>
    <w:rPr>
      <w:color w:val="2B579A"/>
      <w:shd w:val="clear" w:color="auto" w:fill="E1DFDD"/>
    </w:rPr>
  </w:style>
  <w:style w:type="character" w:styleId="fui-styledtext" w:customStyle="1">
    <w:name w:val="fui-styledtext"/>
    <w:basedOn w:val="DefaultParagraphFont"/>
    <w:rsid w:val="00D226F4"/>
  </w:style>
  <w:style w:type="character" w:styleId="pjChar" w:customStyle="1">
    <w:name w:val="p.j. Char"/>
    <w:basedOn w:val="DefaultParagraphFont"/>
    <w:link w:val="pj"/>
    <w:rsid w:val="00C16C1F"/>
    <w:rPr>
      <w:rFonts w:ascii="Times New Roman" w:hAnsi="Times New Roman" w:eastAsia="Calibri" w:cs="Times New Roman"/>
      <w:kern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abbdf11827954703" Type="http://schemas.openxmlformats.org/officeDocument/2006/relationships/header" Target="/word/header222.xml"/><Relationship Id="Rc62ce76407a94b16" Type="http://schemas.openxmlformats.org/officeDocument/2006/relationships/footer" Target="/word/footer38.xml"/><Relationship Id="Re78892e1e6de43ac" Type="http://schemas.openxmlformats.org/officeDocument/2006/relationships/header" Target="/word/header245.xml"/><Relationship Id="Rac75e481d5bf4993" Type="http://schemas.openxmlformats.org/officeDocument/2006/relationships/header" Target="/word/header134.xml"/><Relationship Id="R762797e3ec234c53" Type="http://schemas.openxmlformats.org/officeDocument/2006/relationships/footer" Target="/word/footer203.xml"/><Relationship Id="R794b80a007084dfe" Type="http://schemas.openxmlformats.org/officeDocument/2006/relationships/header" Target="/word/header27.xml"/><Relationship Id="R1fb8909d648c48ab" Type="http://schemas.openxmlformats.org/officeDocument/2006/relationships/header" Target="/word/header42.xml"/><Relationship Id="R29f18eedee3e4033" Type="http://schemas.openxmlformats.org/officeDocument/2006/relationships/footer" Target="/word/footer114.xml"/><Relationship Id="R83592ddbcf344cae" Type="http://schemas.openxmlformats.org/officeDocument/2006/relationships/footer" Target="/word/footer144.xml"/><Relationship Id="Reaf3ca31b51048eb" Type="http://schemas.openxmlformats.org/officeDocument/2006/relationships/header" Target="/word/header125.xml"/><Relationship Id="Rdba047a6046e4fc0" Type="http://schemas.openxmlformats.org/officeDocument/2006/relationships/footer" Target="/word/footer239.xml"/><Relationship Id="R8cc231dc7be7465c" Type="http://schemas.openxmlformats.org/officeDocument/2006/relationships/header" Target="/word/header15.xml"/><Relationship Id="R6a8db22261094b37" Type="http://schemas.openxmlformats.org/officeDocument/2006/relationships/footer" Target="/word/footer32.xml"/><Relationship Id="R96755a2ced5a41c4" Type="http://schemas.openxmlformats.org/officeDocument/2006/relationships/footer" Target="/word/footer228.xml"/><Relationship Id="Re826173087264365" Type="http://schemas.openxmlformats.org/officeDocument/2006/relationships/header" Target="/word/header10.xml"/><Relationship Id="R85050a7beb9145c6" Type="http://schemas.openxmlformats.org/officeDocument/2006/relationships/footer" Target="/word/footer83.xml"/><Relationship Id="Rf12eeafcbcce4003" Type="http://schemas.openxmlformats.org/officeDocument/2006/relationships/footer" Target="/word/footer177.xml"/><Relationship Id="R8e5e9d97fb514a97" Type="http://schemas.openxmlformats.org/officeDocument/2006/relationships/footer" Target="/word/footer10.xml"/><Relationship Id="Ref68c55b97db41fc" Type="http://schemas.openxmlformats.org/officeDocument/2006/relationships/footer" Target="/word/footer27.xml"/><Relationship Id="R2047305a5303484f" Type="http://schemas.openxmlformats.org/officeDocument/2006/relationships/header" Target="/word/header72.xml"/><Relationship Id="R75f08d49de6c4f06" Type="http://schemas.openxmlformats.org/officeDocument/2006/relationships/footer" Target="/word/footer120.xml"/><Relationship Id="R2c958e30d96244ca" Type="http://schemas.openxmlformats.org/officeDocument/2006/relationships/header" Target="/word/header195.xml"/><Relationship Id="R22c04ca78eab4a06" Type="http://schemas.openxmlformats.org/officeDocument/2006/relationships/header" Target="/word/header247.xml"/><Relationship Id="R6a7b0380a5494b7c" Type="http://schemas.openxmlformats.org/officeDocument/2006/relationships/header" Target="/word/header1.xml"/><Relationship Id="R93ec7760fea446f2" Type="http://schemas.openxmlformats.org/officeDocument/2006/relationships/footer" Target="/word/footer14.xml"/><Relationship Id="R48b1a379d56f4033" Type="http://schemas.openxmlformats.org/officeDocument/2006/relationships/footer" Target="/word/footer208.xml"/><Relationship Id="R47d50b23296b440a" Type="http://schemas.openxmlformats.org/officeDocument/2006/relationships/header" Target="/word/header33.xml"/><Relationship Id="Rf8247822bf7543a2" Type="http://schemas.openxmlformats.org/officeDocument/2006/relationships/header" Target="/word/header45.xml"/><Relationship Id="Racd462c0637847db" Type="http://schemas.openxmlformats.org/officeDocument/2006/relationships/header" Target="/word/header83.xml"/><Relationship Id="R600d4e01ff23403b" Type="http://schemas.openxmlformats.org/officeDocument/2006/relationships/footer" Target="/word/footer36.xml"/><Relationship Id="R0d5d75b2ad794dc9" Type="http://schemas.openxmlformats.org/officeDocument/2006/relationships/header" Target="/word/header61.xml"/><Relationship Id="R9839fba0ebd946f5" Type="http://schemas.openxmlformats.org/officeDocument/2006/relationships/header" Target="/word/header160.xml"/><Relationship Id="Rf35ebd7a5a9f4f84" Type="http://schemas.openxmlformats.org/officeDocument/2006/relationships/header" Target="/word/header210.xml"/><Relationship Id="R6e3c6600198c4dbb" Type="http://schemas.openxmlformats.org/officeDocument/2006/relationships/header" Target="/word/header25.xml"/><Relationship Id="R4c8a0973b9ee4c0e" Type="http://schemas.openxmlformats.org/officeDocument/2006/relationships/footer" Target="/word/footer102.xml"/><Relationship Id="Ra078e1536b9d482c" Type="http://schemas.openxmlformats.org/officeDocument/2006/relationships/header" Target="/word/header16.xml"/><Relationship Id="R1189d998fac947d6" Type="http://schemas.openxmlformats.org/officeDocument/2006/relationships/footer" Target="/word/footer18.xml"/><Relationship Id="R8c6a2aed9b9246e8" Type="http://schemas.openxmlformats.org/officeDocument/2006/relationships/header" Target="/word/header53.xml"/><Relationship Id="Rabab79fadd7c4c72" Type="http://schemas.openxmlformats.org/officeDocument/2006/relationships/footer" Target="/word/footer65.xml"/><Relationship Id="R9e35add023984ff9" Type="http://schemas.openxmlformats.org/officeDocument/2006/relationships/header" Target="/word/header123.xml"/><Relationship Id="R9d706c1320b0430f" Type="http://schemas.openxmlformats.org/officeDocument/2006/relationships/footer" Target="/word/footer132.xml"/><Relationship Id="R840eaa49f20b4488" Type="http://schemas.openxmlformats.org/officeDocument/2006/relationships/header" Target="/word/header175.xml"/><Relationship Id="R6e1babe96c64439f" Type="http://schemas.openxmlformats.org/officeDocument/2006/relationships/header" Target="/word/header204.xml"/><Relationship Id="R57eb439b7cb64d60" Type="http://schemas.openxmlformats.org/officeDocument/2006/relationships/header" Target="/word/header207.xml"/><Relationship Id="R01efa29cbb174340" Type="http://schemas.openxmlformats.org/officeDocument/2006/relationships/header" Target="/word/header246.xml"/><Relationship Id="Rd041565d9a3f45ee" Type="http://schemas.openxmlformats.org/officeDocument/2006/relationships/footer" Target="/word/footer31.xml"/><Relationship Id="R4a9b44e2a6164640" Type="http://schemas.openxmlformats.org/officeDocument/2006/relationships/header" Target="/word/header127.xml"/><Relationship Id="R671d9977094f4af4" Type="http://schemas.openxmlformats.org/officeDocument/2006/relationships/footer" Target="/word/footer231.xml"/><Relationship Id="R8ed56c8fd2b74077" Type="http://schemas.openxmlformats.org/officeDocument/2006/relationships/footer" Target="/word/footer81.xml"/><Relationship Id="R1a025ea667f64ba0" Type="http://schemas.openxmlformats.org/officeDocument/2006/relationships/header" Target="/word/header87.xml"/><Relationship Id="R1230ef111e4841ad" Type="http://schemas.openxmlformats.org/officeDocument/2006/relationships/header" Target="/word/header114.xml"/><Relationship Id="Re2da99d3e72045a9" Type="http://schemas.openxmlformats.org/officeDocument/2006/relationships/header" Target="/word/header118.xml"/><Relationship Id="R199b86882d8e455a" Type="http://schemas.openxmlformats.org/officeDocument/2006/relationships/footer" Target="/word/footer152.xml"/><Relationship Id="Rd2ffae64214344bb" Type="http://schemas.openxmlformats.org/officeDocument/2006/relationships/footer" Target="/word/footer158.xml"/><Relationship Id="R2d1b945590b24ed6" Type="http://schemas.openxmlformats.org/officeDocument/2006/relationships/header" Target="/word/header184.xml"/><Relationship Id="Refa566097da44cc9" Type="http://schemas.openxmlformats.org/officeDocument/2006/relationships/header" Target="/word/header196.xml"/><Relationship Id="R4568d1c529eb452a" Type="http://schemas.openxmlformats.org/officeDocument/2006/relationships/footer" Target="/word/footer201.xml"/><Relationship Id="R2dfe1afb78ca405e" Type="http://schemas.openxmlformats.org/officeDocument/2006/relationships/header" Target="/word/header223.xml"/><Relationship Id="Rad125ac6d2f342b1" Type="http://schemas.openxmlformats.org/officeDocument/2006/relationships/header" Target="/word/header63.xml"/><Relationship Id="R57b379c5d307491e" Type="http://schemas.openxmlformats.org/officeDocument/2006/relationships/footer" Target="/word/footer93.xml"/><Relationship Id="Rbe2d2ad3078942b8" Type="http://schemas.openxmlformats.org/officeDocument/2006/relationships/header" Target="/word/header155.xml"/><Relationship Id="Rfef056b117ae493e" Type="http://schemas.openxmlformats.org/officeDocument/2006/relationships/header" Target="/word/header182.xml"/><Relationship Id="R55889639e5cc4a61" Type="http://schemas.openxmlformats.org/officeDocument/2006/relationships/footer" Target="/word/footer33.xml"/><Relationship Id="R7cc05a9463824533" Type="http://schemas.openxmlformats.org/officeDocument/2006/relationships/header" Target="/word/header98.xml"/><Relationship Id="R0ed25a51c83743cd" Type="http://schemas.openxmlformats.org/officeDocument/2006/relationships/header" Target="/word/header135.xml"/><Relationship Id="Re360e787ec4f4dd4" Type="http://schemas.openxmlformats.org/officeDocument/2006/relationships/footer" Target="/word/footer149.xml"/><Relationship Id="R0bfb9268277f43ef" Type="http://schemas.openxmlformats.org/officeDocument/2006/relationships/footer" Target="/word/footer163.xml"/><Relationship Id="R2a9883fdb3674d74" Type="http://schemas.openxmlformats.org/officeDocument/2006/relationships/header" Target="/word/header228.xml"/><Relationship Id="Rf0be4bc0a57f40f2" Type="http://schemas.openxmlformats.org/officeDocument/2006/relationships/header" Target="/word/header52.xml"/><Relationship Id="Rb119b129b5ab4c6e" Type="http://schemas.openxmlformats.org/officeDocument/2006/relationships/header" Target="/word/header78.xml"/><Relationship Id="R5d8dcd6d62614608" Type="http://schemas.openxmlformats.org/officeDocument/2006/relationships/footer" Target="/word/footer217.xml"/><Relationship Id="Rfde71f98077b4d1f" Type="http://schemas.openxmlformats.org/officeDocument/2006/relationships/header" Target="/word/header230.xml"/><Relationship Id="Rcdc7fc3a264e48c1" Type="http://schemas.openxmlformats.org/officeDocument/2006/relationships/header" Target="/word/header239.xml"/><Relationship Id="R4a50b953c9f14765" Type="http://schemas.openxmlformats.org/officeDocument/2006/relationships/footer" Target="/word/footer136.xml"/><Relationship Id="Ra5e47523ec0e4dd9" Type="http://schemas.openxmlformats.org/officeDocument/2006/relationships/header" Target="/word/header202.xml"/><Relationship Id="Rb8b76ca5db1f46b2" Type="http://schemas.openxmlformats.org/officeDocument/2006/relationships/footer" Target="/word/footer52.xml"/><Relationship Id="R090ca58f663e4435" Type="http://schemas.openxmlformats.org/officeDocument/2006/relationships/footer" Target="/word/footer60.xml"/><Relationship Id="Rcceebbe8f8204327" Type="http://schemas.openxmlformats.org/officeDocument/2006/relationships/header" Target="/word/header141.xml"/><Relationship Id="R5c9ed802668b41ff" Type="http://schemas.openxmlformats.org/officeDocument/2006/relationships/header" Target="/word/header146.xml"/><Relationship Id="R64853d497bca4503" Type="http://schemas.openxmlformats.org/officeDocument/2006/relationships/header" Target="/word/header243.xml"/><Relationship Id="Rb17f1fd1aed74ecf" Type="http://schemas.openxmlformats.org/officeDocument/2006/relationships/footer" Target="/word/footer264.xml"/><Relationship Id="Rc5012ca9358f481b" Type="http://schemas.openxmlformats.org/officeDocument/2006/relationships/footer" Target="/word/footer2.xml"/><Relationship Id="R4ff4dac8ab904e0d" Type="http://schemas.openxmlformats.org/officeDocument/2006/relationships/header" Target="/word/header109.xml"/><Relationship Id="Rf02066d14b9d4c3e" Type="http://schemas.openxmlformats.org/officeDocument/2006/relationships/header" Target="/word/header120.xml"/><Relationship Id="R38c708bbaef2467c" Type="http://schemas.openxmlformats.org/officeDocument/2006/relationships/header" Target="/word/header136.xml"/><Relationship Id="R71ffd4969eba4741" Type="http://schemas.openxmlformats.org/officeDocument/2006/relationships/footer" Target="/word/footer174.xml"/><Relationship Id="R70fe06d7f75346fe" Type="http://schemas.openxmlformats.org/officeDocument/2006/relationships/footer" Target="/word/footer1.xml"/><Relationship Id="R380185f50f88494e" Type="http://schemas.openxmlformats.org/officeDocument/2006/relationships/footer" Target="/word/footer96.xml"/><Relationship Id="Ra7ac75bfe1b64502" Type="http://schemas.openxmlformats.org/officeDocument/2006/relationships/footer" Target="/word/footer97.xml"/><Relationship Id="R70d5f20852f04133" Type="http://schemas.openxmlformats.org/officeDocument/2006/relationships/header" Target="/word/header205.xml"/><Relationship Id="R3d7e5dc32f6d4f23" Type="http://schemas.openxmlformats.org/officeDocument/2006/relationships/header" Target="/word/header22.xml"/><Relationship Id="R1fdd8fd27e024f2d" Type="http://schemas.openxmlformats.org/officeDocument/2006/relationships/footer" Target="/word/footer77.xml"/><Relationship Id="Rf11fcf43646643e4" Type="http://schemas.openxmlformats.org/officeDocument/2006/relationships/footer" Target="/word/footer103.xml"/><Relationship Id="R189840b2036748b5" Type="http://schemas.openxmlformats.org/officeDocument/2006/relationships/header" Target="/word/header124.xml"/><Relationship Id="R590c21f0b17d466e" Type="http://schemas.openxmlformats.org/officeDocument/2006/relationships/footer" Target="/word/footer140.xml"/><Relationship Id="Rfb1e46f09ff14b77" Type="http://schemas.openxmlformats.org/officeDocument/2006/relationships/header" Target="/word/header106.xml"/><Relationship Id="Rd7e5f994b1b948b5" Type="http://schemas.openxmlformats.org/officeDocument/2006/relationships/footer" Target="/word/footer157.xml"/><Relationship Id="R3669ac0af3924dcd" Type="http://schemas.openxmlformats.org/officeDocument/2006/relationships/header" Target="/word/header183.xml"/><Relationship Id="Ra170b7deed414f00" Type="http://schemas.openxmlformats.org/officeDocument/2006/relationships/header" Target="/word/header203.xml"/><Relationship Id="R4d1b159ec5e14513" Type="http://schemas.openxmlformats.org/officeDocument/2006/relationships/header" Target="/word/header213.xml"/><Relationship Id="Rdf534d55b467445d" Type="http://schemas.openxmlformats.org/officeDocument/2006/relationships/header" Target="/word/header216.xml"/><Relationship Id="R2db348abc97f4601" Type="http://schemas.openxmlformats.org/officeDocument/2006/relationships/footer" Target="/word/footer122.xml"/><Relationship Id="Rd806490cdd624e47" Type="http://schemas.openxmlformats.org/officeDocument/2006/relationships/header" Target="/word/header185.xml"/><Relationship Id="R154c711a24a04755" Type="http://schemas.openxmlformats.org/officeDocument/2006/relationships/header" Target="/word/header132.xml"/><Relationship Id="R61e014c555414ed4" Type="http://schemas.openxmlformats.org/officeDocument/2006/relationships/header" Target="/word/header68.xml"/><Relationship Id="Rf7d9815030124db9" Type="http://schemas.openxmlformats.org/officeDocument/2006/relationships/header" Target="/word/header80.xml"/><Relationship Id="Rb75300eccf784a2e" Type="http://schemas.openxmlformats.org/officeDocument/2006/relationships/header" Target="/word/header92.xml"/><Relationship Id="R38320f1d1bd04acd" Type="http://schemas.openxmlformats.org/officeDocument/2006/relationships/header" Target="/word/header113.xml"/><Relationship Id="Re078a95ed6b14ce9" Type="http://schemas.openxmlformats.org/officeDocument/2006/relationships/header" Target="/word/header162.xml"/><Relationship Id="Rc687ddd3867641d2" Type="http://schemas.openxmlformats.org/officeDocument/2006/relationships/footer" Target="/word/footer178.xml"/><Relationship Id="R4d6b50012439428f" Type="http://schemas.openxmlformats.org/officeDocument/2006/relationships/header" Target="/word/header221.xml"/><Relationship Id="R3e980682d63f4760" Type="http://schemas.openxmlformats.org/officeDocument/2006/relationships/header" Target="/word/header236.xml"/><Relationship Id="R2a8ce9bc36644685" Type="http://schemas.openxmlformats.org/officeDocument/2006/relationships/footer" Target="/word/footer244.xml"/><Relationship Id="R1c81af60652a4bdd" Type="http://schemas.openxmlformats.org/officeDocument/2006/relationships/header" Target="/word/header172.xml"/><Relationship Id="R6ee1c1e2b9804a62" Type="http://schemas.openxmlformats.org/officeDocument/2006/relationships/footer" Target="/word/footer110.xml"/><Relationship Id="Rf79bd1db98ec443f" Type="http://schemas.openxmlformats.org/officeDocument/2006/relationships/header" Target="/word/header249.xml"/><Relationship Id="R10ff2ae31b6d4276" Type="http://schemas.openxmlformats.org/officeDocument/2006/relationships/footer" Target="/word/footer263.xml"/><Relationship Id="Reaf7c8850cab4453" Type="http://schemas.openxmlformats.org/officeDocument/2006/relationships/footer" Target="/word/footer222.xml"/><Relationship Id="R2b4b0319ad6b4e7a" Type="http://schemas.openxmlformats.org/officeDocument/2006/relationships/footer" Target="/word/footer236.xml"/><Relationship Id="R1741884f69f94484" Type="http://schemas.openxmlformats.org/officeDocument/2006/relationships/header" Target="/word/header244.xml"/><Relationship Id="R7631c1ae818e452e" Type="http://schemas.openxmlformats.org/officeDocument/2006/relationships/header" Target="/word/header6.xml"/><Relationship Id="R1d571c7e9910467f" Type="http://schemas.openxmlformats.org/officeDocument/2006/relationships/header" Target="/word/header65.xml"/><Relationship Id="R4f58c191552d4424" Type="http://schemas.openxmlformats.org/officeDocument/2006/relationships/footer" Target="/word/footer123.xml"/><Relationship Id="R03347da31fdf4cc0" Type="http://schemas.openxmlformats.org/officeDocument/2006/relationships/footer" Target="/word/footer133.xml"/><Relationship Id="Ra3c43ab581964b9a" Type="http://schemas.openxmlformats.org/officeDocument/2006/relationships/header" Target="/word/header140.xml"/><Relationship Id="Rf9b422d389144b46" Type="http://schemas.openxmlformats.org/officeDocument/2006/relationships/header" Target="/word/header169.xml"/><Relationship Id="R44994a38002448a4" Type="http://schemas.openxmlformats.org/officeDocument/2006/relationships/header" Target="/word/header173.xml"/><Relationship Id="R328c9698a28d451e" Type="http://schemas.openxmlformats.org/officeDocument/2006/relationships/footer" Target="/word/footer194.xml"/><Relationship Id="R76e9def3c88a4f44" Type="http://schemas.openxmlformats.org/officeDocument/2006/relationships/footer" Target="/word/footer234.xml"/><Relationship Id="R30d398883c714416" Type="http://schemas.openxmlformats.org/officeDocument/2006/relationships/footer" Target="/word/footer260.xml"/><Relationship Id="R044c8dd5e2e94eb0" Type="http://schemas.openxmlformats.org/officeDocument/2006/relationships/footer" Target="/word/footer261.xml"/><Relationship Id="Ra3beb58480a14d1e" Type="http://schemas.openxmlformats.org/officeDocument/2006/relationships/header" Target="/word/header194.xml"/><Relationship Id="Rf89b7844f61542d7" Type="http://schemas.openxmlformats.org/officeDocument/2006/relationships/footer" Target="/word/footer257.xml"/><Relationship Id="R34ff24e159d84796" Type="http://schemas.openxmlformats.org/officeDocument/2006/relationships/footer" Target="/word/footer151.xml"/><Relationship Id="R99a922adf8434f40" Type="http://schemas.openxmlformats.org/officeDocument/2006/relationships/header" Target="/word/header161.xml"/><Relationship Id="R038a13b0142f4939" Type="http://schemas.openxmlformats.org/officeDocument/2006/relationships/header" Target="/word/header252.xml"/><Relationship Id="Rcf78935746154e35" Type="http://schemas.openxmlformats.org/officeDocument/2006/relationships/footer" Target="/word/footer23.xml"/><Relationship Id="R3b79250e1fad480a" Type="http://schemas.openxmlformats.org/officeDocument/2006/relationships/footer" Target="/word/footer148.xml"/><Relationship Id="R812f396ad77d4545" Type="http://schemas.openxmlformats.org/officeDocument/2006/relationships/header" Target="/word/header201.xml"/><Relationship Id="Ra68db46d045647f1" Type="http://schemas.openxmlformats.org/officeDocument/2006/relationships/header" Target="/word/header225.xml"/><Relationship Id="R6192a883dc704b45" Type="http://schemas.openxmlformats.org/officeDocument/2006/relationships/footer" Target="/word/footer247.xml"/><Relationship Id="R903ac7c4ba5a4829" Type="http://schemas.openxmlformats.org/officeDocument/2006/relationships/footer" Target="/word/footer64.xml"/><Relationship Id="R3991712fba154384" Type="http://schemas.openxmlformats.org/officeDocument/2006/relationships/header" Target="/word/header67.xml"/><Relationship Id="R44a7538bdac7456e" Type="http://schemas.openxmlformats.org/officeDocument/2006/relationships/header" Target="/word/header85.xml"/><Relationship Id="R4072cec2353449bb" Type="http://schemas.openxmlformats.org/officeDocument/2006/relationships/footer" Target="/word/footer101.xml"/><Relationship Id="Rb1dc595e0df34bd2" Type="http://schemas.openxmlformats.org/officeDocument/2006/relationships/footer" Target="/word/footer193.xml"/><Relationship Id="Rdf687ae0ad544956" Type="http://schemas.openxmlformats.org/officeDocument/2006/relationships/header" Target="/word/header250.xml"/><Relationship Id="Rd27fda503c804ea6" Type="http://schemas.openxmlformats.org/officeDocument/2006/relationships/footer" Target="/word/footer251.xml"/><Relationship Id="R1dc2e77d3b07436f" Type="http://schemas.openxmlformats.org/officeDocument/2006/relationships/header" Target="/word/header116.xml"/><Relationship Id="R3b9df35f87e44ef0" Type="http://schemas.openxmlformats.org/officeDocument/2006/relationships/header" Target="/word/header233.xml"/><Relationship Id="R5d2f4cc83aba470e" Type="http://schemas.openxmlformats.org/officeDocument/2006/relationships/header" Target="/word/header18.xml"/><Relationship Id="Refa01900045b4796" Type="http://schemas.openxmlformats.org/officeDocument/2006/relationships/footer" Target="/word/footer66.xml"/><Relationship Id="R10da865fe7614802" Type="http://schemas.openxmlformats.org/officeDocument/2006/relationships/footer" Target="/word/footer71.xml"/><Relationship Id="R6679dea8abbc4377" Type="http://schemas.openxmlformats.org/officeDocument/2006/relationships/header" Target="/word/header215.xml"/><Relationship Id="Rf0f36df2cc644d61" Type="http://schemas.openxmlformats.org/officeDocument/2006/relationships/header" Target="/word/header41.xml"/><Relationship Id="R18ad2f133e094d83" Type="http://schemas.openxmlformats.org/officeDocument/2006/relationships/footer" Target="/word/footer74.xml"/><Relationship Id="Re32884dd90734314" Type="http://schemas.openxmlformats.org/officeDocument/2006/relationships/footer" Target="/word/footer186.xml"/><Relationship Id="Ra41e1985b6144823" Type="http://schemas.openxmlformats.org/officeDocument/2006/relationships/footer" Target="/word/footer192.xml"/><Relationship Id="R6b0b4a3362004743" Type="http://schemas.openxmlformats.org/officeDocument/2006/relationships/footer" Target="/word/footer232.xml"/><Relationship Id="Rd70b56fd6e5643a8" Type="http://schemas.openxmlformats.org/officeDocument/2006/relationships/footer" Target="/word/footer92.xml"/><Relationship Id="Rb2307f4f32874912" Type="http://schemas.openxmlformats.org/officeDocument/2006/relationships/footer" Target="/word/footer20.xml"/><Relationship Id="Rfbd9b67342504d67" Type="http://schemas.openxmlformats.org/officeDocument/2006/relationships/footer" Target="/word/footer57.xml"/><Relationship Id="Rd0ad81ee5e8c437b" Type="http://schemas.openxmlformats.org/officeDocument/2006/relationships/footer" Target="/word/footer78.xml"/><Relationship Id="R3c30300ab93e4acf" Type="http://schemas.openxmlformats.org/officeDocument/2006/relationships/header" Target="/word/header26.xml"/><Relationship Id="Rb1c9ef4557714071" Type="http://schemas.openxmlformats.org/officeDocument/2006/relationships/footer" Target="/word/footer180.xml"/><Relationship Id="R46631a74d95e4e15" Type="http://schemas.openxmlformats.org/officeDocument/2006/relationships/footer" Target="/word/footer207.xml"/><Relationship Id="R1f2f3bb93fb24aaf" Type="http://schemas.openxmlformats.org/officeDocument/2006/relationships/header" Target="/word/header257.xml"/><Relationship Id="Rfe9cc597bb0b444a" Type="http://schemas.openxmlformats.org/officeDocument/2006/relationships/footer" Target="/word/footer35.xml"/><Relationship Id="R174103b3fea04b99" Type="http://schemas.openxmlformats.org/officeDocument/2006/relationships/footer" Target="/word/footer54.xml"/><Relationship Id="R5535bc717d044e53" Type="http://schemas.openxmlformats.org/officeDocument/2006/relationships/header" Target="/word/header70.xml"/><Relationship Id="R6071ded65cc249ae" Type="http://schemas.openxmlformats.org/officeDocument/2006/relationships/header" Target="/word/header260.xml"/><Relationship Id="Rb2969b84600d4502" Type="http://schemas.openxmlformats.org/officeDocument/2006/relationships/footer" Target="/word/footer9.xml"/><Relationship Id="R7502639f338a4513" Type="http://schemas.openxmlformats.org/officeDocument/2006/relationships/footer" Target="/word/footer75.xml"/><Relationship Id="R64b9a481d14c4894" Type="http://schemas.openxmlformats.org/officeDocument/2006/relationships/header" Target="/word/header253.xml"/><Relationship Id="R97a6666b2329410b" Type="http://schemas.openxmlformats.org/officeDocument/2006/relationships/footer" Target="/word/footer198.xml"/><Relationship Id="Rd8148f97688644e5" Type="http://schemas.openxmlformats.org/officeDocument/2006/relationships/footer" Target="/word/footer218.xml"/><Relationship Id="Rdf51e650a2534225" Type="http://schemas.openxmlformats.org/officeDocument/2006/relationships/footer" Target="/word/footer223.xml"/><Relationship Id="R49499027b1524bdf" Type="http://schemas.openxmlformats.org/officeDocument/2006/relationships/footer" Target="/word/footer216.xml"/><Relationship Id="Rb42c322835634bc1" Type="http://schemas.openxmlformats.org/officeDocument/2006/relationships/header" Target="/word/header263.xml"/><Relationship Id="R947352cd597b4170" Type="http://schemas.openxmlformats.org/officeDocument/2006/relationships/header" Target="/word/header14.xml"/><Relationship Id="R0f298b9f612c4d2e" Type="http://schemas.openxmlformats.org/officeDocument/2006/relationships/header" Target="/word/header21.xml"/><Relationship Id="R7db32ccbeb1b48de" Type="http://schemas.openxmlformats.org/officeDocument/2006/relationships/footer" Target="/word/footer62.xml"/><Relationship Id="R79825630ca0a4a3a" Type="http://schemas.openxmlformats.org/officeDocument/2006/relationships/header" Target="/word/header103.xml"/><Relationship Id="Rbe1ae4cd22cd4212" Type="http://schemas.openxmlformats.org/officeDocument/2006/relationships/footer" Target="/word/footer196.xml"/><Relationship Id="Ra0cd462845e14a0d" Type="http://schemas.openxmlformats.org/officeDocument/2006/relationships/header" Target="/word/header19.xml"/><Relationship Id="R05237445d7e84acf" Type="http://schemas.openxmlformats.org/officeDocument/2006/relationships/header" Target="/word/header40.xml"/><Relationship Id="R1a3ca8db809d4575" Type="http://schemas.openxmlformats.org/officeDocument/2006/relationships/header" Target="/word/header49.xml"/><Relationship Id="Rca993b3d08e8488e" Type="http://schemas.openxmlformats.org/officeDocument/2006/relationships/footer" Target="/word/footer159.xml"/><Relationship Id="R42512f952e0f40f9" Type="http://schemas.openxmlformats.org/officeDocument/2006/relationships/header" Target="/word/header220.xml"/><Relationship Id="Rcd404230036b4c14" Type="http://schemas.openxmlformats.org/officeDocument/2006/relationships/header" Target="/word/header89.xml"/><Relationship Id="R71ed80bd8f874559" Type="http://schemas.openxmlformats.org/officeDocument/2006/relationships/header" Target="/word/header107.xml"/><Relationship Id="R333e02fdcfe14b99" Type="http://schemas.openxmlformats.org/officeDocument/2006/relationships/header" Target="/word/header131.xml"/><Relationship Id="R517cd036ca2f4c5b" Type="http://schemas.openxmlformats.org/officeDocument/2006/relationships/footer" Target="/word/footer134.xml"/><Relationship Id="Rbe852652698b4120" Type="http://schemas.openxmlformats.org/officeDocument/2006/relationships/header" Target="/word/header137.xml"/><Relationship Id="Rcc730951154e452d" Type="http://schemas.openxmlformats.org/officeDocument/2006/relationships/footer" Target="/word/footer185.xml"/><Relationship Id="rId2" Type="http://schemas.openxmlformats.org/officeDocument/2006/relationships/customXml" Target="../customXml/item2.xml"/><Relationship Id="Raa83ae227fa54d7a" Type="http://schemas.openxmlformats.org/officeDocument/2006/relationships/header" Target="/word/header37.xml"/><Relationship Id="R1de71064e6c54491" Type="http://schemas.openxmlformats.org/officeDocument/2006/relationships/footer" Target="/word/footer40.xml"/><Relationship Id="R45d27c5537064662" Type="http://schemas.openxmlformats.org/officeDocument/2006/relationships/header" Target="/word/header147.xml"/><Relationship Id="R6f307c9b2fc54ed1" Type="http://schemas.openxmlformats.org/officeDocument/2006/relationships/footer" Target="/word/footer215.xml"/><Relationship Id="R7a00cd9f920b4d6d" Type="http://schemas.openxmlformats.org/officeDocument/2006/relationships/footer" Target="/word/footer221.xml"/><Relationship Id="R8a59c6fec07040b5" Type="http://schemas.openxmlformats.org/officeDocument/2006/relationships/header" Target="/word/header35.xml"/><Relationship Id="R0a651d0998e041b9" Type="http://schemas.openxmlformats.org/officeDocument/2006/relationships/header" Target="/word/header43.xml"/><Relationship Id="R0dc79c4f571f4bbb" Type="http://schemas.openxmlformats.org/officeDocument/2006/relationships/footer" Target="/word/footer85.xml"/><Relationship Id="R069a0074af794be6" Type="http://schemas.openxmlformats.org/officeDocument/2006/relationships/footer" Target="/word/footer206.xml"/><Relationship Id="R193a0e3c6ed544bc" Type="http://schemas.openxmlformats.org/officeDocument/2006/relationships/footer" Target="/word/footer76.xml"/><Relationship Id="Rceb908b88e894379" Type="http://schemas.openxmlformats.org/officeDocument/2006/relationships/header" Target="/word/header102.xml"/><Relationship Id="R7b0a6472ca504c9c" Type="http://schemas.openxmlformats.org/officeDocument/2006/relationships/footer" Target="/word/footer138.xml"/><Relationship Id="R0bf29f6628d641bd" Type="http://schemas.openxmlformats.org/officeDocument/2006/relationships/header" Target="/word/header234.xml"/><Relationship Id="R9ae07f021c6944ca" Type="http://schemas.openxmlformats.org/officeDocument/2006/relationships/header" Target="/word/header255.xml"/><Relationship Id="R3b79d5f051fd4445" Type="http://schemas.openxmlformats.org/officeDocument/2006/relationships/footer" Target="/word/footer255.xml"/><Relationship Id="R41c9adfdf45946da" Type="http://schemas.openxmlformats.org/officeDocument/2006/relationships/header" Target="/word/header13.xml"/><Relationship Id="R935192ccd5cf4428" Type="http://schemas.openxmlformats.org/officeDocument/2006/relationships/header" Target="/word/header38.xml"/><Relationship Id="R78373aacccf94bb1" Type="http://schemas.openxmlformats.org/officeDocument/2006/relationships/header" Target="/word/header104.xml"/><Relationship Id="R0503284f3bef4038" Type="http://schemas.openxmlformats.org/officeDocument/2006/relationships/header" Target="/word/header142.xml"/><Relationship Id="Rf9ccb57e3b444ad3" Type="http://schemas.openxmlformats.org/officeDocument/2006/relationships/footer" Target="/word/footer205.xml"/><Relationship Id="R31ec324bb3104cb6" Type="http://schemas.openxmlformats.org/officeDocument/2006/relationships/footer" Target="/word/footer3.xml"/><Relationship Id="Ra858c39b8e5d455a" Type="http://schemas.openxmlformats.org/officeDocument/2006/relationships/footer" Target="/word/footer61.xml"/><Relationship Id="R4ab6648a46744424" Type="http://schemas.openxmlformats.org/officeDocument/2006/relationships/footer" Target="/word/footer67.xml"/><Relationship Id="Rcc6cd27eaf3f4028" Type="http://schemas.openxmlformats.org/officeDocument/2006/relationships/header" Target="/word/header248.xml"/><Relationship Id="Rfd2857bc77b44c0f" Type="http://schemas.openxmlformats.org/officeDocument/2006/relationships/header" Target="/word/header77.xml"/><Relationship Id="R935077391c6f433c" Type="http://schemas.openxmlformats.org/officeDocument/2006/relationships/header" Target="/word/header84.xml"/><Relationship Id="Rd81fcaee788e457c" Type="http://schemas.openxmlformats.org/officeDocument/2006/relationships/footer" Target="/word/footer126.xml"/><Relationship Id="R59065ef631e64d5b" Type="http://schemas.openxmlformats.org/officeDocument/2006/relationships/footer" Target="/word/footer128.xml"/><Relationship Id="R5288fe661d914da2" Type="http://schemas.openxmlformats.org/officeDocument/2006/relationships/footer" Target="/word/footer230.xml"/><Relationship Id="R1518cf35119c4786" Type="http://schemas.openxmlformats.org/officeDocument/2006/relationships/footer" Target="/word/footer242.xml"/><Relationship Id="R29fb86dbce8941f2" Type="http://schemas.openxmlformats.org/officeDocument/2006/relationships/header" Target="/word/header258.xml"/><Relationship Id="R829c1cef39dc42f3" Type="http://schemas.openxmlformats.org/officeDocument/2006/relationships/header" Target="/word/header93.xml"/><Relationship Id="R6eb8beed1b224dad" Type="http://schemas.openxmlformats.org/officeDocument/2006/relationships/footer" Target="/word/footer106.xml"/><Relationship Id="Rdd258d5311684cd4" Type="http://schemas.openxmlformats.org/officeDocument/2006/relationships/footer" Target="/word/footer233.xml"/><Relationship Id="R5c2ace2a37b146f8" Type="http://schemas.openxmlformats.org/officeDocument/2006/relationships/footer" Target="/word/footer22.xml"/><Relationship Id="R9ef9efdbc5b74d22" Type="http://schemas.openxmlformats.org/officeDocument/2006/relationships/header" Target="/word/header115.xml"/><Relationship Id="Rd9cea6f0a1524d1a" Type="http://schemas.openxmlformats.org/officeDocument/2006/relationships/header" Target="/word/header62.xml"/><Relationship Id="R84da1ac14bbb451b" Type="http://schemas.openxmlformats.org/officeDocument/2006/relationships/footer" Target="/word/footer98.xml"/><Relationship Id="R05b9a1bc41af493d" Type="http://schemas.openxmlformats.org/officeDocument/2006/relationships/footer" Target="/word/footer116.xml"/><Relationship Id="Rcffeab0c31b94a29" Type="http://schemas.openxmlformats.org/officeDocument/2006/relationships/footer" Target="/word/footer135.xml"/><Relationship Id="R03efa80961194a0d" Type="http://schemas.openxmlformats.org/officeDocument/2006/relationships/header" Target="/word/header177.xml"/><Relationship Id="R765a1a31867c4f4b" Type="http://schemas.openxmlformats.org/officeDocument/2006/relationships/footer" Target="/word/footer235.xml"/><Relationship Id="R5100332c16ad40a3" Type="http://schemas.openxmlformats.org/officeDocument/2006/relationships/header" Target="/word/header242.xml"/><Relationship Id="Rb2c5a8a70cd54cad" Type="http://schemas.openxmlformats.org/officeDocument/2006/relationships/webSettings" Target="/word/webSettings.xml"/><Relationship Id="R9fed168def7a4c16" Type="http://schemas.openxmlformats.org/officeDocument/2006/relationships/footer" Target="/word/footer15.xml"/><Relationship Id="R6aecad931e424433" Type="http://schemas.openxmlformats.org/officeDocument/2006/relationships/footer" Target="/word/footer79.xml"/><Relationship Id="Rd4afd2b7da25461b" Type="http://schemas.openxmlformats.org/officeDocument/2006/relationships/header" Target="/word/header90.xml"/><Relationship Id="R05d82d121a6b4630" Type="http://schemas.openxmlformats.org/officeDocument/2006/relationships/header" Target="/word/header95.xml"/><Relationship Id="R3973912084734677" Type="http://schemas.openxmlformats.org/officeDocument/2006/relationships/header" Target="/word/header150.xml"/><Relationship Id="R580dd8afec2e41e9" Type="http://schemas.openxmlformats.org/officeDocument/2006/relationships/header" Target="/word/header261.xml"/><Relationship Id="R93bdb60578244c18" Type="http://schemas.openxmlformats.org/officeDocument/2006/relationships/header" Target="/word/header59.xml"/><Relationship Id="Redd4d83527d44a5f" Type="http://schemas.openxmlformats.org/officeDocument/2006/relationships/header" Target="/word/header20.xml"/><Relationship Id="Rcfb93dc7b2fd4609" Type="http://schemas.openxmlformats.org/officeDocument/2006/relationships/footer" Target="/word/footer37.xml"/><Relationship Id="Rbadda925d21c4b73" Type="http://schemas.openxmlformats.org/officeDocument/2006/relationships/footer" Target="/word/footer44.xml"/><Relationship Id="Rbc9ac1eaa27f4c1e" Type="http://schemas.openxmlformats.org/officeDocument/2006/relationships/footer" Target="/word/footer237.xml"/><Relationship Id="Rfc6a43ed61724244" Type="http://schemas.openxmlformats.org/officeDocument/2006/relationships/endnotes" Target="/word/endnotes.xml"/><Relationship Id="Rf50213f3a552478c" Type="http://schemas.openxmlformats.org/officeDocument/2006/relationships/header" Target="/word/header29.xml"/><Relationship Id="Re82ce8d5a9684209" Type="http://schemas.openxmlformats.org/officeDocument/2006/relationships/header" Target="/word/header64.xml"/><Relationship Id="Rc7e577fa843049a3" Type="http://schemas.openxmlformats.org/officeDocument/2006/relationships/header" Target="/word/header79.xml"/><Relationship Id="R16e2d1c5e2d3499a" Type="http://schemas.openxmlformats.org/officeDocument/2006/relationships/footer" Target="/word/footer91.xml"/><Relationship Id="R9c78c8aba5474baf" Type="http://schemas.openxmlformats.org/officeDocument/2006/relationships/header" Target="/word/header94.xml"/><Relationship Id="Rcb7ab29e4e904b28" Type="http://schemas.openxmlformats.org/officeDocument/2006/relationships/header" Target="/word/header211.xml"/><Relationship Id="Raa9e045203d44d05" Type="http://schemas.openxmlformats.org/officeDocument/2006/relationships/footer" Target="/word/footer25.xml"/><Relationship Id="Re6078efe11134513" Type="http://schemas.openxmlformats.org/officeDocument/2006/relationships/header" Target="/word/header158.xml"/><Relationship Id="R5ad2fbda84c0421b" Type="http://schemas.openxmlformats.org/officeDocument/2006/relationships/footer" Target="/word/footer169.xml"/><Relationship Id="R4f09a7c16cfa4dac" Type="http://schemas.openxmlformats.org/officeDocument/2006/relationships/header" Target="/word/header237.xml"/><Relationship Id="R625d669baa5c48f8" Type="http://schemas.openxmlformats.org/officeDocument/2006/relationships/header" Target="/word/header23.xml"/><Relationship Id="R440cf18abcf34917" Type="http://schemas.openxmlformats.org/officeDocument/2006/relationships/header" Target="/word/header36.xml"/><Relationship Id="Ra87121506efa4a4c" Type="http://schemas.openxmlformats.org/officeDocument/2006/relationships/footer" Target="/word/footer137.xml"/><Relationship Id="R6b6b633bab1c4fb3" Type="http://schemas.openxmlformats.org/officeDocument/2006/relationships/header" Target="/word/header152.xml"/><Relationship Id="R2eb4bff1cfde4e72" Type="http://schemas.openxmlformats.org/officeDocument/2006/relationships/header" Target="/word/header165.xml"/><Relationship Id="R48626994ac704cf8" Type="http://schemas.openxmlformats.org/officeDocument/2006/relationships/footer" Target="/word/footer53.xml"/><Relationship Id="R24f40aabbb1a4fa5" Type="http://schemas.openxmlformats.org/officeDocument/2006/relationships/header" Target="/word/header139.xml"/><Relationship Id="R5c3c29420a67458e" Type="http://schemas.openxmlformats.org/officeDocument/2006/relationships/header" Target="/word/header189.xml"/><Relationship Id="R66d64afd7ecb44c2" Type="http://schemas.openxmlformats.org/officeDocument/2006/relationships/header" Target="/word/header200.xml"/><Relationship Id="R7c390b2889a94e80" Type="http://schemas.openxmlformats.org/officeDocument/2006/relationships/header" Target="/word/header28.xml"/><Relationship Id="R9dd232cff53c44bd" Type="http://schemas.openxmlformats.org/officeDocument/2006/relationships/footer" Target="/word/footer87.xml"/><Relationship Id="R9041e4160d08430f" Type="http://schemas.openxmlformats.org/officeDocument/2006/relationships/header" Target="/word/header97.xml"/><Relationship Id="Rd904f188ae0241a0" Type="http://schemas.openxmlformats.org/officeDocument/2006/relationships/header" Target="/word/header174.xml"/><Relationship Id="R336351dd70014c54" Type="http://schemas.openxmlformats.org/officeDocument/2006/relationships/footer" Target="/word/footer190.xml"/><Relationship Id="R75f567afc14642ed" Type="http://schemas.openxmlformats.org/officeDocument/2006/relationships/header" Target="/word/header226.xml"/><Relationship Id="R700c686cff564f65" Type="http://schemas.openxmlformats.org/officeDocument/2006/relationships/header" Target="/word/header2.xml"/><Relationship Id="R8fdc01eccd9c45dd" Type="http://schemas.openxmlformats.org/officeDocument/2006/relationships/header" Target="/word/header69.xml"/><Relationship Id="Re5d656a4a5e843c0" Type="http://schemas.openxmlformats.org/officeDocument/2006/relationships/header" Target="/word/header111.xml"/><Relationship Id="R669dc07a08ab441b" Type="http://schemas.openxmlformats.org/officeDocument/2006/relationships/footer" Target="/word/footer125.xml"/><Relationship Id="Ra6a3c83604e64d20" Type="http://schemas.openxmlformats.org/officeDocument/2006/relationships/header" Target="/word/header96.xml"/><Relationship Id="Rfb7b5391945047e2" Type="http://schemas.openxmlformats.org/officeDocument/2006/relationships/footer" Target="/word/footer95.xml"/><Relationship Id="R422f574da91b44ff" Type="http://schemas.openxmlformats.org/officeDocument/2006/relationships/header" Target="/word/header227.xml"/><Relationship Id="R500895981bb04636" Type="http://schemas.openxmlformats.org/officeDocument/2006/relationships/footer" Target="/word/footer4.xml"/><Relationship Id="R536b90641853488a" Type="http://schemas.openxmlformats.org/officeDocument/2006/relationships/footer" Target="/word/footer63.xml"/><Relationship Id="R0b47ccf80dc1484f" Type="http://schemas.openxmlformats.org/officeDocument/2006/relationships/header" Target="/word/header75.xml"/><Relationship Id="Rfecd6deee01a412e" Type="http://schemas.openxmlformats.org/officeDocument/2006/relationships/footer" Target="/word/footer80.xml"/><Relationship Id="Ra6a54400d853425f" Type="http://schemas.openxmlformats.org/officeDocument/2006/relationships/footer" Target="/word/footer204.xml"/><Relationship Id="R35e7e1865d6c49b0" Type="http://schemas.openxmlformats.org/officeDocument/2006/relationships/header" Target="/word/header224.xml"/><Relationship Id="R088d72fc000a4879" Type="http://schemas.openxmlformats.org/officeDocument/2006/relationships/header" Target="/word/header82.xml"/><Relationship Id="R179d4d0e96e54bb2" Type="http://schemas.openxmlformats.org/officeDocument/2006/relationships/footer" Target="/word/footer145.xml"/><Relationship Id="R5cb1bec239694d47" Type="http://schemas.openxmlformats.org/officeDocument/2006/relationships/footer" Target="/word/footer175.xml"/><Relationship Id="Rff78091f97e3493a" Type="http://schemas.openxmlformats.org/officeDocument/2006/relationships/header" Target="/word/header191.xml"/><Relationship Id="R8c1de7217a8942c7" Type="http://schemas.openxmlformats.org/officeDocument/2006/relationships/header" Target="/word/header48.xml"/><Relationship Id="R7a624f1855d14cd5" Type="http://schemas.openxmlformats.org/officeDocument/2006/relationships/footer" Target="/word/footer46.xml"/><Relationship Id="R8a71e7036e2944ce" Type="http://schemas.openxmlformats.org/officeDocument/2006/relationships/header" Target="/word/header86.xml"/><Relationship Id="R96c253865d1e447c" Type="http://schemas.openxmlformats.org/officeDocument/2006/relationships/footer" Target="/word/footer5.xml"/><Relationship Id="R8116b2b19c2843a0" Type="http://schemas.openxmlformats.org/officeDocument/2006/relationships/footer" Target="/word/footer50.xml"/><Relationship Id="R3bd0f0393bdc42e4" Type="http://schemas.openxmlformats.org/officeDocument/2006/relationships/footer" Target="/word/footer143.xml"/><Relationship Id="Rd7e35d9d28ab4fa1" Type="http://schemas.openxmlformats.org/officeDocument/2006/relationships/footer" Target="/word/footer182.xml"/><Relationship Id="Ra73f2f5683c8443b" Type="http://schemas.openxmlformats.org/officeDocument/2006/relationships/footer" Target="/word/footer200.xml"/><Relationship Id="R675f1ff79b9149e1" Type="http://schemas.openxmlformats.org/officeDocument/2006/relationships/header" Target="/word/header206.xml"/><Relationship Id="Re7b2f5f0aa1c4d12" Type="http://schemas.openxmlformats.org/officeDocument/2006/relationships/image" Target="/media/image.bin"/><Relationship Id="Rc2910c22899d4eea" Type="http://schemas.openxmlformats.org/officeDocument/2006/relationships/footer" Target="/word/footer45.xml"/><Relationship Id="Rf2e04ee353e94535" Type="http://schemas.openxmlformats.org/officeDocument/2006/relationships/header" Target="/word/header56.xml"/><Relationship Id="Rc8ab6a10dcf54ddb" Type="http://schemas.openxmlformats.org/officeDocument/2006/relationships/header" Target="/word/header168.xml"/><Relationship Id="R44fd7f0195664ba4" Type="http://schemas.openxmlformats.org/officeDocument/2006/relationships/header" Target="/word/header188.xml"/><Relationship Id="Ra10bae93312341c1" Type="http://schemas.openxmlformats.org/officeDocument/2006/relationships/footer" Target="/word/footer188.xml"/><Relationship Id="R11c6c3ec06a7449a" Type="http://schemas.openxmlformats.org/officeDocument/2006/relationships/footer" Target="/word/footer30.xml"/><Relationship Id="R6f32680f4e594114" Type="http://schemas.openxmlformats.org/officeDocument/2006/relationships/footer" Target="/word/footer47.xml"/><Relationship Id="Ra4274255622c49a8" Type="http://schemas.openxmlformats.org/officeDocument/2006/relationships/header" Target="/word/header58.xml"/><Relationship Id="R7f309ee79a754acb" Type="http://schemas.openxmlformats.org/officeDocument/2006/relationships/footer" Target="/word/footer161.xml"/><Relationship Id="Ra01c3018c58848ae" Type="http://schemas.openxmlformats.org/officeDocument/2006/relationships/footer" Target="/word/footer26.xml"/><Relationship Id="R00eba077fe2c43ad" Type="http://schemas.openxmlformats.org/officeDocument/2006/relationships/footer" Target="/word/footer51.xml"/><Relationship Id="R68bd9ebb6b33439a" Type="http://schemas.openxmlformats.org/officeDocument/2006/relationships/header" Target="/word/header108.xml"/><Relationship Id="Rb88e554dde244b03" Type="http://schemas.openxmlformats.org/officeDocument/2006/relationships/footer" Target="/word/footer109.xml"/><Relationship Id="R0a700151f6cd4fcf" Type="http://schemas.openxmlformats.org/officeDocument/2006/relationships/header" Target="/word/header212.xml"/><Relationship Id="R690f04bbcd40449b" Type="http://schemas.openxmlformats.org/officeDocument/2006/relationships/header" Target="/word/header241.xml"/><Relationship Id="Rd471eb2b65504969" Type="http://schemas.openxmlformats.org/officeDocument/2006/relationships/footer" Target="/word/footer24.xml"/><Relationship Id="R2ff3a2e5739c4831" Type="http://schemas.openxmlformats.org/officeDocument/2006/relationships/header" Target="/word/header57.xml"/><Relationship Id="R82f0a78fc0634b8a" Type="http://schemas.openxmlformats.org/officeDocument/2006/relationships/footer" Target="/word/footer165.xml"/><Relationship Id="R9f78c9e7dd5049f7" Type="http://schemas.openxmlformats.org/officeDocument/2006/relationships/footer" Target="/word/footer195.xml"/><Relationship Id="Rc442eb6c7db94f65" Type="http://schemas.openxmlformats.org/officeDocument/2006/relationships/header" Target="/word/header217.xml"/><Relationship Id="R146ac3d293674bca" Type="http://schemas.openxmlformats.org/officeDocument/2006/relationships/header" Target="/word/header145.xml"/><Relationship Id="R6c99d29eb9f04f4a" Type="http://schemas.openxmlformats.org/officeDocument/2006/relationships/header" Target="/word/header199.xml"/><Relationship Id="R026d2db549804de4" Type="http://schemas.openxmlformats.org/officeDocument/2006/relationships/header" Target="/word/header208.xml"/><Relationship Id="Rc18698cfac3e4eb6" Type="http://schemas.openxmlformats.org/officeDocument/2006/relationships/header" Target="/word/header229.xml"/><Relationship Id="Rf1d72e636e76484c" Type="http://schemas.openxmlformats.org/officeDocument/2006/relationships/footer" Target="/word/footer245.xml"/><Relationship Id="Rd7efc741a4c64e66" Type="http://schemas.openxmlformats.org/officeDocument/2006/relationships/header" Target="/word/header3.xml"/><Relationship Id="R4f1d8cb39d2f4bfa" Type="http://schemas.openxmlformats.org/officeDocument/2006/relationships/footer" Target="/word/footer42.xml"/><Relationship Id="R023243bd7fbb48c6" Type="http://schemas.openxmlformats.org/officeDocument/2006/relationships/footer" Target="/word/footer43.xml"/><Relationship Id="R5db9c9a6446b4b9b" Type="http://schemas.openxmlformats.org/officeDocument/2006/relationships/footer" Target="/word/footer55.xml"/><Relationship Id="R06a3b48e89a54266" Type="http://schemas.openxmlformats.org/officeDocument/2006/relationships/footer" Target="/word/footer168.xml"/><Relationship Id="Rf788908b2ad94be4" Type="http://schemas.openxmlformats.org/officeDocument/2006/relationships/footer" Target="/word/footer240.xml"/><Relationship Id="Re1e2418dc30b4b73" Type="http://schemas.openxmlformats.org/officeDocument/2006/relationships/header" Target="/word/header9.xml"/><Relationship Id="R61eee3d36cd14cd9" Type="http://schemas.openxmlformats.org/officeDocument/2006/relationships/header" Target="/word/header164.xml"/><Relationship Id="Rdc60ae8ace9b4de5" Type="http://schemas.openxmlformats.org/officeDocument/2006/relationships/footer" Target="/word/footer39.xml"/><Relationship Id="Ra254c88ca36b40ba" Type="http://schemas.openxmlformats.org/officeDocument/2006/relationships/header" Target="/word/header47.xml"/><Relationship Id="Rac8032133a5d43f6" Type="http://schemas.openxmlformats.org/officeDocument/2006/relationships/header" Target="/word/header88.xml"/><Relationship Id="Rcf760435914841e9" Type="http://schemas.openxmlformats.org/officeDocument/2006/relationships/header" Target="/word/header119.xml"/><Relationship Id="Rd2f35af6173e494c" Type="http://schemas.openxmlformats.org/officeDocument/2006/relationships/footer" Target="/word/footer119.xml"/><Relationship Id="Re3cc3371bf34413c" Type="http://schemas.openxmlformats.org/officeDocument/2006/relationships/footer" Target="/word/footer129.xml"/><Relationship Id="R800b1c4862e74343" Type="http://schemas.openxmlformats.org/officeDocument/2006/relationships/footer" Target="/word/footer6.xml"/><Relationship Id="R6d8ed6d868584a5d" Type="http://schemas.openxmlformats.org/officeDocument/2006/relationships/footer" Target="/word/footer72.xml"/><Relationship Id="Rc46a631333c247de" Type="http://schemas.openxmlformats.org/officeDocument/2006/relationships/footer" Target="/word/footer172.xml"/><Relationship Id="Rf0c7fc4dff834338" Type="http://schemas.openxmlformats.org/officeDocument/2006/relationships/header" Target="/word/header178.xml"/><Relationship Id="R316d6cf043ec48e9" Type="http://schemas.openxmlformats.org/officeDocument/2006/relationships/footer" Target="/word/footer224.xml"/><Relationship Id="R1b94d78476694975" Type="http://schemas.openxmlformats.org/officeDocument/2006/relationships/header" Target="/word/header251.xml"/><Relationship Id="Rfd160481fd3f4d04" Type="http://schemas.openxmlformats.org/officeDocument/2006/relationships/settings" Target="/word/settings.xml"/><Relationship Id="R0a1b860d87b64d8f" Type="http://schemas.openxmlformats.org/officeDocument/2006/relationships/footer" Target="/word/footer29.xml"/><Relationship Id="R7c5e7bfb9ee44846" Type="http://schemas.openxmlformats.org/officeDocument/2006/relationships/header" Target="/word/header44.xml"/><Relationship Id="Rc753a0fb934d40b5" Type="http://schemas.openxmlformats.org/officeDocument/2006/relationships/header" Target="/word/header128.xml"/><Relationship Id="Rbc0eff49c1a5451e" Type="http://schemas.openxmlformats.org/officeDocument/2006/relationships/header" Target="/word/header176.xml"/><Relationship Id="Rf7c12fd76da240e9" Type="http://schemas.openxmlformats.org/officeDocument/2006/relationships/header" Target="/word/header39.xml"/><Relationship Id="R95410c179ce3473f" Type="http://schemas.openxmlformats.org/officeDocument/2006/relationships/header" Target="/word/header148.xml"/><Relationship Id="Rae0a46c3c11b479b" Type="http://schemas.openxmlformats.org/officeDocument/2006/relationships/footer" Target="/word/footer153.xml"/><Relationship Id="R7c214b3ae5f942c4" Type="http://schemas.openxmlformats.org/officeDocument/2006/relationships/styles" Target="/word/styles.xml"/><Relationship Id="R85d89eca5a444ea7" Type="http://schemas.openxmlformats.org/officeDocument/2006/relationships/footer" Target="/word/footer21.xml"/><Relationship Id="R93657633135a464c" Type="http://schemas.openxmlformats.org/officeDocument/2006/relationships/header" Target="/word/header51.xml"/><Relationship Id="R76d0fd2184244bce" Type="http://schemas.openxmlformats.org/officeDocument/2006/relationships/footer" Target="/word/footer88.xml"/><Relationship Id="Red0962f72f0444ab" Type="http://schemas.openxmlformats.org/officeDocument/2006/relationships/footer" Target="/word/footer94.xml"/><Relationship Id="R795dd5e24611475e" Type="http://schemas.openxmlformats.org/officeDocument/2006/relationships/footer" Target="/word/footer112.xml"/><Relationship Id="R87e1e7b8074a49b2" Type="http://schemas.openxmlformats.org/officeDocument/2006/relationships/footer" Target="/word/footer176.xml"/><Relationship Id="R30bd7366927445a9" Type="http://schemas.openxmlformats.org/officeDocument/2006/relationships/footer" Target="/word/footer199.xml"/><Relationship Id="Rf00d40c9f16a47d4" Type="http://schemas.openxmlformats.org/officeDocument/2006/relationships/footer" Target="/word/footer59.xml"/><Relationship Id="R6842e4c78be84fcc" Type="http://schemas.openxmlformats.org/officeDocument/2006/relationships/footer" Target="/word/footer68.xml"/><Relationship Id="R65fc1d9cc2dd4ca7" Type="http://schemas.openxmlformats.org/officeDocument/2006/relationships/footer" Target="/word/footer202.xml"/><Relationship Id="Rc6ed84495ebe4ca2" Type="http://schemas.openxmlformats.org/officeDocument/2006/relationships/footer" Target="/word/footer162.xml"/><Relationship Id="Red701024f213471a" Type="http://schemas.openxmlformats.org/officeDocument/2006/relationships/header" Target="/word/header30.xml"/><Relationship Id="Rd0f24e082e484d15" Type="http://schemas.openxmlformats.org/officeDocument/2006/relationships/header" Target="/word/header117.xml"/><Relationship Id="R22354a135ac841b4" Type="http://schemas.openxmlformats.org/officeDocument/2006/relationships/footer" Target="/word/footer127.xml"/><Relationship Id="R4b625251939742ae" Type="http://schemas.openxmlformats.org/officeDocument/2006/relationships/footer" Target="/word/footer213.xml"/><Relationship Id="R7f08e3aeac284a18" Type="http://schemas.openxmlformats.org/officeDocument/2006/relationships/footer" Target="/word/footer73.xml"/><Relationship Id="R029df5204a42466f" Type="http://schemas.openxmlformats.org/officeDocument/2006/relationships/footer" Target="/word/footer100.xml"/><Relationship Id="R4520b4da97c54ad2" Type="http://schemas.openxmlformats.org/officeDocument/2006/relationships/footer" Target="/word/footer131.xml"/><Relationship Id="R6cbf244d5cd84c21" Type="http://schemas.openxmlformats.org/officeDocument/2006/relationships/header" Target="/word/header149.xml"/><Relationship Id="R88470d9bb59e4cd2" Type="http://schemas.openxmlformats.org/officeDocument/2006/relationships/header" Target="/word/header167.xml"/><Relationship Id="Rd2ab69c770f24a1a" Type="http://schemas.openxmlformats.org/officeDocument/2006/relationships/header" Target="/word/header197.xml"/><Relationship Id="Ra085228dd2ba4c73" Type="http://schemas.openxmlformats.org/officeDocument/2006/relationships/footer" Target="/word/footer173.xml"/><Relationship Id="Rc7428f6eddf04d4f" Type="http://schemas.openxmlformats.org/officeDocument/2006/relationships/footer" Target="/word/footer141.xml"/><Relationship Id="R4126f07c9102477b" Type="http://schemas.openxmlformats.org/officeDocument/2006/relationships/footer" Target="/word/footer155.xml"/><Relationship Id="Rc62971fb716f40b7" Type="http://schemas.openxmlformats.org/officeDocument/2006/relationships/header" Target="/word/header186.xml"/><Relationship Id="R85efa403ed014969" Type="http://schemas.openxmlformats.org/officeDocument/2006/relationships/header" Target="/word/header264.xml"/><Relationship Id="R33d5d207ad4f4458" Type="http://schemas.openxmlformats.org/officeDocument/2006/relationships/footer" Target="/word/footer13.xml"/><Relationship Id="R55cfe0b16ace4eae" Type="http://schemas.openxmlformats.org/officeDocument/2006/relationships/header" Target="/word/header34.xml"/><Relationship Id="R9cbfcf466eb34620" Type="http://schemas.openxmlformats.org/officeDocument/2006/relationships/footer" Target="/word/footer249.xml"/><Relationship Id="R299a9ffa85904c1e" Type="http://schemas.openxmlformats.org/officeDocument/2006/relationships/footer" Target="/word/footer41.xml"/><Relationship Id="R25b24be666984830" Type="http://schemas.openxmlformats.org/officeDocument/2006/relationships/footer" Target="/word/footer209.xml"/><Relationship Id="Re38a4ff08d874e47" Type="http://schemas.openxmlformats.org/officeDocument/2006/relationships/footer" Target="/word/footer214.xml"/><Relationship Id="R6ffd3a644cea44dd" Type="http://schemas.openxmlformats.org/officeDocument/2006/relationships/header" Target="/word/header17.xml"/><Relationship Id="R3fbfdeb4ffd548a9" Type="http://schemas.openxmlformats.org/officeDocument/2006/relationships/footer" Target="/word/footer34.xml"/><Relationship Id="R039c970512014278" Type="http://schemas.openxmlformats.org/officeDocument/2006/relationships/header" Target="/word/header81.xml"/><Relationship Id="R04652629566146d1" Type="http://schemas.openxmlformats.org/officeDocument/2006/relationships/header" Target="/word/header143.xml"/><Relationship Id="R2ed8902837a94dfd" Type="http://schemas.openxmlformats.org/officeDocument/2006/relationships/header" Target="/word/header153.xml"/><Relationship Id="Ra1a51e5174a24355" Type="http://schemas.openxmlformats.org/officeDocument/2006/relationships/header" Target="/word/header190.xml"/><Relationship Id="R39738c0e35fc4fa2" Type="http://schemas.openxmlformats.org/officeDocument/2006/relationships/header" Target="/word/header193.xml"/><Relationship Id="R18bc449b25244c35" Type="http://schemas.openxmlformats.org/officeDocument/2006/relationships/footer" Target="/word/footer210.xml"/><Relationship Id="Rbb9329ee13b64299" Type="http://schemas.openxmlformats.org/officeDocument/2006/relationships/footer" Target="/word/footer241.xml"/><Relationship Id="Re2737a4159514ee3" Type="http://schemas.openxmlformats.org/officeDocument/2006/relationships/header" Target="/word/header46.xml"/><Relationship Id="R49bee777175a4d85" Type="http://schemas.openxmlformats.org/officeDocument/2006/relationships/header" Target="/word/header50.xml"/><Relationship Id="R4da87399ce7d4505" Type="http://schemas.openxmlformats.org/officeDocument/2006/relationships/header" Target="/word/header55.xml"/><Relationship Id="Ra17e8acde1454903" Type="http://schemas.openxmlformats.org/officeDocument/2006/relationships/header" Target="/word/header91.xml"/><Relationship Id="R00ab7b3de7cc4e05" Type="http://schemas.openxmlformats.org/officeDocument/2006/relationships/header" Target="/word/header100.xml"/><Relationship Id="R0309a1e1ee894b43" Type="http://schemas.openxmlformats.org/officeDocument/2006/relationships/footer" Target="/word/footer191.xml"/><Relationship Id="R33804cd574a0404d" Type="http://schemas.openxmlformats.org/officeDocument/2006/relationships/header" Target="/word/header214.xml"/><Relationship Id="R0cadea54817e4ca8" Type="http://schemas.openxmlformats.org/officeDocument/2006/relationships/header" Target="/word/header99.xml"/><Relationship Id="R1b6755a97f864351" Type="http://schemas.openxmlformats.org/officeDocument/2006/relationships/footer" Target="/word/footer183.xml"/><Relationship Id="Rb22111a2d87e4ac1" Type="http://schemas.openxmlformats.org/officeDocument/2006/relationships/header" Target="/word/header254.xml"/><Relationship Id="Rab8fe78b81244553" Type="http://schemas.openxmlformats.org/officeDocument/2006/relationships/footer" Target="/word/footer19.xml"/><Relationship Id="Rb47fe49d6ce642b8" Type="http://schemas.openxmlformats.org/officeDocument/2006/relationships/header" Target="/word/header74.xml"/><Relationship Id="Rdb7cf70eb813400c" Type="http://schemas.openxmlformats.org/officeDocument/2006/relationships/header" Target="/word/header151.xml"/><Relationship Id="Rc3f2f5432e3241bb" Type="http://schemas.openxmlformats.org/officeDocument/2006/relationships/header" Target="/word/header5.xml"/><Relationship Id="Rdf4a9c5e1f6942ed" Type="http://schemas.openxmlformats.org/officeDocument/2006/relationships/footer" Target="/word/footer111.xml"/><Relationship Id="R29e00aee39ea44b6" Type="http://schemas.openxmlformats.org/officeDocument/2006/relationships/header" Target="/word/header170.xml"/><Relationship Id="Ra70a68f4f4d94897" Type="http://schemas.openxmlformats.org/officeDocument/2006/relationships/header" Target="/word/header157.xml"/><Relationship Id="R4832c16ed5334555" Type="http://schemas.openxmlformats.org/officeDocument/2006/relationships/footer" Target="/word/footer181.xml"/><Relationship Id="R3329d63e2ec148e1" Type="http://schemas.openxmlformats.org/officeDocument/2006/relationships/header" Target="/word/header171.xml"/><Relationship Id="Rdd58552b4cc54a36" Type="http://schemas.openxmlformats.org/officeDocument/2006/relationships/footer" Target="/word/footer8.xml"/><Relationship Id="R55d05ef41a394a15" Type="http://schemas.openxmlformats.org/officeDocument/2006/relationships/header" Target="/word/header105.xml"/><Relationship Id="Rd5817c8966c34159" Type="http://schemas.openxmlformats.org/officeDocument/2006/relationships/footer" Target="/word/footer197.xml"/><Relationship Id="R7698e7a2b03042bf" Type="http://schemas.openxmlformats.org/officeDocument/2006/relationships/footer" Target="/word/footer227.xml"/><Relationship Id="R35b62d8bc96a4a13" Type="http://schemas.openxmlformats.org/officeDocument/2006/relationships/header" Target="/word/header232.xml"/><Relationship Id="Rf8082dee63a54afe" Type="http://schemas.openxmlformats.org/officeDocument/2006/relationships/footer" Target="/word/footer252.xml"/><Relationship Id="rId1" Type="http://schemas.openxmlformats.org/officeDocument/2006/relationships/customXml" Target="../customXml/item1.xml"/><Relationship Id="Rea12fe5309824e60" Type="http://schemas.openxmlformats.org/officeDocument/2006/relationships/footer" Target="/word/footer105.xml"/><Relationship Id="R61f095b1211840a9" Type="http://schemas.openxmlformats.org/officeDocument/2006/relationships/footer" Target="/word/footer130.xml"/><Relationship Id="R9e757829a9a744ec" Type="http://schemas.openxmlformats.org/officeDocument/2006/relationships/header" Target="/word/header138.xml"/><Relationship Id="Rc22687706f714dbc" Type="http://schemas.openxmlformats.org/officeDocument/2006/relationships/footer" Target="/word/footer166.xml"/><Relationship Id="Rc476e96741e34293" Type="http://schemas.openxmlformats.org/officeDocument/2006/relationships/footer" Target="/word/footer184.xml"/><Relationship Id="Rfae9c145ed1841bf" Type="http://schemas.openxmlformats.org/officeDocument/2006/relationships/footer" Target="/word/footer12.xml"/><Relationship Id="Rc9b4365f77504a7a" Type="http://schemas.openxmlformats.org/officeDocument/2006/relationships/header" Target="/word/header54.xml"/><Relationship Id="R4f2aaabe39764f31" Type="http://schemas.openxmlformats.org/officeDocument/2006/relationships/header" Target="/word/header71.xml"/><Relationship Id="R69316d3d5cf34f14" Type="http://schemas.openxmlformats.org/officeDocument/2006/relationships/footer" Target="/word/footer90.xml"/><Relationship Id="R2356a95579544359" Type="http://schemas.openxmlformats.org/officeDocument/2006/relationships/header" Target="/word/header129.xml"/><Relationship Id="R5eda98730d82464d" Type="http://schemas.openxmlformats.org/officeDocument/2006/relationships/footer" Target="/word/footer146.xml"/><Relationship Id="R79bb8042b6b44a7a" Type="http://schemas.openxmlformats.org/officeDocument/2006/relationships/footer" Target="/word/footer179.xml"/><Relationship Id="R308b0ae8b4fa4565" Type="http://schemas.openxmlformats.org/officeDocument/2006/relationships/header" Target="/word/header11.xml"/><Relationship Id="Radb1608d66384525" Type="http://schemas.openxmlformats.org/officeDocument/2006/relationships/header" Target="/word/header66.xml"/><Relationship Id="R046598b773c249c0" Type="http://schemas.openxmlformats.org/officeDocument/2006/relationships/footer" Target="/word/footer89.xml"/><Relationship Id="R03bfd2185efa4eac" Type="http://schemas.openxmlformats.org/officeDocument/2006/relationships/footer" Target="/word/footer147.xml"/><Relationship Id="R38c0ba36b6584b71" Type="http://schemas.openxmlformats.org/officeDocument/2006/relationships/header" Target="/word/header219.xml"/><Relationship Id="Rc7e75740c22940f5" Type="http://schemas.openxmlformats.org/officeDocument/2006/relationships/header" Target="/word/header24.xml"/><Relationship Id="Rf63b3f14c60645a3" Type="http://schemas.openxmlformats.org/officeDocument/2006/relationships/footer" Target="/word/footer113.xml"/><Relationship Id="R5bb77db6102441f3" Type="http://schemas.openxmlformats.org/officeDocument/2006/relationships/header" Target="/word/header231.xml"/><Relationship Id="Rb2a8efffeff144e9" Type="http://schemas.openxmlformats.org/officeDocument/2006/relationships/header" Target="/word/header32.xml"/><Relationship Id="Ree704e8ea0d7420c" Type="http://schemas.openxmlformats.org/officeDocument/2006/relationships/footer" Target="/word/footer82.xml"/><Relationship Id="R88e3ec7561584204" Type="http://schemas.openxmlformats.org/officeDocument/2006/relationships/header" Target="/word/header181.xml"/><Relationship Id="R3a32a6ba76ea4571" Type="http://schemas.openxmlformats.org/officeDocument/2006/relationships/footer" Target="/word/footer220.xml"/><Relationship Id="R1995584dc26944e9" Type="http://schemas.openxmlformats.org/officeDocument/2006/relationships/header" Target="/word/header238.xml"/><Relationship Id="Rb34696e049bb4001" Type="http://schemas.openxmlformats.org/officeDocument/2006/relationships/footer" Target="/word/footer253.xml"/><Relationship Id="Ra8bdb48c79284657" Type="http://schemas.openxmlformats.org/officeDocument/2006/relationships/header" Target="/word/header31.xml"/><Relationship Id="R1f8bd4bb82cb4886" Type="http://schemas.openxmlformats.org/officeDocument/2006/relationships/footer" Target="/word/footer58.xml"/><Relationship Id="Ra0332fbf84484df9" Type="http://schemas.openxmlformats.org/officeDocument/2006/relationships/footer" Target="/word/footer70.xml"/><Relationship Id="R8280fc5eabe34d28" Type="http://schemas.openxmlformats.org/officeDocument/2006/relationships/footer" Target="/word/footer243.xml"/><Relationship Id="Rc3b7daff52484444" Type="http://schemas.openxmlformats.org/officeDocument/2006/relationships/footer" Target="/word/footer250.xml"/><Relationship Id="Rb81883aa7c234c3f" Type="http://schemas.openxmlformats.org/officeDocument/2006/relationships/header" Target="/word/header76.xml"/><Relationship Id="Ra1a0f97b26b147c5" Type="http://schemas.openxmlformats.org/officeDocument/2006/relationships/header" Target="/word/header166.xml"/><Relationship Id="Rabdfd57bfc6d4105" Type="http://schemas.openxmlformats.org/officeDocument/2006/relationships/header" Target="/word/header198.xml"/><Relationship Id="Rd71ba144eddd4c7f" Type="http://schemas.openxmlformats.org/officeDocument/2006/relationships/footer" Target="/word/footer225.xml"/><Relationship Id="R24441a88440849bd" Type="http://schemas.openxmlformats.org/officeDocument/2006/relationships/footer" Target="/word/footer248.xml"/><Relationship Id="Rb91ac0af7a4548af" Type="http://schemas.openxmlformats.org/officeDocument/2006/relationships/footnotes" Target="/word/footnotes.xml"/><Relationship Id="R91381e51e8164308" Type="http://schemas.openxmlformats.org/officeDocument/2006/relationships/footer" Target="/word/footer28.xml"/><Relationship Id="R91bac9ab22294e75" Type="http://schemas.openxmlformats.org/officeDocument/2006/relationships/header" Target="/word/header60.xml"/><Relationship Id="R6d3000b8792342e7" Type="http://schemas.openxmlformats.org/officeDocument/2006/relationships/footer" Target="/word/footer107.xml"/><Relationship Id="Ra0b7df7a9a424a3c" Type="http://schemas.openxmlformats.org/officeDocument/2006/relationships/header" Target="/word/header110.xml"/><Relationship Id="Rf708c6e64c364aa3" Type="http://schemas.openxmlformats.org/officeDocument/2006/relationships/footer" Target="/word/footer115.xml"/><Relationship Id="R315095766afe44a5" Type="http://schemas.openxmlformats.org/officeDocument/2006/relationships/footer" Target="/word/footer139.xml"/><Relationship Id="Re7b362520da64b10" Type="http://schemas.openxmlformats.org/officeDocument/2006/relationships/footer" Target="/word/footer56.xml"/><Relationship Id="R990b6b09f4ff490c" Type="http://schemas.openxmlformats.org/officeDocument/2006/relationships/footer" Target="/word/footer99.xml"/><Relationship Id="R998c15c4572f4b43" Type="http://schemas.openxmlformats.org/officeDocument/2006/relationships/glossaryDocument" Target="/word/glossary/document.xml"/><Relationship Id="R05c539afec8548aa" Type="http://schemas.openxmlformats.org/officeDocument/2006/relationships/fontTable" Target="/word/fontTable.xml"/><Relationship Id="R4eb487e67a254252" Type="http://schemas.openxmlformats.org/officeDocument/2006/relationships/footer" Target="/word/footer69.xml"/><Relationship Id="Ra2063254c6924ad6" Type="http://schemas.openxmlformats.org/officeDocument/2006/relationships/footer" Target="/word/footer118.xml"/><Relationship Id="R8fd82d3e292f4b3c" Type="http://schemas.openxmlformats.org/officeDocument/2006/relationships/numbering" Target="/word/numbering.xml"/><Relationship Id="R924b4393fb044e8f" Type="http://schemas.openxmlformats.org/officeDocument/2006/relationships/header" Target="/word/header8.xml"/><Relationship Id="Rfff0a203e4494e0d" Type="http://schemas.openxmlformats.org/officeDocument/2006/relationships/footer" Target="/word/footer17.xml"/><Relationship Id="Rca539ab2aa2d481d" Type="http://schemas.openxmlformats.org/officeDocument/2006/relationships/header" Target="/word/header73.xml"/><Relationship Id="Rd1d7575c1f454d49" Type="http://schemas.openxmlformats.org/officeDocument/2006/relationships/footer" Target="/word/footer104.xml"/><Relationship Id="R1db3bd6dc0df4756" Type="http://schemas.openxmlformats.org/officeDocument/2006/relationships/footer" Target="/word/footer108.xml"/><Relationship Id="Rfdd824df65f840f4" Type="http://schemas.openxmlformats.org/officeDocument/2006/relationships/footer" Target="/word/footer124.xml"/><Relationship Id="Rbc908e3b1e42469c" Type="http://schemas.openxmlformats.org/officeDocument/2006/relationships/footer" Target="/word/footer142.xml"/><Relationship Id="R7e7ed4e02b1c4e56" Type="http://schemas.openxmlformats.org/officeDocument/2006/relationships/footer" Target="/word/footer150.xml"/><Relationship Id="R203b0a9596a544d4" Type="http://schemas.openxmlformats.org/officeDocument/2006/relationships/header" Target="/word/header7.xml"/><Relationship Id="R9135e6011f944277" Type="http://schemas.openxmlformats.org/officeDocument/2006/relationships/header" Target="/word/header121.xml"/><Relationship Id="R827b9345af724111" Type="http://schemas.openxmlformats.org/officeDocument/2006/relationships/header" Target="/word/header144.xml"/><Relationship Id="Rcc2f296f35d04c44" Type="http://schemas.openxmlformats.org/officeDocument/2006/relationships/footer" Target="/word/footer156.xml"/><Relationship Id="Rfcf567b9b6e5461c" Type="http://schemas.openxmlformats.org/officeDocument/2006/relationships/footer" Target="/word/footer212.xml"/><Relationship Id="rId3" Type="http://schemas.openxmlformats.org/officeDocument/2006/relationships/customXml" Target="../customXml/item3.xml"/><Relationship Id="R8594c3ee4ad54639" Type="http://schemas.openxmlformats.org/officeDocument/2006/relationships/header" Target="/word/header101.xml"/><Relationship Id="Rcd3d022ab2364a90" Type="http://schemas.openxmlformats.org/officeDocument/2006/relationships/header" Target="/word/header159.xml"/><Relationship Id="Rc37e9544fc174449" Type="http://schemas.openxmlformats.org/officeDocument/2006/relationships/footer" Target="/word/footer167.xml"/><Relationship Id="R6b3689f1f614487a" Type="http://schemas.openxmlformats.org/officeDocument/2006/relationships/footer" Target="/word/footer170.xml"/><Relationship Id="R56bef8e4eab14ca6" Type="http://schemas.openxmlformats.org/officeDocument/2006/relationships/theme" Target="/word/theme/theme1.xml"/><Relationship Id="R81b8d0cc21e64efc" Type="http://schemas.openxmlformats.org/officeDocument/2006/relationships/header" Target="/word/header112.xml"/><Relationship Id="R219d59b99542479a" Type="http://schemas.openxmlformats.org/officeDocument/2006/relationships/footer" Target="/word/footer117.xml"/><Relationship Id="R1a2ab71039d940a9" Type="http://schemas.openxmlformats.org/officeDocument/2006/relationships/footer" Target="/word/footer171.xml"/><Relationship Id="Rb87630e9f0964608" Type="http://schemas.openxmlformats.org/officeDocument/2006/relationships/footer" Target="/word/footer226.xml"/><Relationship Id="Raee7179b254b4c3e" Type="http://schemas.openxmlformats.org/officeDocument/2006/relationships/footer" Target="/word/footer254.xml"/><Relationship Id="R78d6727fc74341c8" Type="http://schemas.openxmlformats.org/officeDocument/2006/relationships/footer" Target="/word/footer86.xml"/><Relationship Id="R6252905d13e54733" Type="http://schemas.openxmlformats.org/officeDocument/2006/relationships/header" Target="/word/header156.xml"/><Relationship Id="Rc8afd6d1632c40ee" Type="http://schemas.openxmlformats.org/officeDocument/2006/relationships/footer" Target="/word/footer211.xml"/><Relationship Id="R9e6f5ea94d264773" Type="http://schemas.openxmlformats.org/officeDocument/2006/relationships/footer" Target="/word/footer258.xml"/><Relationship Id="R60112b3dc22b4f04" Type="http://schemas.openxmlformats.org/officeDocument/2006/relationships/footer" Target="/word/footer48.xml"/><Relationship Id="R9eb9ff7e6a2143db" Type="http://schemas.openxmlformats.org/officeDocument/2006/relationships/footer" Target="/word/footer164.xml"/><Relationship Id="R7af1063fca6844ac" Type="http://schemas.openxmlformats.org/officeDocument/2006/relationships/header" Target="/word/header180.xml"/><Relationship Id="Rfaa9d13cfea1410e" Type="http://schemas.openxmlformats.org/officeDocument/2006/relationships/footer" Target="/word/footer229.xml"/><Relationship Id="R082aa3b9659c4d11" Type="http://schemas.openxmlformats.org/officeDocument/2006/relationships/header" Target="/word/header240.xml"/><Relationship Id="R7666e8b09419462a" Type="http://schemas.openxmlformats.org/officeDocument/2006/relationships/footer" Target="/word/footer238.xml"/><Relationship Id="Rc989e980081a4b2e" Type="http://schemas.openxmlformats.org/officeDocument/2006/relationships/footer" Target="/word/footer84.xml"/><Relationship Id="R41414a32f81b4798" Type="http://schemas.openxmlformats.org/officeDocument/2006/relationships/header" Target="/word/header122.xml"/><Relationship Id="R374d7580c5ab4e65" Type="http://schemas.openxmlformats.org/officeDocument/2006/relationships/footer" Target="/word/footer121.xml"/><Relationship Id="Ref19ab176531463b" Type="http://schemas.openxmlformats.org/officeDocument/2006/relationships/footer" Target="/word/footer160.xml"/><Relationship Id="R18e43eb5f27d4dde" Type="http://schemas.openxmlformats.org/officeDocument/2006/relationships/header" Target="/word/header209.xml"/><Relationship Id="Rc02f1ecfba024b41" Type="http://schemas.openxmlformats.org/officeDocument/2006/relationships/header" Target="/word/header130.xml"/><Relationship Id="Rde08ee0cf8a14438" Type="http://schemas.openxmlformats.org/officeDocument/2006/relationships/header" Target="/word/header163.xml"/><Relationship Id="R3887f05cae264dbc" Type="http://schemas.openxmlformats.org/officeDocument/2006/relationships/header" Target="/word/header218.xml"/><Relationship Id="Rb98c33e26bf542f0" Type="http://schemas.openxmlformats.org/officeDocument/2006/relationships/footer" Target="/word/footer16.xml"/><Relationship Id="Rb6fc5516678445ff" Type="http://schemas.openxmlformats.org/officeDocument/2006/relationships/header" Target="/word/header133.xml"/><Relationship Id="Rce9a578bdb6a454d" Type="http://schemas.openxmlformats.org/officeDocument/2006/relationships/footer" Target="/word/footer189.xml"/><Relationship Id="R1d504c9f14a64def" Type="http://schemas.openxmlformats.org/officeDocument/2006/relationships/footer" Target="/word/footer219.xml"/><Relationship Id="R573f40a6035043ce" Type="http://schemas.openxmlformats.org/officeDocument/2006/relationships/footer" Target="/word/footer11.xml"/><Relationship Id="R0e522054e76f4d20" Type="http://schemas.openxmlformats.org/officeDocument/2006/relationships/footer" Target="/word/footer49.xml"/><Relationship Id="R7926df0985c44554" Type="http://schemas.openxmlformats.org/officeDocument/2006/relationships/header" Target="/word/header126.xml"/><Relationship Id="R8a9aacdce0294be7" Type="http://schemas.openxmlformats.org/officeDocument/2006/relationships/header" Target="/word/header179.xml"/><Relationship Id="Rbe1df3ee20d84b1f" Type="http://schemas.openxmlformats.org/officeDocument/2006/relationships/header" Target="/word/header192.xml"/><Relationship Id="R0f144b16a5244da4" Type="http://schemas.openxmlformats.org/officeDocument/2006/relationships/header" Target="/word/header235.xml"/><Relationship Id="Ra82d95f801534ee7" Type="http://schemas.openxmlformats.org/officeDocument/2006/relationships/header" Target="/word/header4.xml"/><Relationship Id="Rc6315291c5b54924" Type="http://schemas.openxmlformats.org/officeDocument/2006/relationships/header" Target="/word/header12.xml"/><Relationship Id="R8eb72519f3984af0" Type="http://schemas.openxmlformats.org/officeDocument/2006/relationships/footer" Target="/word/footer246.xml"/></Relationships>
</file>

<file path=word/_rels/settings.xml.rels>&#65279;<?xml version="1.0" encoding="utf-8"?><Relationships xmlns="http://schemas.openxmlformats.org/package/2006/relationships"><Relationship Type="http://schemas.openxmlformats.org/officeDocument/2006/relationships/attachedTemplate" Target="C:\Users\Public\Documents\Templates\DocuWrite\DW_COUNCIL.dotm" TargetMode="External" Id="rId1" /></Relationships>
</file>

<file path=word/glossary/_rels/document.xml.rels>&#65279;<?xml version="1.0" encoding="utf-8"?><Relationships xmlns="http://schemas.openxmlformats.org/package/2006/relationships"><Relationship Type="http://schemas.openxmlformats.org/officeDocument/2006/relationships/styles" Target="/word/glossary/styles2.xml" Id="R972177547e334dab" /><Relationship Type="http://schemas.openxmlformats.org/officeDocument/2006/relationships/fontTable" Target="/word/glossary/fontTable2.xml" Id="R75f0f7acc1db438b" /><Relationship Type="http://schemas.openxmlformats.org/officeDocument/2006/relationships/settings" Target="/word/glossary/settings2.xml" Id="R7679186e8f2f4c7b" /><Relationship Type="http://schemas.openxmlformats.org/officeDocument/2006/relationships/webSettings" Target="/word/glossary/webSettings2.xml" Id="Rc65160065cb74162"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p6:name xmlns:p6="http://schemas.openxmlformats.org/wordprocessingml/2006/main" p6:val="31D171189C114B72B562FE2E692AC3DA"/>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F28BDE26-43B9-473F-8394-4AB5BF480ADA}"/>
      </w:docPartPr>
      <w:docPartBody>
        <p6:p xmlns:p6="http://schemas.openxmlformats.org/wordprocessingml/2006/main" p6:rsidR="00BE3D84" p6:rsidRDefault="00204F40" p6:rsidP="00204F40">
          <p6:pPr>
            <p6:pStyle p6:val="31D171189C114B72B562FE2E692AC3DA"/>
          </p6:pPr>
          <p6:r p6:rsidRPr="0026074B">
            <p6:rPr>
              <p6:rStyle p6:val="PlaceholderText"/>
            </p6:rPr>
            <p6:t>Click or tap here to enter text.</p6:t>
          </p6:r>
        </p6:p>
      </w:docPartBody>
    </w:docPart>
    <w:docPart>
      <w:docPartPr>
        <p6:name xmlns:p6="http://schemas.openxmlformats.org/wordprocessingml/2006/main" p6:val="FAFF4D83BC0D420D80432E832230CD77"/>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7296A7BE-3F3F-4B4A-8360-0BDFED9182F0}"/>
      </w:docPartPr>
      <w:docPartBody>
        <p6:p xmlns:p6="http://schemas.openxmlformats.org/wordprocessingml/2006/main" p6:rsidR="00BE3D84" p6:rsidRDefault="00204F40" p6:rsidP="00204F40">
          <p6:pPr>
            <p6:pStyle p6:val="FAFF4D83BC0D420D80432E832230CD77"/>
          </p6:pPr>
          <p6:r p6:rsidRPr="0026074B">
            <p6:rPr>
              <p6:rStyle p6:val="PlaceholderText"/>
            </p6:rPr>
            <p6:t>Click or tap here to enter text.</p6:t>
          </p6:r>
        </p6:p>
      </w:docPartBody>
    </w:docPart>
    <w:docPart>
      <w:docPartPr>
        <p6:name xmlns:p6="http://schemas.openxmlformats.org/wordprocessingml/2006/main" p6:val="AD34A4746DF24748901240EC2DF08255"/>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551B962-AB48-4C58-8DCE-2B07ADAAE12B}"/>
      </w:docPartPr>
      <w:docPartBody>
        <p6:p xmlns:p6="http://schemas.openxmlformats.org/wordprocessingml/2006/main" p6:rsidR="00BE3D84" p6:rsidRDefault="00204F40" p6:rsidP="00204F40">
          <p6:pPr>
            <p6:pStyle p6:val="AD34A4746DF24748901240EC2DF08255"/>
          </p6:pPr>
          <p6:r p6:rsidRPr="0026074B">
            <p6:rPr>
              <p6:rStyle p6:val="PlaceholderText"/>
            </p6:rPr>
            <p6:t>Click or tap here to enter text.</p6:t>
          </p6:r>
        </p6:p>
      </w:docPartBody>
    </w:docPart>
    <w:docPart>
      <w:docPartPr>
        <p6:name xmlns:p6="http://schemas.openxmlformats.org/wordprocessingml/2006/main" p6:val="E529135A90A84228BBA2B8420EBE77CD"/>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A01227D4-3889-443F-A6CA-BD512688161C}"/>
      </w:docPartPr>
      <w:docPartBody>
        <p6:p xmlns:p6="http://schemas.openxmlformats.org/wordprocessingml/2006/main" p6:rsidR="00BE3D84" p6:rsidRDefault="00204F40" p6:rsidP="00204F40">
          <p6:pPr>
            <p6:pStyle p6:val="E529135A90A84228BBA2B8420EBE77CD"/>
          </p6:pPr>
          <p6:r>
            <p6:rPr>
              <p6:rStyle p6:val="PlaceholderText"/>
            </p6:rPr>
            <p6:t>Click or tap here to enter text.</p6:t>
          </p6:r>
        </p6:p>
      </w:docPartBody>
    </w:docPart>
    <w:docPart>
      <w:docPartPr>
        <p6:name xmlns:p6="http://schemas.openxmlformats.org/wordprocessingml/2006/main" p6:val="726225DD8F0B4803B0F16376880E960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10D21317-BD13-4C81-B948-61955DED0283}"/>
      </w:docPartPr>
      <w:docPartBody>
        <p6:p xmlns:p6="http://schemas.openxmlformats.org/wordprocessingml/2006/main" p6:rsidR="00BE3D84" p6:rsidRDefault="00204F40" p6:rsidP="00204F40">
          <p6:pPr>
            <p6:pStyle p6:val="726225DD8F0B4803B0F16376880E9602"/>
          </p6:pPr>
          <p6:r>
            <p6:rPr>
              <p6:rStyle p6:val="PlaceholderText"/>
            </p6:rPr>
            <p6:t>Click or tap here to enter text.</p6:t>
          </p6:r>
        </p6:p>
      </w:docPartBody>
    </w:docPart>
    <w:docPart>
      <w:docPartPr>
        <p6:name xmlns:p6="http://schemas.openxmlformats.org/wordprocessingml/2006/main" p6:val="75CDEDA639364A179BD59B6F4A3E160F"/>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66B2578-F5D2-4E0B-8EC7-E492F588B0DD}"/>
      </w:docPartPr>
      <w:docPartBody>
        <p6:p xmlns:p6="http://schemas.openxmlformats.org/wordprocessingml/2006/main" p6:rsidR="00BE3D84" p6:rsidRDefault="00204F40" p6:rsidP="00204F40">
          <p6:pPr>
            <p6:pStyle p6:val="75CDEDA639364A179BD59B6F4A3E160F"/>
          </p6:pPr>
          <p6:r p6:rsidRPr="0026074B">
            <p6:rPr>
              <p6:rStyle p6:val="PlaceholderText"/>
            </p6:rPr>
            <p6:t>Click or tap here to enter text.</p6:t>
          </p6:r>
        </p6:p>
      </w:docPartBody>
    </w:docPart>
    <w:docPart>
      <w:docPartPr>
        <p6:name xmlns:p6="http://schemas.openxmlformats.org/wordprocessingml/2006/main" p6:val="A9B9F296C1744C32A726DC3F343ACBD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83FF3CC8-0F93-4476-89FA-A49083CD26D7}"/>
      </w:docPartPr>
      <w:docPartBody>
        <p6:p xmlns:p6="http://schemas.openxmlformats.org/wordprocessingml/2006/main" p6:rsidR="00C62DE3" p6:rsidRDefault="003A5677" p6:rsidP="003A5677">
          <p6:pPr>
            <p6:pStyle p6:val="A9B9F296C1744C32A726DC3F343ACBD2"/>
          </p6:pPr>
          <p6:r p6:rsidRPr="00D73826">
            <p6:rPr>
              <p6:rStyle p6:val="PlaceholderText"/>
            </p6:rPr>
            <p6:t>Click or tap here to enter text.</p6:t>
          </p6:r>
        </p6:p>
      </w:docPartBody>
    </w:docPart>
    <w:docPart>
      <w:docPartPr>
        <p6:name xmlns:p6="http://schemas.openxmlformats.org/wordprocessingml/2006/main" p6:val="31D171189C114B72B562FE2E692AC3DA"/>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F28BDE26-43B9-473F-8394-4AB5BF480ADA}"/>
      </w:docPartPr>
      <w:docPartBody>
        <p6:p xmlns:p6="http://schemas.openxmlformats.org/wordprocessingml/2006/main" p6:rsidR="00BE3D84" p6:rsidRDefault="00204F40" p6:rsidP="00204F40">
          <p6:pPr>
            <p6:pStyle p6:val="31D171189C114B72B562FE2E692AC3DA"/>
          </p6:pPr>
          <p6:r p6:rsidRPr="0026074B">
            <p6:rPr>
              <p6:rStyle p6:val="PlaceholderText"/>
            </p6:rPr>
            <p6:t>Click or tap here to enter text.</p6:t>
          </p6:r>
        </p6:p>
      </w:docPartBody>
    </w:docPart>
    <w:docPart>
      <w:docPartPr>
        <p6:name xmlns:p6="http://schemas.openxmlformats.org/wordprocessingml/2006/main" p6:val="FAFF4D83BC0D420D80432E832230CD77"/>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7296A7BE-3F3F-4B4A-8360-0BDFED9182F0}"/>
      </w:docPartPr>
      <w:docPartBody>
        <p6:p xmlns:p6="http://schemas.openxmlformats.org/wordprocessingml/2006/main" p6:rsidR="00BE3D84" p6:rsidRDefault="00204F40" p6:rsidP="00204F40">
          <p6:pPr>
            <p6:pStyle p6:val="FAFF4D83BC0D420D80432E832230CD77"/>
          </p6:pPr>
          <p6:r p6:rsidRPr="0026074B">
            <p6:rPr>
              <p6:rStyle p6:val="PlaceholderText"/>
            </p6:rPr>
            <p6:t>Click or tap here to enter text.</p6:t>
          </p6:r>
        </p6:p>
      </w:docPartBody>
    </w:docPart>
    <w:docPart>
      <w:docPartPr>
        <p6:name xmlns:p6="http://schemas.openxmlformats.org/wordprocessingml/2006/main" p6:val="AD34A4746DF24748901240EC2DF08255"/>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551B962-AB48-4C58-8DCE-2B07ADAAE12B}"/>
      </w:docPartPr>
      <w:docPartBody>
        <p6:p xmlns:p6="http://schemas.openxmlformats.org/wordprocessingml/2006/main" p6:rsidR="00BE3D84" p6:rsidRDefault="00204F40" p6:rsidP="00204F40">
          <p6:pPr>
            <p6:pStyle p6:val="AD34A4746DF24748901240EC2DF08255"/>
          </p6:pPr>
          <p6:r p6:rsidRPr="0026074B">
            <p6:rPr>
              <p6:rStyle p6:val="PlaceholderText"/>
            </p6:rPr>
            <p6:t>Click or tap here to enter text.</p6:t>
          </p6:r>
        </p6:p>
      </w:docPartBody>
    </w:docPart>
    <w:docPart>
      <w:docPartPr>
        <p6:name xmlns:p6="http://schemas.openxmlformats.org/wordprocessingml/2006/main" p6:val="E529135A90A84228BBA2B8420EBE77CD"/>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A01227D4-3889-443F-A6CA-BD512688161C}"/>
      </w:docPartPr>
      <w:docPartBody>
        <p6:p xmlns:p6="http://schemas.openxmlformats.org/wordprocessingml/2006/main" p6:rsidR="00BE3D84" p6:rsidRDefault="00204F40" p6:rsidP="00204F40">
          <p6:pPr>
            <p6:pStyle p6:val="E529135A90A84228BBA2B8420EBE77CD"/>
          </p6:pPr>
          <p6:r>
            <p6:rPr>
              <p6:rStyle p6:val="PlaceholderText"/>
            </p6:rPr>
            <p6:t>Click or tap here to enter text.</p6:t>
          </p6:r>
        </p6:p>
      </w:docPartBody>
    </w:docPart>
    <w:docPart>
      <w:docPartPr>
        <p6:name xmlns:p6="http://schemas.openxmlformats.org/wordprocessingml/2006/main" p6:val="726225DD8F0B4803B0F16376880E960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10D21317-BD13-4C81-B948-61955DED0283}"/>
      </w:docPartPr>
      <w:docPartBody>
        <p6:p xmlns:p6="http://schemas.openxmlformats.org/wordprocessingml/2006/main" p6:rsidR="00BE3D84" p6:rsidRDefault="00204F40" p6:rsidP="00204F40">
          <p6:pPr>
            <p6:pStyle p6:val="726225DD8F0B4803B0F16376880E9602"/>
          </p6:pPr>
          <p6:r>
            <p6:rPr>
              <p6:rStyle p6:val="PlaceholderText"/>
            </p6:rPr>
            <p6:t>Click or tap here to enter text.</p6:t>
          </p6:r>
        </p6:p>
      </w:docPartBody>
    </w:docPart>
    <w:docPart>
      <w:docPartPr>
        <p6:name xmlns:p6="http://schemas.openxmlformats.org/wordprocessingml/2006/main" p6:val="75CDEDA639364A179BD59B6F4A3E160F"/>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66B2578-F5D2-4E0B-8EC7-E492F588B0DD}"/>
      </w:docPartPr>
      <w:docPartBody>
        <p6:p xmlns:p6="http://schemas.openxmlformats.org/wordprocessingml/2006/main" p6:rsidR="00BE3D84" p6:rsidRDefault="00204F40" p6:rsidP="00204F40">
          <p6:pPr>
            <p6:pStyle p6:val="75CDEDA639364A179BD59B6F4A3E160F"/>
          </p6:pPr>
          <p6:r p6:rsidRPr="0026074B">
            <p6:rPr>
              <p6:rStyle p6:val="PlaceholderText"/>
            </p6:rPr>
            <p6:t>Click or tap here to enter text.</p6:t>
          </p6:r>
        </p6:p>
      </w:docPartBody>
    </w:docPart>
    <w:docPart>
      <w:docPartPr>
        <p6:name xmlns:p6="http://schemas.openxmlformats.org/wordprocessingml/2006/main" p6:val="A9B9F296C1744C32A726DC3F343ACBD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83FF3CC8-0F93-4476-89FA-A49083CD26D7}"/>
      </w:docPartPr>
      <w:docPartBody>
        <p6:p xmlns:p6="http://schemas.openxmlformats.org/wordprocessingml/2006/main" p6:rsidR="00C62DE3" p6:rsidRDefault="003A5677" p6:rsidP="003A5677">
          <p6:pPr>
            <p6:pStyle p6:val="A9B9F296C1744C32A726DC3F343ACBD2"/>
          </p6:pPr>
          <p6:r p6:rsidRPr="00D73826">
            <p6:rPr>
              <p6:rStyle p6:val="PlaceholderText"/>
            </p6:rPr>
            <p6:t>Click or tap here to enter text.</p6:t>
          </p6:r>
        </p6:p>
      </w:docPartBody>
    </w:docPart>
    <w:docPart>
      <w:docPartPr>
        <p6:name xmlns:p6="http://schemas.openxmlformats.org/wordprocessingml/2006/main" p6:val="31D171189C114B72B562FE2E692AC3DA"/>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F28BDE26-43B9-473F-8394-4AB5BF480ADA}"/>
      </w:docPartPr>
      <w:docPartBody>
        <p6:p xmlns:p6="http://schemas.openxmlformats.org/wordprocessingml/2006/main" p6:rsidR="00BE3D84" p6:rsidRDefault="00204F40" p6:rsidP="00204F40">
          <p6:pPr>
            <p6:pStyle p6:val="31D171189C114B72B562FE2E692AC3DA"/>
          </p6:pPr>
          <p6:r p6:rsidRPr="0026074B">
            <p6:rPr>
              <p6:rStyle p6:val="PlaceholderText"/>
            </p6:rPr>
            <p6:t>Click or tap here to enter text.</p6:t>
          </p6:r>
        </p6:p>
      </w:docPartBody>
    </w:docPart>
    <w:docPart>
      <w:docPartPr>
        <p6:name xmlns:p6="http://schemas.openxmlformats.org/wordprocessingml/2006/main" p6:val="FAFF4D83BC0D420D80432E832230CD77"/>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7296A7BE-3F3F-4B4A-8360-0BDFED9182F0}"/>
      </w:docPartPr>
      <w:docPartBody>
        <p6:p xmlns:p6="http://schemas.openxmlformats.org/wordprocessingml/2006/main" p6:rsidR="00BE3D84" p6:rsidRDefault="00204F40" p6:rsidP="00204F40">
          <p6:pPr>
            <p6:pStyle p6:val="FAFF4D83BC0D420D80432E832230CD77"/>
          </p6:pPr>
          <p6:r p6:rsidRPr="0026074B">
            <p6:rPr>
              <p6:rStyle p6:val="PlaceholderText"/>
            </p6:rPr>
            <p6:t>Click or tap here to enter text.</p6:t>
          </p6:r>
        </p6:p>
      </w:docPartBody>
    </w:docPart>
    <w:docPart>
      <w:docPartPr>
        <p6:name xmlns:p6="http://schemas.openxmlformats.org/wordprocessingml/2006/main" p6:val="AD34A4746DF24748901240EC2DF08255"/>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551B962-AB48-4C58-8DCE-2B07ADAAE12B}"/>
      </w:docPartPr>
      <w:docPartBody>
        <p6:p xmlns:p6="http://schemas.openxmlformats.org/wordprocessingml/2006/main" p6:rsidR="00BE3D84" p6:rsidRDefault="00204F40" p6:rsidP="00204F40">
          <p6:pPr>
            <p6:pStyle p6:val="AD34A4746DF24748901240EC2DF08255"/>
          </p6:pPr>
          <p6:r p6:rsidRPr="0026074B">
            <p6:rPr>
              <p6:rStyle p6:val="PlaceholderText"/>
            </p6:rPr>
            <p6:t>Click or tap here to enter text.</p6:t>
          </p6:r>
        </p6:p>
      </w:docPartBody>
    </w:docPart>
    <w:docPart>
      <w:docPartPr>
        <p6:name xmlns:p6="http://schemas.openxmlformats.org/wordprocessingml/2006/main" p6:val="E529135A90A84228BBA2B8420EBE77CD"/>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A01227D4-3889-443F-A6CA-BD512688161C}"/>
      </w:docPartPr>
      <w:docPartBody>
        <p6:p xmlns:p6="http://schemas.openxmlformats.org/wordprocessingml/2006/main" p6:rsidR="00BE3D84" p6:rsidRDefault="00204F40" p6:rsidP="00204F40">
          <p6:pPr>
            <p6:pStyle p6:val="E529135A90A84228BBA2B8420EBE77CD"/>
          </p6:pPr>
          <p6:r>
            <p6:rPr>
              <p6:rStyle p6:val="PlaceholderText"/>
            </p6:rPr>
            <p6:t>Click or tap here to enter text.</p6:t>
          </p6:r>
        </p6:p>
      </w:docPartBody>
    </w:docPart>
    <w:docPart>
      <w:docPartPr>
        <p6:name xmlns:p6="http://schemas.openxmlformats.org/wordprocessingml/2006/main" p6:val="726225DD8F0B4803B0F16376880E960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10D21317-BD13-4C81-B948-61955DED0283}"/>
      </w:docPartPr>
      <w:docPartBody>
        <p6:p xmlns:p6="http://schemas.openxmlformats.org/wordprocessingml/2006/main" p6:rsidR="00BE3D84" p6:rsidRDefault="00204F40" p6:rsidP="00204F40">
          <p6:pPr>
            <p6:pStyle p6:val="726225DD8F0B4803B0F16376880E9602"/>
          </p6:pPr>
          <p6:r>
            <p6:rPr>
              <p6:rStyle p6:val="PlaceholderText"/>
            </p6:rPr>
            <p6:t>Click or tap here to enter text.</p6:t>
          </p6:r>
        </p6:p>
      </w:docPartBody>
    </w:docPart>
    <w:docPart>
      <w:docPartPr>
        <p6:name xmlns:p6="http://schemas.openxmlformats.org/wordprocessingml/2006/main" p6:val="75CDEDA639364A179BD59B6F4A3E160F"/>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366B2578-F5D2-4E0B-8EC7-E492F588B0DD}"/>
      </w:docPartPr>
      <w:docPartBody>
        <p6:p xmlns:p6="http://schemas.openxmlformats.org/wordprocessingml/2006/main" p6:rsidR="00BE3D84" p6:rsidRDefault="00204F40" p6:rsidP="00204F40">
          <p6:pPr>
            <p6:pStyle p6:val="75CDEDA639364A179BD59B6F4A3E160F"/>
          </p6:pPr>
          <p6:r p6:rsidRPr="0026074B">
            <p6:rPr>
              <p6:rStyle p6:val="PlaceholderText"/>
            </p6:rPr>
            <p6:t>Click or tap here to enter text.</p6:t>
          </p6:r>
        </p6:p>
      </w:docPartBody>
    </w:docPart>
    <w:docPart>
      <w:docPartPr>
        <p6:name xmlns:p6="http://schemas.openxmlformats.org/wordprocessingml/2006/main" p6:val="A9B9F296C1744C32A726DC3F343ACBD2"/>
        <w:category>
          <p7:name xmlns:p7="http://schemas.openxmlformats.org/wordprocessingml/2006/main" p7:val="General"/>
          <p7:gallery xmlns:p7="http://schemas.openxmlformats.org/wordprocessingml/2006/main" p7:val="placeholder"/>
        </w:category>
        <w:types>
          <p7:type xmlns:p7="http://schemas.openxmlformats.org/wordprocessingml/2006/main" p7:val="bbPlcHdr"/>
        </w:types>
        <w:behaviors>
          <p7:behavior xmlns:p7="http://schemas.openxmlformats.org/wordprocessingml/2006/main" p7:val="content"/>
        </w:behaviors>
        <p6:guid xmlns:p6="http://schemas.openxmlformats.org/wordprocessingml/2006/main" p6:val="{83FF3CC8-0F93-4476-89FA-A49083CD26D7}"/>
      </w:docPartPr>
      <w:docPartBody>
        <p6:p xmlns:p6="http://schemas.openxmlformats.org/wordprocessingml/2006/main" p6:rsidR="00C62DE3" p6:rsidRDefault="003A5677" p6:rsidP="003A5677">
          <p6:pPr>
            <p6:pStyle p6:val="A9B9F296C1744C32A726DC3F343ACBD2"/>
          </p6:pPr>
          <p6:r p6:rsidRPr="00D73826">
            <p6:rPr>
              <p6:rStyle p6:val="PlaceholderText"/>
            </p6:rPr>
            <p6:t>Click or tap here to enter text.</p6:t>
          </p6:r>
        </p6:p>
      </w:docPartBody>
    </w:docPart>
  </w:docParts>
</w:glossaryDocument>
</file>

<file path=word/glossary/fontTable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Arial New Roman">
    <w:altName w:val="Arial"/>
    <w:panose1 w:val="00000000000000000000"/>
    <w:charset w:val="00"/>
    <w:family w:val="roman"/>
    <w:notTrueType/>
    <w:pitch w:val="default"/>
  </w:font>
</w:fonts>
</file>

<file path=word/glossary/settings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283"/>
    <w:rsid w:val="00052D7C"/>
    <w:rsid w:val="001C16E9"/>
    <w:rsid w:val="00204F40"/>
    <w:rsid w:val="003C184A"/>
    <w:rsid w:val="00854E58"/>
    <w:rsid w:val="00AE26B2"/>
    <w:rsid w:val="00BE3D84"/>
    <w:rsid w:val="00F06283"/>
    <w:rsid w:val="00F7397D"/>
    <w:rsid w:val="00FB40E5"/>
    <w:rsid w:val="00FD4605"/>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xml><?xml version="1.0" encoding="utf-8"?>
<w:styles xmlns:w="http://schemas.openxmlformats.org/wordprocessingml/2006/main">
  <w:docDefaults>
    <w:rPrDefault>
      <w:rPr>
        <w:rFonts w:asciiTheme="minorHAnsi" w:eastAsiaTheme="minorEastAsia" w:hAnsiTheme="minorHAnsi" w:cstheme="minorBidi"/>
        <w:kern w:val="2"/>
        <w:sz w:val="24"/>
        <w:szCs w:val="24"/>
        <w:lang w:val="en-DE" w:eastAsia="en-DE" w:bidi="ar-SA"/>
        <ligatures xmlns:p5="http://schemas.microsoft.com/office/word/2010/wordml" xmlns="http://schemas.microsoft.com/office/word/2010/wordml" p5: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4F40"/>
  </w:style>
  <w:style w:type="paragraph" w:customStyle="1" w:styleId="31D171189C114B72B562FE2E692AC3DA">
    <w:name w:val="31D171189C114B72B562FE2E692AC3DA"/>
    <w:rsid w:val="00204F40"/>
  </w:style>
  <w:style w:type="paragraph" w:customStyle="1" w:styleId="FAFF4D83BC0D420D80432E832230CD77">
    <w:name w:val="FAFF4D83BC0D420D80432E832230CD77"/>
    <w:rsid w:val="00204F40"/>
  </w:style>
  <w:style w:type="paragraph" w:customStyle="1" w:styleId="AD34A4746DF24748901240EC2DF08255">
    <w:name w:val="AD34A4746DF24748901240EC2DF08255"/>
    <w:rsid w:val="00204F40"/>
  </w:style>
  <w:style w:type="paragraph" w:customStyle="1" w:styleId="E529135A90A84228BBA2B8420EBE77CD">
    <w:name w:val="E529135A90A84228BBA2B8420EBE77CD"/>
    <w:rsid w:val="00204F40"/>
  </w:style>
  <w:style w:type="paragraph" w:customStyle="1" w:styleId="726225DD8F0B4803B0F16376880E9602">
    <w:name w:val="726225DD8F0B4803B0F16376880E9602"/>
    <w:rsid w:val="00204F40"/>
  </w:style>
  <w:style w:type="paragraph" w:customStyle="1" w:styleId="75CDEDA639364A179BD59B6F4A3E160F">
    <w:name w:val="75CDEDA639364A179BD59B6F4A3E160F"/>
    <w:rsid w:val="00204F40"/>
  </w:style>
  <w:style w:type="paragraph" w:customStyle="1" w:styleId="A9B9F296C1744C32A726DC3F343ACBD2">
    <w:name w:val="A9B9F296C1744C32A726DC3F343ACBD2"/>
    <w:rsid w:val="003A5677"/>
  </w:style>
</w:styles>
</file>

<file path=word/glossary/webSettings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593FE8720AED47A68DDB1D08B89F45" ma:contentTypeVersion="2" ma:contentTypeDescription="Create a new document." ma:contentTypeScope="" ma:versionID="18c61a174f5ebe809fd8fd323466dea5">
  <xsd:schema xmlns:xsd="http://www.w3.org/2001/XMLSchema" xmlns:xs="http://www.w3.org/2001/XMLSchema" xmlns:p="http://schemas.microsoft.com/office/2006/metadata/properties" xmlns:ns2="e587da0c-d763-46c5-a21f-ad6adb185bb2" targetNamespace="http://schemas.microsoft.com/office/2006/metadata/properties" ma:root="true" ma:fieldsID="51cc51629ed452290f82c9e2bd2e0521" ns2:_="">
    <xsd:import namespace="e587da0c-d763-46c5-a21f-ad6adb185b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7da0c-d763-46c5-a21f-ad6adb185b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C05BD-4B4C-425B-B303-EC4660EB4CD7}"/>
</file>

<file path=customXml/itemProps2.xml><?xml version="1.0" encoding="utf-8"?>
<ds:datastoreItem xmlns:ds="http://schemas.openxmlformats.org/officeDocument/2006/customXml" ds:itemID="{ED8C3AF7-CBBF-492C-B2FA-0292B1C31B63}"/>
</file>

<file path=customXml/itemProps3.xml><?xml version="1.0" encoding="utf-8"?>
<ds:datastoreItem xmlns:ds="http://schemas.openxmlformats.org/officeDocument/2006/customXml" ds:itemID="{2293FF0B-4568-4E16-BCE5-94D10EC1B084}"/>
</file>

<file path=docProps/app.xml><?xml version="1.0" encoding="utf-8"?>
<ap:Properties xmlns:vt="http://schemas.openxmlformats.org/officeDocument/2006/docPropsVTypes" xmlns:ap="http://schemas.openxmlformats.org/officeDocument/2006/extended-properties">
  <ap:Template>DW_COUNCIL.dotm</ap:Template>
  <ap:TotalTime>13</ap:TotalTime>
  <ap:Pages>1</ap:Pages>
  <ap:Words>57</ap:Words>
  <ap:Characters>329</ap:Characters>
  <ap:Application>Microsoft Office Word</ap:Application>
  <ap:DocSecurity>0</ap:DocSecurity>
  <ap:Lines>2</ap:Lines>
  <ap:Paragraphs>1</ap:Paragraphs>
  <ap:ScaleCrop>false</ap:ScaleCrop>
  <ap:Company/>
  <ap:LinksUpToDate>false</ap:LinksUpToDate>
  <ap:CharactersWithSpaces>385</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Genevi%C3%A8ve%20Mikiko%20BESSON</dc:creator>
  <cp:keywords/>
  <dc:description/>
  <cp:lastModifiedBy>Genevi%C3%A8ve%20Mikiko%20BESSON</cp:lastModifiedBy>
  <cp:revision>6</cp:revision>
  <dcterms:created xsi:type="dcterms:W3CDTF">2025-01-29T14:25:00Z</dcterms:created>
  <dcterms:modified xsi:type="dcterms:W3CDTF">2025-01-29T21:13:00Z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60b174-6478-47f9-866e-33f097bb6603_Enabled">
    <vt:lpwstr>true</vt:lpwstr>
  </property>
  <property fmtid="{D5CDD505-2E9C-101B-9397-08002B2CF9AE}" pid="3" name="MSIP_Label_af60b174-6478-47f9-866e-33f097bb6603_SetDate">
    <vt:lpwstr>2025-12-09T14:09:25Z</vt:lpwstr>
  </property>
  <property fmtid="{D5CDD505-2E9C-101B-9397-08002B2CF9AE}" pid="4" name="MSIP_Label_af60b174-6478-47f9-866e-33f097bb6603_Method">
    <vt:lpwstr>Privileged</vt:lpwstr>
  </property>
  <property fmtid="{D5CDD505-2E9C-101B-9397-08002B2CF9AE}" pid="5" name="MSIP_Label_af60b174-6478-47f9-866e-33f097bb6603_Name">
    <vt:lpwstr>GSCEU - PUBLIC Label</vt:lpwstr>
  </property>
  <property fmtid="{D5CDD505-2E9C-101B-9397-08002B2CF9AE}" pid="6" name="MSIP_Label_af60b174-6478-47f9-866e-33f097bb6603_SiteId">
    <vt:lpwstr>03ad1c97-0a4d-4e82-8f93-27291a6a0767</vt:lpwstr>
  </property>
  <property fmtid="{D5CDD505-2E9C-101B-9397-08002B2CF9AE}" pid="7" name="MSIP_Label_af60b174-6478-47f9-866e-33f097bb6603_ActionId">
    <vt:lpwstr>084F11E1-6C8D-4405-B782-C0714F842605</vt:lpwstr>
  </property>
  <property fmtid="{D5CDD505-2E9C-101B-9397-08002B2CF9AE}" pid="8" name="MSIP_Label_af60b174-6478-47f9-866e-33f097bb6603_ContentBits">
    <vt:lpwstr>0</vt:lpwstr>
  </property>
  <property fmtid="{D5CDD505-2E9C-101B-9397-08002B2CF9AE}" pid="9" name="Last edited using">
    <vt:lpwstr>DocuWrite Toolbox 1.28.0 (CoverpageUpdate)</vt:lpwstr>
  </property>
  <property fmtid="{D5CDD505-2E9C-101B-9397-08002B2CF9AE}" pid="10" name="ContentTypeId">
    <vt:lpwstr>0x01010068593FE8720AED47A68DDB1D08B89F45</vt:lpwstr>
  </property>
</Properties>
</file>